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auto"/>
          <w:spacing w:val="36"/>
          <w:w w:val="66"/>
          <w:sz w:val="64"/>
          <w:szCs w:val="64"/>
          <w:highlight w:val="none"/>
        </w:rPr>
      </w:pPr>
      <w:r>
        <w:rPr>
          <w:rFonts w:hint="eastAsia" w:ascii="宋体" w:hAnsi="宋体"/>
          <w:b/>
          <w:bCs/>
          <w:color w:val="auto"/>
          <w:spacing w:val="36"/>
          <w:w w:val="66"/>
          <w:sz w:val="64"/>
          <w:szCs w:val="64"/>
          <w:highlight w:val="none"/>
        </w:rPr>
        <w:t>鄂尔多斯市准格尔旗公共资源交易中心</w:t>
      </w:r>
    </w:p>
    <w:p>
      <w:pPr>
        <w:tabs>
          <w:tab w:val="left" w:pos="315"/>
          <w:tab w:val="left" w:pos="8820"/>
        </w:tabs>
        <w:spacing w:line="360" w:lineRule="auto"/>
        <w:ind w:right="356" w:rightChars="127"/>
        <w:rPr>
          <w:rFonts w:ascii="宋体" w:hAnsi="宋体"/>
          <w:b/>
          <w:bCs/>
          <w:color w:val="auto"/>
          <w:sz w:val="72"/>
          <w:szCs w:val="72"/>
          <w:highlight w:val="none"/>
        </w:rPr>
      </w:pPr>
    </w:p>
    <w:p>
      <w:pPr>
        <w:tabs>
          <w:tab w:val="left" w:pos="315"/>
          <w:tab w:val="left" w:pos="8820"/>
        </w:tabs>
        <w:spacing w:line="360" w:lineRule="auto"/>
        <w:ind w:right="356" w:rightChars="127"/>
        <w:jc w:val="center"/>
        <w:rPr>
          <w:rFonts w:ascii="宋体" w:hAnsi="宋体"/>
          <w:b/>
          <w:bCs/>
          <w:color w:val="auto"/>
          <w:sz w:val="21"/>
          <w:szCs w:val="21"/>
          <w:highlight w:val="none"/>
        </w:rPr>
      </w:pPr>
      <w:r>
        <w:rPr>
          <w:rFonts w:hint="eastAsia" w:ascii="宋体" w:hAnsi="宋体"/>
          <w:b/>
          <w:bCs/>
          <w:color w:val="auto"/>
          <w:sz w:val="72"/>
          <w:szCs w:val="72"/>
          <w:highlight w:val="none"/>
        </w:rPr>
        <w:t>招 标 文 件</w:t>
      </w:r>
    </w:p>
    <w:p>
      <w:pPr>
        <w:tabs>
          <w:tab w:val="left" w:pos="315"/>
          <w:tab w:val="left" w:pos="8820"/>
        </w:tabs>
        <w:spacing w:line="360" w:lineRule="auto"/>
        <w:ind w:right="356" w:rightChars="127"/>
        <w:rPr>
          <w:rFonts w:ascii="宋体" w:hAnsi="宋体"/>
          <w:color w:val="auto"/>
          <w:szCs w:val="28"/>
          <w:highlight w:val="none"/>
        </w:rPr>
      </w:pPr>
    </w:p>
    <w:p>
      <w:pPr>
        <w:tabs>
          <w:tab w:val="left" w:pos="315"/>
          <w:tab w:val="left" w:pos="8820"/>
        </w:tabs>
        <w:spacing w:before="312" w:beforeLines="100" w:after="156" w:afterLines="50" w:line="360" w:lineRule="auto"/>
        <w:ind w:right="356" w:rightChars="127"/>
        <w:jc w:val="center"/>
        <w:rPr>
          <w:rFonts w:ascii="宋体" w:hAnsi="宋体"/>
          <w:b/>
          <w:color w:val="auto"/>
          <w:szCs w:val="28"/>
          <w:highlight w:val="none"/>
        </w:rPr>
      </w:pPr>
    </w:p>
    <w:p>
      <w:pPr>
        <w:tabs>
          <w:tab w:val="left" w:pos="315"/>
          <w:tab w:val="left" w:pos="8820"/>
        </w:tabs>
        <w:spacing w:before="312" w:beforeLines="100" w:after="156" w:afterLines="50" w:line="360" w:lineRule="auto"/>
        <w:ind w:right="356" w:rightChars="127" w:firstLine="3654" w:firstLineChars="1300"/>
        <w:rPr>
          <w:rFonts w:ascii="宋体" w:hAnsi="宋体"/>
          <w:b/>
          <w:bCs/>
          <w:color w:val="auto"/>
          <w:szCs w:val="28"/>
          <w:highlight w:val="none"/>
        </w:rPr>
      </w:pPr>
      <w:r>
        <w:rPr>
          <w:rFonts w:hint="eastAsia" w:ascii="宋体" w:hAnsi="宋体"/>
          <w:b/>
          <w:color w:val="auto"/>
          <w:szCs w:val="28"/>
          <w:highlight w:val="none"/>
        </w:rPr>
        <w:t>综合评分法</w:t>
      </w:r>
    </w:p>
    <w:p>
      <w:pPr>
        <w:tabs>
          <w:tab w:val="left" w:pos="315"/>
          <w:tab w:val="left" w:pos="8820"/>
        </w:tabs>
        <w:spacing w:line="360" w:lineRule="auto"/>
        <w:ind w:right="356" w:rightChars="127"/>
        <w:rPr>
          <w:rFonts w:ascii="宋体" w:hAnsi="宋体"/>
          <w:color w:val="auto"/>
          <w:szCs w:val="28"/>
          <w:highlight w:val="none"/>
        </w:rPr>
      </w:pPr>
    </w:p>
    <w:p>
      <w:pPr>
        <w:tabs>
          <w:tab w:val="left" w:pos="315"/>
          <w:tab w:val="left" w:pos="8820"/>
        </w:tabs>
        <w:spacing w:line="360" w:lineRule="auto"/>
        <w:ind w:right="356" w:rightChars="127"/>
        <w:rPr>
          <w:rFonts w:ascii="宋体" w:hAnsi="宋体"/>
          <w:color w:val="auto"/>
          <w:szCs w:val="28"/>
          <w:highlight w:val="none"/>
        </w:rPr>
      </w:pPr>
    </w:p>
    <w:p>
      <w:pPr>
        <w:pStyle w:val="40"/>
        <w:spacing w:line="360" w:lineRule="auto"/>
        <w:ind w:firstLine="562" w:firstLineChars="200"/>
        <w:rPr>
          <w:rFonts w:ascii="宋体" w:hAnsi="宋体" w:eastAsia="宋体"/>
          <w:color w:val="auto"/>
          <w:szCs w:val="28"/>
          <w:highlight w:val="none"/>
        </w:rPr>
      </w:pPr>
      <w:r>
        <w:rPr>
          <w:rFonts w:hint="eastAsia" w:ascii="宋体" w:hAnsi="宋体" w:eastAsia="宋体"/>
          <w:color w:val="auto"/>
          <w:szCs w:val="28"/>
          <w:highlight w:val="none"/>
        </w:rPr>
        <w:t>项目名称：鄂尔多斯大路煤化工基地财政局采购大路工业园区智慧园区一体化平台建设项目</w:t>
      </w:r>
    </w:p>
    <w:p>
      <w:pPr>
        <w:widowControl/>
        <w:wordWrap w:val="0"/>
        <w:ind w:firstLine="562" w:firstLineChars="200"/>
        <w:rPr>
          <w:rFonts w:ascii="宋体" w:hAnsi="宋体"/>
          <w:b/>
          <w:color w:val="auto"/>
          <w:szCs w:val="28"/>
          <w:highlight w:val="none"/>
        </w:rPr>
      </w:pPr>
      <w:r>
        <w:rPr>
          <w:rFonts w:hint="eastAsia" w:ascii="宋体" w:hAnsi="宋体"/>
          <w:b/>
          <w:color w:val="auto"/>
          <w:szCs w:val="28"/>
          <w:highlight w:val="none"/>
        </w:rPr>
        <w:t>项目编号：</w:t>
      </w:r>
      <w:r>
        <w:rPr>
          <w:rFonts w:hint="eastAsia"/>
          <w:color w:val="auto"/>
          <w:highlight w:val="none"/>
        </w:rPr>
        <w:t xml:space="preserve"> CG2020HGK067 </w:t>
      </w:r>
      <w:r>
        <w:rPr>
          <w:rFonts w:hint="eastAsia"/>
          <w:color w:val="auto"/>
          <w:highlight w:val="none"/>
          <w:lang w:val="en-US" w:eastAsia="zh-CN"/>
        </w:rPr>
        <w:t>-1</w:t>
      </w:r>
      <w:r>
        <w:rPr>
          <w:rFonts w:hint="eastAsia"/>
          <w:color w:val="auto"/>
          <w:highlight w:val="none"/>
        </w:rPr>
        <w:t xml:space="preserve">                          </w:t>
      </w:r>
    </w:p>
    <w:p>
      <w:pPr>
        <w:pStyle w:val="40"/>
        <w:spacing w:line="360" w:lineRule="auto"/>
        <w:rPr>
          <w:rFonts w:ascii="宋体" w:hAnsi="宋体" w:eastAsia="宋体"/>
          <w:color w:val="auto"/>
          <w:szCs w:val="28"/>
          <w:highlight w:val="none"/>
        </w:rPr>
      </w:pPr>
    </w:p>
    <w:p>
      <w:pPr>
        <w:pStyle w:val="40"/>
        <w:spacing w:line="360" w:lineRule="auto"/>
        <w:rPr>
          <w:rFonts w:ascii="宋体" w:hAnsi="宋体" w:eastAsia="宋体"/>
          <w:color w:val="auto"/>
          <w:szCs w:val="28"/>
          <w:highlight w:val="none"/>
        </w:rPr>
      </w:pPr>
    </w:p>
    <w:p>
      <w:pPr>
        <w:jc w:val="center"/>
        <w:rPr>
          <w:rFonts w:ascii="宋体" w:hAnsi="宋体"/>
          <w:color w:val="auto"/>
          <w:szCs w:val="28"/>
          <w:highlight w:val="none"/>
        </w:rPr>
      </w:pPr>
      <w:r>
        <w:rPr>
          <w:rFonts w:hint="eastAsia" w:ascii="宋体" w:hAnsi="宋体"/>
          <w:color w:val="auto"/>
          <w:szCs w:val="28"/>
          <w:highlight w:val="none"/>
        </w:rPr>
        <w:t>2020年</w:t>
      </w:r>
      <w:r>
        <w:rPr>
          <w:rFonts w:hint="eastAsia" w:ascii="宋体" w:hAnsi="宋体"/>
          <w:color w:val="auto"/>
          <w:szCs w:val="28"/>
          <w:highlight w:val="none"/>
          <w:lang w:val="en-US" w:eastAsia="zh-CN"/>
        </w:rPr>
        <w:t>5</w:t>
      </w:r>
      <w:r>
        <w:rPr>
          <w:rFonts w:hint="eastAsia" w:ascii="宋体" w:hAnsi="宋体"/>
          <w:color w:val="auto"/>
          <w:szCs w:val="28"/>
          <w:highlight w:val="none"/>
        </w:rPr>
        <w:t>月</w:t>
      </w:r>
    </w:p>
    <w:p>
      <w:pPr>
        <w:jc w:val="center"/>
        <w:rPr>
          <w:rFonts w:ascii="宋体" w:hAnsi="宋体"/>
          <w:color w:val="auto"/>
          <w:szCs w:val="28"/>
          <w:highlight w:val="none"/>
        </w:rPr>
      </w:pPr>
    </w:p>
    <w:p>
      <w:pPr>
        <w:jc w:val="center"/>
        <w:rPr>
          <w:rFonts w:ascii="宋体" w:hAnsi="宋体"/>
          <w:color w:val="auto"/>
          <w:szCs w:val="28"/>
          <w:highlight w:val="none"/>
        </w:rPr>
      </w:pPr>
      <w:r>
        <w:rPr>
          <w:rFonts w:ascii="宋体" w:hAnsi="宋体"/>
          <w:color w:val="auto"/>
          <w:szCs w:val="28"/>
          <w:highlight w:val="none"/>
        </w:rPr>
        <w:br w:type="page"/>
      </w:r>
    </w:p>
    <w:p>
      <w:pPr>
        <w:pStyle w:val="50"/>
        <w:spacing w:before="0" w:line="360" w:lineRule="auto"/>
        <w:jc w:val="center"/>
        <w:rPr>
          <w:rFonts w:ascii="宋体" w:hAnsi="宋体"/>
          <w:color w:val="auto"/>
          <w:highlight w:val="none"/>
          <w:lang w:val="zh-CN"/>
        </w:rPr>
      </w:pPr>
      <w:r>
        <w:rPr>
          <w:rFonts w:hint="eastAsia" w:ascii="宋体" w:hAnsi="宋体"/>
          <w:color w:val="auto"/>
          <w:highlight w:val="none"/>
          <w:lang w:val="zh-CN"/>
        </w:rPr>
        <w:t>目   录</w:t>
      </w:r>
    </w:p>
    <w:p>
      <w:pPr>
        <w:pStyle w:val="16"/>
        <w:tabs>
          <w:tab w:val="right" w:leader="dot" w:pos="9402"/>
        </w:tabs>
        <w:rPr>
          <w:rFonts w:ascii="Calibri" w:hAnsi="Calibri" w:cs="黑体"/>
          <w:b w:val="0"/>
          <w:bCs w:val="0"/>
          <w:caps w:val="0"/>
          <w:color w:val="auto"/>
          <w:sz w:val="21"/>
          <w:szCs w:val="22"/>
          <w:highlight w:val="none"/>
        </w:rPr>
      </w:pPr>
      <w:r>
        <w:rPr>
          <w:rFonts w:ascii="宋体" w:hAnsi="宋体"/>
          <w:b w:val="0"/>
          <w:color w:val="auto"/>
          <w:szCs w:val="28"/>
          <w:highlight w:val="none"/>
        </w:rPr>
        <w:fldChar w:fldCharType="begin"/>
      </w:r>
      <w:r>
        <w:rPr>
          <w:rFonts w:ascii="宋体" w:hAnsi="宋体"/>
          <w:b w:val="0"/>
          <w:color w:val="auto"/>
          <w:szCs w:val="28"/>
          <w:highlight w:val="none"/>
        </w:rPr>
        <w:instrText xml:space="preserve"> TOC \o "1-3" \h \z \u </w:instrText>
      </w:r>
      <w:r>
        <w:rPr>
          <w:rFonts w:ascii="宋体" w:hAnsi="宋体"/>
          <w:b w:val="0"/>
          <w:color w:val="auto"/>
          <w:szCs w:val="28"/>
          <w:highlight w:val="none"/>
        </w:rPr>
        <w:fldChar w:fldCharType="separate"/>
      </w:r>
      <w:r>
        <w:rPr>
          <w:color w:val="auto"/>
          <w:highlight w:val="none"/>
        </w:rPr>
        <w:fldChar w:fldCharType="begin"/>
      </w:r>
      <w:r>
        <w:rPr>
          <w:color w:val="auto"/>
          <w:highlight w:val="none"/>
        </w:rPr>
        <w:instrText xml:space="preserve"> HYPERLINK \l "_Toc497408657" </w:instrText>
      </w:r>
      <w:r>
        <w:rPr>
          <w:color w:val="auto"/>
          <w:highlight w:val="none"/>
        </w:rPr>
        <w:fldChar w:fldCharType="separate"/>
      </w:r>
      <w:r>
        <w:rPr>
          <w:rStyle w:val="29"/>
          <w:rFonts w:hint="eastAsia" w:ascii="宋体" w:hAnsi="宋体"/>
          <w:color w:val="auto"/>
          <w:highlight w:val="none"/>
        </w:rPr>
        <w:t>第一章招标公告</w:t>
      </w:r>
      <w:r>
        <w:rPr>
          <w:color w:val="auto"/>
          <w:highlight w:val="none"/>
        </w:rPr>
        <w:tab/>
      </w:r>
      <w:r>
        <w:rPr>
          <w:color w:val="auto"/>
          <w:highlight w:val="none"/>
        </w:rPr>
        <w:fldChar w:fldCharType="begin"/>
      </w:r>
      <w:r>
        <w:rPr>
          <w:color w:val="auto"/>
          <w:highlight w:val="none"/>
        </w:rPr>
        <w:instrText xml:space="preserve"> PAGEREF _Toc497408657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"_Toc497408658" </w:instrText>
      </w:r>
      <w:r>
        <w:rPr>
          <w:color w:val="auto"/>
          <w:highlight w:val="none"/>
        </w:rPr>
        <w:fldChar w:fldCharType="separate"/>
      </w:r>
      <w:r>
        <w:rPr>
          <w:rStyle w:val="29"/>
          <w:rFonts w:hint="eastAsia" w:ascii="宋体" w:hAnsi="宋体"/>
          <w:color w:val="auto"/>
          <w:highlight w:val="none"/>
        </w:rPr>
        <w:t>第二章投标人须知</w:t>
      </w:r>
      <w:r>
        <w:rPr>
          <w:color w:val="auto"/>
          <w:highlight w:val="none"/>
        </w:rPr>
        <w:tab/>
      </w:r>
      <w:r>
        <w:rPr>
          <w:color w:val="auto"/>
          <w:highlight w:val="none"/>
        </w:rPr>
        <w:fldChar w:fldCharType="begin"/>
      </w:r>
      <w:r>
        <w:rPr>
          <w:color w:val="auto"/>
          <w:highlight w:val="none"/>
        </w:rPr>
        <w:instrText xml:space="preserve"> PAGEREF _Toc497408658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"_Toc497408659" </w:instrText>
      </w:r>
      <w:r>
        <w:rPr>
          <w:color w:val="auto"/>
          <w:highlight w:val="none"/>
        </w:rPr>
        <w:fldChar w:fldCharType="separate"/>
      </w:r>
      <w:r>
        <w:rPr>
          <w:rStyle w:val="29"/>
          <w:rFonts w:hint="eastAsia" w:ascii="宋体" w:hAnsi="宋体" w:cs="宋体"/>
          <w:color w:val="auto"/>
          <w:highlight w:val="none"/>
        </w:rPr>
        <w:t>第三章合同与验收</w:t>
      </w:r>
      <w:r>
        <w:rPr>
          <w:color w:val="auto"/>
          <w:highlight w:val="none"/>
        </w:rPr>
        <w:tab/>
      </w:r>
      <w:r>
        <w:rPr>
          <w:color w:val="auto"/>
          <w:highlight w:val="none"/>
        </w:rPr>
        <w:fldChar w:fldCharType="begin"/>
      </w:r>
      <w:r>
        <w:rPr>
          <w:color w:val="auto"/>
          <w:highlight w:val="none"/>
        </w:rPr>
        <w:instrText xml:space="preserve"> PAGEREF _Toc497408659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"_Toc497408660" </w:instrText>
      </w:r>
      <w:r>
        <w:rPr>
          <w:color w:val="auto"/>
          <w:highlight w:val="none"/>
        </w:rPr>
        <w:fldChar w:fldCharType="separate"/>
      </w:r>
      <w:r>
        <w:rPr>
          <w:rStyle w:val="29"/>
          <w:rFonts w:hint="eastAsia" w:ascii="宋体" w:hAnsi="宋体"/>
          <w:color w:val="auto"/>
          <w:kern w:val="44"/>
          <w:highlight w:val="none"/>
        </w:rPr>
        <w:t>第四章招标内容与技术要求</w:t>
      </w:r>
      <w:r>
        <w:rPr>
          <w:color w:val="auto"/>
          <w:highlight w:val="none"/>
        </w:rPr>
        <w:tab/>
      </w:r>
      <w:r>
        <w:rPr>
          <w:color w:val="auto"/>
          <w:highlight w:val="none"/>
        </w:rPr>
        <w:fldChar w:fldCharType="begin"/>
      </w:r>
      <w:r>
        <w:rPr>
          <w:color w:val="auto"/>
          <w:highlight w:val="none"/>
        </w:rPr>
        <w:instrText xml:space="preserve"> PAGEREF _Toc497408660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"_Toc497408661" </w:instrText>
      </w:r>
      <w:r>
        <w:rPr>
          <w:color w:val="auto"/>
          <w:highlight w:val="none"/>
        </w:rPr>
        <w:fldChar w:fldCharType="separate"/>
      </w:r>
      <w:r>
        <w:rPr>
          <w:rStyle w:val="29"/>
          <w:rFonts w:hint="eastAsia" w:ascii="宋体" w:hAnsi="宋体"/>
          <w:color w:val="auto"/>
          <w:kern w:val="44"/>
          <w:highlight w:val="none"/>
        </w:rPr>
        <w:t>第五章投标人资格证明及相关文件要求</w:t>
      </w:r>
      <w:r>
        <w:rPr>
          <w:color w:val="auto"/>
          <w:highlight w:val="none"/>
        </w:rPr>
        <w:tab/>
      </w:r>
      <w:r>
        <w:rPr>
          <w:color w:val="auto"/>
          <w:highlight w:val="none"/>
        </w:rPr>
        <w:fldChar w:fldCharType="begin"/>
      </w:r>
      <w:r>
        <w:rPr>
          <w:color w:val="auto"/>
          <w:highlight w:val="none"/>
        </w:rPr>
        <w:instrText xml:space="preserve"> PAGEREF _Toc497408661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"_Toc497408662" </w:instrText>
      </w:r>
      <w:r>
        <w:rPr>
          <w:color w:val="auto"/>
          <w:highlight w:val="none"/>
        </w:rPr>
        <w:fldChar w:fldCharType="separate"/>
      </w:r>
      <w:r>
        <w:rPr>
          <w:rStyle w:val="29"/>
          <w:rFonts w:hint="eastAsia" w:ascii="宋体" w:hAnsi="宋体"/>
          <w:color w:val="auto"/>
          <w:kern w:val="44"/>
          <w:highlight w:val="none"/>
        </w:rPr>
        <w:t>第六章评标办法（综合评分）</w:t>
      </w:r>
      <w:r>
        <w:rPr>
          <w:color w:val="auto"/>
          <w:highlight w:val="none"/>
        </w:rPr>
        <w:tab/>
      </w:r>
      <w:r>
        <w:rPr>
          <w:color w:val="auto"/>
          <w:highlight w:val="none"/>
        </w:rPr>
        <w:fldChar w:fldCharType="begin"/>
      </w:r>
      <w:r>
        <w:rPr>
          <w:color w:val="auto"/>
          <w:highlight w:val="none"/>
        </w:rPr>
        <w:instrText xml:space="preserve"> PAGEREF _Toc497408662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"_Toc497408663" </w:instrText>
      </w:r>
      <w:r>
        <w:rPr>
          <w:color w:val="auto"/>
          <w:highlight w:val="none"/>
        </w:rPr>
        <w:fldChar w:fldCharType="separate"/>
      </w:r>
      <w:r>
        <w:rPr>
          <w:rStyle w:val="29"/>
          <w:rFonts w:hint="eastAsia" w:ascii="宋体" w:hAnsi="宋体"/>
          <w:color w:val="auto"/>
          <w:highlight w:val="none"/>
        </w:rPr>
        <w:t>第七章投标文件格式与要求</w:t>
      </w:r>
      <w:r>
        <w:rPr>
          <w:color w:val="auto"/>
          <w:highlight w:val="none"/>
        </w:rPr>
        <w:tab/>
      </w:r>
      <w:r>
        <w:rPr>
          <w:color w:val="auto"/>
          <w:highlight w:val="none"/>
        </w:rPr>
        <w:fldChar w:fldCharType="begin"/>
      </w:r>
      <w:r>
        <w:rPr>
          <w:color w:val="auto"/>
          <w:highlight w:val="none"/>
        </w:rPr>
        <w:instrText xml:space="preserve"> PAGEREF _Toc497408663 \h </w:instrText>
      </w:r>
      <w:r>
        <w:rPr>
          <w:color w:val="auto"/>
          <w:highlight w:val="none"/>
        </w:rPr>
        <w:fldChar w:fldCharType="separate"/>
      </w:r>
      <w:r>
        <w:rPr>
          <w:color w:val="auto"/>
          <w:highlight w:val="none"/>
        </w:rPr>
        <w:t>119</w:t>
      </w:r>
      <w:r>
        <w:rPr>
          <w:color w:val="auto"/>
          <w:highlight w:val="none"/>
        </w:rPr>
        <w:fldChar w:fldCharType="end"/>
      </w:r>
      <w:r>
        <w:rPr>
          <w:color w:val="auto"/>
          <w:highlight w:val="none"/>
        </w:rPr>
        <w:fldChar w:fldCharType="end"/>
      </w:r>
    </w:p>
    <w:p>
      <w:pPr>
        <w:pStyle w:val="16"/>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"_Toc497408664" </w:instrText>
      </w:r>
      <w:r>
        <w:rPr>
          <w:color w:val="auto"/>
          <w:highlight w:val="none"/>
        </w:rPr>
        <w:fldChar w:fldCharType="separate"/>
      </w:r>
      <w:r>
        <w:rPr>
          <w:rStyle w:val="29"/>
          <w:rFonts w:hint="eastAsia" w:ascii="宋体" w:hAnsi="宋体"/>
          <w:color w:val="auto"/>
          <w:highlight w:val="none"/>
        </w:rPr>
        <w:t>温馨提示</w:t>
      </w:r>
      <w:r>
        <w:rPr>
          <w:color w:val="auto"/>
          <w:highlight w:val="none"/>
        </w:rPr>
        <w:tab/>
      </w:r>
      <w:r>
        <w:rPr>
          <w:color w:val="auto"/>
          <w:highlight w:val="none"/>
        </w:rPr>
        <w:fldChar w:fldCharType="begin"/>
      </w:r>
      <w:r>
        <w:rPr>
          <w:color w:val="auto"/>
          <w:highlight w:val="none"/>
        </w:rPr>
        <w:instrText xml:space="preserve"> PAGEREF _Toc497408664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outlineLvl w:val="0"/>
        <w:rPr>
          <w:rFonts w:ascii="宋体" w:hAnsi="宋体"/>
          <w:b/>
          <w:color w:val="auto"/>
          <w:szCs w:val="28"/>
          <w:highlight w:val="none"/>
        </w:rPr>
      </w:pPr>
      <w:r>
        <w:rPr>
          <w:rFonts w:ascii="宋体" w:hAnsi="宋体"/>
          <w:b/>
          <w:color w:val="auto"/>
          <w:szCs w:val="28"/>
          <w:highlight w:val="none"/>
        </w:rPr>
        <w:fldChar w:fldCharType="end"/>
      </w:r>
      <w:r>
        <w:rPr>
          <w:rFonts w:ascii="宋体" w:hAnsi="宋体"/>
          <w:b/>
          <w:color w:val="auto"/>
          <w:szCs w:val="28"/>
          <w:highlight w:val="none"/>
        </w:rPr>
        <w:br w:type="page"/>
      </w:r>
    </w:p>
    <w:p>
      <w:pPr>
        <w:jc w:val="center"/>
        <w:outlineLvl w:val="0"/>
        <w:rPr>
          <w:rFonts w:ascii="宋体" w:hAnsi="宋体"/>
          <w:b/>
          <w:color w:val="auto"/>
          <w:sz w:val="24"/>
          <w:szCs w:val="24"/>
          <w:highlight w:val="none"/>
        </w:rPr>
      </w:pPr>
      <w:bookmarkStart w:id="0" w:name="_Toc497408657"/>
      <w:r>
        <w:rPr>
          <w:rFonts w:hint="eastAsia" w:ascii="宋体" w:hAnsi="宋体"/>
          <w:b/>
          <w:color w:val="auto"/>
          <w:sz w:val="24"/>
          <w:szCs w:val="24"/>
          <w:highlight w:val="none"/>
        </w:rPr>
        <w:t>第一章 招标公告</w:t>
      </w:r>
      <w:bookmarkEnd w:id="0"/>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鄂尔多斯大路煤化工基地财政局采购大路工业园区智慧园区一体化平台建设项目</w:t>
      </w: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公开招标公告</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鄂尔多斯市准格尔旗公共资源交易中心受鄂尔多斯大路煤化工基地财政局委托，采用公开招标方式组织采购大路工业园区智慧园区一体化平台建设项目。欢迎符合资格条件的投标人前来报名参加。</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一.项目概述</w:t>
      </w:r>
    </w:p>
    <w:p>
      <w:pPr>
        <w:pStyle w:val="49"/>
        <w:spacing w:line="360" w:lineRule="auto"/>
        <w:ind w:firstLine="480"/>
        <w:rPr>
          <w:rFonts w:ascii="宋体" w:hAnsi="宋体"/>
          <w:b/>
          <w:color w:val="auto"/>
          <w:sz w:val="24"/>
          <w:szCs w:val="24"/>
          <w:highlight w:val="none"/>
        </w:rPr>
      </w:pPr>
      <w:r>
        <w:rPr>
          <w:rFonts w:hint="eastAsia" w:ascii="宋体" w:hAnsi="宋体"/>
          <w:color w:val="auto"/>
          <w:sz w:val="24"/>
          <w:szCs w:val="24"/>
          <w:highlight w:val="none"/>
        </w:rPr>
        <w:t>1.名称与编号</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项目名称： 鄂尔多斯大路煤化工基地财政局采购大路工业园区智慧园区一体化平台建设项目</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采购文件编号：CG2020HGK067</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 xml:space="preserve">       </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2.内容及分包情况（技术规格、参数及要求）</w:t>
      </w:r>
    </w:p>
    <w:tbl>
      <w:tblPr>
        <w:tblStyle w:val="22"/>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大路工业园区</w:t>
            </w:r>
            <w:r>
              <w:rPr>
                <w:rFonts w:hint="eastAsia" w:ascii="宋体" w:hAnsi="宋体"/>
                <w:color w:val="auto"/>
                <w:sz w:val="24"/>
                <w:szCs w:val="24"/>
                <w:highlight w:val="none"/>
              </w:rPr>
              <w:t>智慧园区一体化平台建设项目</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详见</w:t>
            </w:r>
          </w:p>
          <w:p>
            <w:pPr>
              <w:tabs>
                <w:tab w:val="left" w:pos="242"/>
                <w:tab w:val="center" w:pos="77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详见</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 xml:space="preserve">2782.2152   </w:t>
            </w: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二.投标人的资格要求</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投标人应符合《中华人民共和国政府采购法》第二十二条规定的条件。</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三.获取招标文件的时间、地点、方式</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符合上述条件的投标人可于2020年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18</w:t>
      </w:r>
      <w:r>
        <w:rPr>
          <w:rFonts w:hint="eastAsia" w:ascii="宋体" w:hAnsi="宋体"/>
          <w:color w:val="auto"/>
          <w:sz w:val="24"/>
          <w:szCs w:val="24"/>
          <w:highlight w:val="none"/>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olor w:val="auto"/>
          <w:sz w:val="24"/>
          <w:szCs w:val="24"/>
          <w:highlight w:val="none"/>
        </w:rPr>
        <w:t>6.报名方式及报名时间详见招标文件第二章“报名须知”。</w:t>
      </w:r>
    </w:p>
    <w:p>
      <w:pPr>
        <w:spacing w:line="360" w:lineRule="auto"/>
        <w:textAlignment w:val="baseline"/>
        <w:rPr>
          <w:rFonts w:ascii="宋体" w:hAnsi="宋体"/>
          <w:b/>
          <w:color w:val="auto"/>
          <w:sz w:val="24"/>
          <w:szCs w:val="24"/>
          <w:highlight w:val="none"/>
        </w:rPr>
      </w:pPr>
      <w:r>
        <w:rPr>
          <w:rFonts w:hint="eastAsia" w:ascii="宋体" w:hAnsi="宋体"/>
          <w:b/>
          <w:color w:val="auto"/>
          <w:sz w:val="24"/>
          <w:szCs w:val="24"/>
          <w:highlight w:val="none"/>
        </w:rPr>
        <w:t>四.采购文件售价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本次采购文件的售价为0元人民币。</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五.递交投标（响应）文件截止时间、开标时间及地点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递交投标（响应）文件截止时间：2020年</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日10时00分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投标地点：鄂尔多斯市准格尔旗公共资源交易中心二楼开标室（准格尔旗大路新区）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开标时间：2020年</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月1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日10时00分整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开标地点：鄂尔多斯市准格尔旗公共资源交易中心二楼开标室（准格尔旗大路新区）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六.联系方式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采购代理机构名称：鄂尔多斯市准格尔旗公共资源交易中心</w:t>
      </w:r>
    </w:p>
    <w:p>
      <w:pPr>
        <w:spacing w:line="360" w:lineRule="auto"/>
        <w:ind w:right="-140" w:rightChars="-50" w:firstLine="480" w:firstLineChars="200"/>
        <w:rPr>
          <w:rFonts w:ascii="宋体" w:hAnsi="宋体"/>
          <w:color w:val="auto"/>
          <w:sz w:val="24"/>
          <w:szCs w:val="24"/>
          <w:highlight w:val="none"/>
        </w:rPr>
      </w:pPr>
      <w:r>
        <w:rPr>
          <w:rFonts w:hint="eastAsia" w:ascii="宋体" w:hAnsi="宋体"/>
          <w:color w:val="auto"/>
          <w:sz w:val="24"/>
          <w:szCs w:val="24"/>
          <w:highlight w:val="none"/>
        </w:rPr>
        <w:t>地    址：准格尔旗大路新区图书馆南侧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邮政编码：010321</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联系电话：0477-386423</w:t>
      </w:r>
      <w:r>
        <w:rPr>
          <w:rFonts w:hint="eastAsia" w:ascii="宋体" w:hAnsi="宋体"/>
          <w:color w:val="auto"/>
          <w:sz w:val="24"/>
          <w:szCs w:val="24"/>
          <w:highlight w:val="none"/>
          <w:lang w:val="en-US" w:eastAsia="zh-CN"/>
        </w:rPr>
        <w:t>3</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采购单位名称：鄂尔多斯大路煤化工基地财政局</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    址：准格尔旗大路新区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邮政编码：010321</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联 系 人：郝晶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联系电话：13644774569</w:t>
      </w:r>
    </w:p>
    <w:p>
      <w:pPr>
        <w:spacing w:line="360" w:lineRule="auto"/>
        <w:ind w:firstLine="480" w:firstLineChars="200"/>
        <w:rPr>
          <w:rFonts w:ascii="宋体" w:hAnsi="宋体"/>
          <w:color w:val="auto"/>
          <w:sz w:val="24"/>
          <w:szCs w:val="24"/>
          <w:highlight w:val="none"/>
        </w:rPr>
      </w:pP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 xml:space="preserve">                              鄂尔多斯市准格尔旗公共资源交易中心</w:t>
      </w:r>
    </w:p>
    <w:p>
      <w:pPr>
        <w:ind w:firstLine="5280" w:firstLineChars="2200"/>
        <w:rPr>
          <w:rFonts w:ascii="宋体" w:hAnsi="宋体"/>
          <w:color w:val="auto"/>
          <w:sz w:val="24"/>
          <w:szCs w:val="24"/>
          <w:highlight w:val="none"/>
        </w:rPr>
      </w:pPr>
      <w:r>
        <w:rPr>
          <w:rFonts w:hint="eastAsia" w:ascii="宋体" w:hAnsi="宋体"/>
          <w:color w:val="auto"/>
          <w:sz w:val="24"/>
          <w:szCs w:val="24"/>
          <w:highlight w:val="none"/>
        </w:rPr>
        <w:t>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18</w:t>
      </w:r>
      <w:r>
        <w:rPr>
          <w:rFonts w:hint="eastAsia" w:ascii="宋体" w:hAnsi="宋体"/>
          <w:color w:val="auto"/>
          <w:sz w:val="24"/>
          <w:szCs w:val="24"/>
          <w:highlight w:val="none"/>
        </w:rPr>
        <w:t>日</w:t>
      </w:r>
    </w:p>
    <w:p>
      <w:pPr>
        <w:spacing w:line="360" w:lineRule="auto"/>
        <w:jc w:val="center"/>
        <w:rPr>
          <w:rFonts w:ascii="宋体" w:hAnsi="宋体"/>
          <w:b/>
          <w:color w:val="auto"/>
          <w:sz w:val="24"/>
          <w:szCs w:val="24"/>
          <w:highlight w:val="none"/>
        </w:rPr>
      </w:pPr>
      <w:r>
        <w:rPr>
          <w:rFonts w:ascii="宋体" w:hAnsi="宋体"/>
          <w:b/>
          <w:color w:val="auto"/>
          <w:sz w:val="24"/>
          <w:szCs w:val="24"/>
          <w:highlight w:val="none"/>
        </w:rPr>
        <w:br w:type="page"/>
      </w:r>
    </w:p>
    <w:p>
      <w:pPr>
        <w:spacing w:line="360" w:lineRule="auto"/>
        <w:jc w:val="center"/>
        <w:outlineLvl w:val="0"/>
        <w:rPr>
          <w:rFonts w:ascii="宋体" w:hAnsi="宋体"/>
          <w:b/>
          <w:color w:val="auto"/>
          <w:sz w:val="24"/>
          <w:szCs w:val="24"/>
          <w:highlight w:val="none"/>
        </w:rPr>
      </w:pPr>
      <w:bookmarkStart w:id="1" w:name="_Toc497408658"/>
      <w:r>
        <w:rPr>
          <w:rFonts w:hint="eastAsia" w:ascii="宋体" w:hAnsi="宋体"/>
          <w:b/>
          <w:color w:val="auto"/>
          <w:sz w:val="24"/>
          <w:szCs w:val="24"/>
          <w:highlight w:val="none"/>
        </w:rPr>
        <w:t>第二章 投标人须知</w:t>
      </w:r>
      <w:bookmarkEnd w:id="1"/>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一、前附表</w:t>
      </w:r>
    </w:p>
    <w:tbl>
      <w:tblPr>
        <w:tblStyle w:val="22"/>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highlight w:val="none"/>
              </w:rPr>
            </w:pPr>
            <w:r>
              <w:rPr>
                <w:rFonts w:hint="eastAsia" w:ascii="宋体" w:hAnsi="宋体"/>
                <w:color w:val="auto"/>
                <w:sz w:val="24"/>
                <w:szCs w:val="24"/>
                <w:highlight w:val="none"/>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鄂尔多斯大路煤化工基地财政局</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联系人： 郝晶             联系电话：13644774569</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地址：准格尔旗大路新区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 xml:space="preserve">鄂尔多斯市准格尔旗公共资源交易中心 </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联系电话：0477-3864233</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auto"/>
                <w:sz w:val="24"/>
                <w:szCs w:val="24"/>
                <w:highlight w:val="none"/>
              </w:rPr>
            </w:pPr>
            <w:r>
              <w:rPr>
                <w:rFonts w:hint="eastAsia" w:ascii="宋体" w:hAnsi="宋体"/>
                <w:color w:val="auto"/>
                <w:sz w:val="24"/>
                <w:szCs w:val="24"/>
                <w:highlight w:val="none"/>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2782.2152  万</w:t>
            </w:r>
            <w:r>
              <w:rPr>
                <w:rFonts w:hint="eastAsia" w:ascii="宋体" w:hAnsi="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highlight w:val="none"/>
              </w:rPr>
            </w:pPr>
            <w:r>
              <w:rPr>
                <w:rFonts w:hint="eastAsia" w:ascii="宋体" w:hAnsi="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highlight w:val="none"/>
              </w:rPr>
            </w:pPr>
            <w:r>
              <w:rPr>
                <w:rFonts w:hint="eastAsia" w:ascii="宋体" w:hAnsi="宋体"/>
                <w:color w:val="auto"/>
                <w:sz w:val="24"/>
                <w:szCs w:val="24"/>
                <w:highlight w:val="none"/>
              </w:rPr>
              <w:t>评标委员会依法组建，由采购人代表和评审专家组成共</w:t>
            </w:r>
            <w:r>
              <w:rPr>
                <w:rFonts w:hint="eastAsia" w:ascii="宋体" w:hAnsi="宋体"/>
                <w:color w:val="auto"/>
                <w:sz w:val="24"/>
                <w:szCs w:val="24"/>
                <w:highlight w:val="none"/>
                <w:u w:val="single"/>
              </w:rPr>
              <w:t>七</w:t>
            </w:r>
            <w:r>
              <w:rPr>
                <w:rFonts w:hint="eastAsia" w:ascii="宋体" w:hAnsi="宋体"/>
                <w:color w:val="auto"/>
                <w:sz w:val="24"/>
                <w:szCs w:val="24"/>
                <w:highlight w:val="none"/>
              </w:rPr>
              <w:t>人及以上。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highlight w:val="none"/>
              </w:rPr>
            </w:pPr>
            <w:r>
              <w:rPr>
                <w:rFonts w:hint="eastAsia" w:ascii="宋体" w:hAnsi="宋体"/>
                <w:color w:val="auto"/>
                <w:sz w:val="24"/>
                <w:szCs w:val="24"/>
                <w:highlight w:val="none"/>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从提交投标文件的截止之日起60日历天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2020年</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月1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 xml:space="preserve">日9时30分--10时00分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2020年</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月1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highlight w:val="none"/>
              </w:rPr>
            </w:pPr>
            <w:r>
              <w:rPr>
                <w:rFonts w:hint="eastAsia" w:ascii="宋体" w:hAnsi="宋体"/>
                <w:color w:val="auto"/>
                <w:sz w:val="24"/>
                <w:szCs w:val="24"/>
                <w:highlight w:val="none"/>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highlight w:val="none"/>
              </w:rPr>
            </w:pPr>
            <w:r>
              <w:rPr>
                <w:rFonts w:hint="eastAsia" w:ascii="宋体" w:hAnsi="宋体"/>
                <w:color w:val="auto"/>
                <w:sz w:val="24"/>
                <w:szCs w:val="24"/>
                <w:highlight w:val="none"/>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highlight w:val="none"/>
              </w:rPr>
            </w:pPr>
            <w:r>
              <w:rPr>
                <w:rFonts w:hint="eastAsia" w:ascii="宋体" w:hAnsi="宋体"/>
                <w:color w:val="auto"/>
                <w:sz w:val="24"/>
                <w:szCs w:val="24"/>
                <w:highlight w:val="none"/>
              </w:rPr>
              <w:t>正本1份、副本4份（标明投标人名称）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highlight w:val="none"/>
              </w:rPr>
            </w:pPr>
            <w:r>
              <w:rPr>
                <w:rFonts w:hint="eastAsia" w:ascii="宋体" w:hAnsi="宋体"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highlight w:val="none"/>
                <w:u w:val="singl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保证金人民币：</w:t>
            </w:r>
            <w:r>
              <w:rPr>
                <w:rFonts w:hint="eastAsia" w:ascii="宋体" w:hAnsi="宋体"/>
                <w:b/>
                <w:bCs/>
                <w:color w:val="auto"/>
                <w:sz w:val="24"/>
                <w:szCs w:val="24"/>
                <w:highlight w:val="none"/>
              </w:rPr>
              <w:t>贰</w:t>
            </w:r>
            <w:r>
              <w:rPr>
                <w:rFonts w:hint="eastAsia" w:ascii="宋体" w:hAnsi="宋体"/>
                <w:b/>
                <w:bCs/>
                <w:color w:val="auto"/>
                <w:sz w:val="24"/>
                <w:szCs w:val="24"/>
                <w:highlight w:val="none"/>
                <w:u w:val="single"/>
              </w:rPr>
              <w:t>拾万元整</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w:t>
            </w:r>
            <w:r>
              <w:rPr>
                <w:rFonts w:hint="eastAsia" w:ascii="宋体" w:hAnsi="宋体"/>
                <w:b/>
                <w:color w:val="auto"/>
                <w:sz w:val="24"/>
                <w:szCs w:val="24"/>
                <w:highlight w:val="none"/>
                <w:u w:val="single"/>
              </w:rPr>
              <w:t>准格尔煤田信用合作联社中山分社</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行    号：</w:t>
            </w:r>
            <w:r>
              <w:rPr>
                <w:rFonts w:hint="eastAsia" w:ascii="宋体" w:hAnsi="宋体"/>
                <w:b/>
                <w:color w:val="auto"/>
                <w:sz w:val="24"/>
                <w:szCs w:val="24"/>
                <w:highlight w:val="none"/>
                <w:u w:val="single"/>
              </w:rPr>
              <w:t>402205300010</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开户单位：</w:t>
            </w:r>
            <w:r>
              <w:rPr>
                <w:rFonts w:hint="eastAsia" w:ascii="宋体" w:hAnsi="宋体"/>
                <w:b/>
                <w:color w:val="auto"/>
                <w:sz w:val="24"/>
                <w:szCs w:val="24"/>
                <w:highlight w:val="none"/>
                <w:u w:val="single"/>
              </w:rPr>
              <w:t>鄂尔多斯市准格尔旗公共资源交易中心</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账    号：</w:t>
            </w:r>
            <w:r>
              <w:rPr>
                <w:rFonts w:hint="eastAsia" w:ascii="宋体" w:hAnsi="宋体"/>
                <w:b/>
                <w:color w:val="auto"/>
                <w:sz w:val="24"/>
                <w:szCs w:val="24"/>
                <w:highlight w:val="none"/>
                <w:u w:val="single"/>
              </w:rPr>
              <w:t>详见“政府采购投标信息回执函”下方所附“保证金缴纳信息”中载明的账号</w:t>
            </w:r>
            <w:r>
              <w:rPr>
                <w:rFonts w:hint="eastAsia" w:ascii="宋体" w:hAnsi="宋体"/>
                <w:color w:val="auto"/>
                <w:sz w:val="24"/>
                <w:szCs w:val="24"/>
                <w:highlight w:val="none"/>
              </w:rPr>
              <w:t>。</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投标保证金缴纳、退还联系电话（交易中心）：0477-3864230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咨询电话（信用社中山分社）：0477-3864221</w:t>
            </w: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二、报名须知</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1.报名方式</w:t>
      </w:r>
    </w:p>
    <w:p>
      <w:pPr>
        <w:spacing w:line="360" w:lineRule="auto"/>
        <w:ind w:firstLine="480" w:firstLineChars="200"/>
        <w:rPr>
          <w:rFonts w:ascii="宋体" w:hAnsi="宋体" w:cs="宋体"/>
          <w:color w:val="auto"/>
          <w:kern w:val="0"/>
          <w:sz w:val="24"/>
          <w:szCs w:val="24"/>
          <w:highlight w:val="none"/>
        </w:rPr>
      </w:pPr>
      <w:r>
        <w:rPr>
          <w:rFonts w:hint="eastAsia" w:ascii="宋体" w:hAnsi="宋体"/>
          <w:color w:val="auto"/>
          <w:sz w:val="24"/>
          <w:szCs w:val="24"/>
          <w:highlight w:val="none"/>
        </w:rPr>
        <w:t>1.1</w:t>
      </w:r>
      <w:r>
        <w:rPr>
          <w:rFonts w:hint="eastAsia" w:ascii="宋体" w:hAnsi="宋体" w:cs="宋体"/>
          <w:color w:val="auto"/>
          <w:kern w:val="0"/>
          <w:sz w:val="24"/>
          <w:szCs w:val="24"/>
          <w:highlight w:val="none"/>
        </w:rPr>
        <w:t>报名方式采用网上报名，流程如下：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登录鄂</w:t>
      </w:r>
      <w:r>
        <w:rPr>
          <w:rFonts w:hint="eastAsia" w:ascii="宋体" w:hAnsi="宋体" w:cs="宋体"/>
          <w:color w:val="auto"/>
          <w:kern w:val="0"/>
          <w:sz w:val="24"/>
          <w:szCs w:val="24"/>
          <w:highlight w:val="none"/>
        </w:rPr>
        <w:t>尔多斯市公共资源交易网站（</w:t>
      </w:r>
      <w:r>
        <w:rPr>
          <w:color w:val="auto"/>
          <w:highlight w:val="none"/>
        </w:rPr>
        <w:fldChar w:fldCharType="begin"/>
      </w:r>
      <w:r>
        <w:rPr>
          <w:color w:val="auto"/>
          <w:highlight w:val="none"/>
        </w:rPr>
        <w:instrText xml:space="preserve"> HYPERLINK "http://www.ordosggzyjy.com" </w:instrText>
      </w:r>
      <w:r>
        <w:rPr>
          <w:color w:val="auto"/>
          <w:highlight w:val="none"/>
        </w:rPr>
        <w:fldChar w:fldCharType="separate"/>
      </w:r>
      <w:r>
        <w:rPr>
          <w:rFonts w:hint="eastAsia" w:ascii="宋体" w:hAnsi="宋体" w:cs="宋体"/>
          <w:color w:val="auto"/>
          <w:kern w:val="0"/>
          <w:sz w:val="24"/>
          <w:szCs w:val="24"/>
          <w:highlight w:val="none"/>
        </w:rPr>
        <w:t>http://www.ordosggzyjy.o</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color w:val="auto"/>
          <w:kern w:val="0"/>
          <w:sz w:val="24"/>
          <w:szCs w:val="24"/>
          <w:highlight w:val="none"/>
        </w:rPr>
        <w:t>保证金缴纳信息</w:t>
      </w:r>
      <w:r>
        <w:rPr>
          <w:rFonts w:hint="eastAsia" w:ascii="宋体" w:hAnsi="宋体" w:cs="宋体"/>
          <w:color w:val="auto"/>
          <w:kern w:val="0"/>
          <w:sz w:val="24"/>
          <w:szCs w:val="24"/>
          <w:highlight w:val="none"/>
        </w:rPr>
        <w:t>”。</w:t>
      </w:r>
    </w:p>
    <w:p>
      <w:pPr>
        <w:spacing w:before="156" w:beforeLines="50" w:line="360" w:lineRule="auto"/>
        <w:ind w:firstLine="480" w:firstLineChars="200"/>
        <w:textAlignment w:val="baseline"/>
        <w:rPr>
          <w:rFonts w:ascii="宋体" w:hAnsi="宋体"/>
          <w:color w:val="auto"/>
          <w:sz w:val="24"/>
          <w:szCs w:val="24"/>
          <w:highlight w:val="none"/>
        </w:rPr>
      </w:pPr>
      <w:r>
        <w:rPr>
          <w:rFonts w:hint="eastAsia" w:ascii="宋体" w:hAnsi="宋体" w:cs="宋体"/>
          <w:color w:val="auto"/>
          <w:kern w:val="0"/>
          <w:sz w:val="24"/>
          <w:szCs w:val="24"/>
          <w:highlight w:val="none"/>
        </w:rPr>
        <w:t>1.2缴纳投标保证金。</w:t>
      </w:r>
      <w:r>
        <w:rPr>
          <w:rFonts w:hint="eastAsia" w:ascii="宋体" w:hAnsi="宋体"/>
          <w:color w:val="auto"/>
          <w:sz w:val="24"/>
          <w:szCs w:val="24"/>
          <w:highlight w:val="none"/>
        </w:rPr>
        <w:t>本招标项目采用“虚拟子账号”形式收退投标保证金，每一个投标人在所投的每一项目或标包会自动生成一个账号，</w:t>
      </w:r>
      <w:r>
        <w:rPr>
          <w:rFonts w:hint="eastAsia" w:ascii="宋体" w:hAnsi="宋体" w:cs="宋体"/>
          <w:color w:val="auto"/>
          <w:kern w:val="0"/>
          <w:sz w:val="24"/>
          <w:szCs w:val="24"/>
          <w:highlight w:val="none"/>
        </w:rPr>
        <w:t>称为“虚拟子账号”。投标人</w:t>
      </w:r>
      <w:r>
        <w:rPr>
          <w:rFonts w:hint="eastAsia" w:ascii="宋体" w:hAnsi="宋体"/>
          <w:color w:val="auto"/>
          <w:sz w:val="24"/>
          <w:szCs w:val="24"/>
          <w:highlight w:val="none"/>
        </w:rPr>
        <w:t>在进行投标信息确认后，应查看“</w:t>
      </w:r>
      <w:r>
        <w:rPr>
          <w:rFonts w:ascii="宋体" w:hAnsi="宋体" w:cs="宋体"/>
          <w:color w:val="auto"/>
          <w:kern w:val="0"/>
          <w:sz w:val="24"/>
          <w:szCs w:val="24"/>
          <w:highlight w:val="none"/>
        </w:rPr>
        <w:t>保证金缴纳信息</w:t>
      </w:r>
      <w:r>
        <w:rPr>
          <w:rFonts w:hint="eastAsia" w:ascii="宋体" w:hAnsi="宋体"/>
          <w:color w:val="auto"/>
          <w:sz w:val="24"/>
          <w:szCs w:val="24"/>
          <w:highlight w:val="none"/>
        </w:rPr>
        <w:t>”下方所载明的账号，并按照招标文件规定的金额、时间电汇</w:t>
      </w:r>
      <w:r>
        <w:rPr>
          <w:rFonts w:hint="eastAsia" w:ascii="宋体" w:hAnsi="宋体" w:cs="宋体"/>
          <w:color w:val="auto"/>
          <w:kern w:val="0"/>
          <w:sz w:val="24"/>
          <w:szCs w:val="24"/>
          <w:highlight w:val="none"/>
        </w:rPr>
        <w:t>或转账</w:t>
      </w:r>
      <w:r>
        <w:rPr>
          <w:rFonts w:hint="eastAsia" w:ascii="宋体" w:hAnsi="宋体"/>
          <w:color w:val="auto"/>
          <w:sz w:val="24"/>
          <w:szCs w:val="24"/>
          <w:highlight w:val="none"/>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color w:val="auto"/>
          <w:sz w:val="24"/>
          <w:szCs w:val="24"/>
          <w:highlight w:val="none"/>
        </w:rPr>
      </w:pPr>
      <w:r>
        <w:rPr>
          <w:rFonts w:hint="eastAsia" w:ascii="宋体" w:hAnsi="宋体" w:cs="宋体"/>
          <w:color w:val="auto"/>
          <w:kern w:val="0"/>
          <w:sz w:val="24"/>
          <w:szCs w:val="24"/>
          <w:highlight w:val="none"/>
        </w:rPr>
        <w:t>1.3查看报名状况。用“回执码”登录可查看报名状况；只有“是否缴纳保证金”显示“已缴纳”，方可参加投标。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2.报名时间及报名截止时间（网上报名）</w:t>
      </w:r>
    </w:p>
    <w:p>
      <w:pPr>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2.1报名时间（招标文件提供期限）：2020年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18</w:t>
      </w:r>
      <w:r>
        <w:rPr>
          <w:rFonts w:hint="eastAsia" w:ascii="宋体" w:hAnsi="宋体" w:cs="宋体"/>
          <w:color w:val="auto"/>
          <w:kern w:val="0"/>
          <w:sz w:val="24"/>
          <w:szCs w:val="24"/>
          <w:highlight w:val="none"/>
        </w:rPr>
        <w:t>日至2020年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26</w:t>
      </w:r>
      <w:r>
        <w:rPr>
          <w:rFonts w:hint="eastAsia" w:ascii="宋体" w:hAnsi="宋体" w:cs="宋体"/>
          <w:color w:val="auto"/>
          <w:kern w:val="0"/>
          <w:sz w:val="24"/>
          <w:szCs w:val="24"/>
          <w:highlight w:val="none"/>
        </w:rPr>
        <w:t>日17时30分整</w:t>
      </w:r>
    </w:p>
    <w:p>
      <w:pPr>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2.2保证金缴纳截止时间（同提交投标文件截止时间）：2020年</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月1</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日10时整</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3.特别提示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准格尔煤田信用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3.2由于投标保证金到账需要一定时间，请投标人在投标截止前及早缴纳，以免导致报名无效。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szCs w:val="24"/>
          <w:highlight w:val="none"/>
        </w:rPr>
        <w:t>3.4</w:t>
      </w:r>
      <w:r>
        <w:rPr>
          <w:rFonts w:hint="eastAsia" w:ascii="宋体" w:hAnsi="宋体"/>
          <w:b/>
          <w:bCs/>
          <w:color w:val="auto"/>
          <w:sz w:val="24"/>
          <w:szCs w:val="24"/>
          <w:highlight w:val="none"/>
        </w:rPr>
        <w:t>网上报名成功而放弃参加投标的投标人，请在提交投标文件前3个工作日以书面形式并加盖单位公章（扫描件发送至</w:t>
      </w:r>
      <w:r>
        <w:rPr>
          <w:color w:val="auto"/>
          <w:highlight w:val="none"/>
        </w:rPr>
        <w:fldChar w:fldCharType="begin"/>
      </w:r>
      <w:r>
        <w:rPr>
          <w:color w:val="auto"/>
          <w:highlight w:val="none"/>
        </w:rPr>
        <w:instrText xml:space="preserve"> HYPERLINK "javascript:;" </w:instrText>
      </w:r>
      <w:r>
        <w:rPr>
          <w:color w:val="auto"/>
          <w:highlight w:val="none"/>
        </w:rPr>
        <w:fldChar w:fldCharType="separate"/>
      </w:r>
      <w:r>
        <w:rPr>
          <w:rStyle w:val="29"/>
          <w:rFonts w:hint="eastAsia" w:ascii="宋体" w:hAnsi="宋体" w:cs="宋体"/>
          <w:b/>
          <w:bCs/>
          <w:color w:val="auto"/>
          <w:kern w:val="0"/>
          <w:sz w:val="24"/>
          <w:szCs w:val="24"/>
          <w:highlight w:val="none"/>
          <w:lang w:val="en-US" w:eastAsia="zh-CN"/>
        </w:rPr>
        <w:t>1017617001</w:t>
      </w:r>
      <w:r>
        <w:rPr>
          <w:rStyle w:val="29"/>
          <w:rFonts w:ascii="宋体" w:hAnsi="宋体" w:cs="宋体"/>
          <w:b/>
          <w:bCs/>
          <w:color w:val="auto"/>
          <w:kern w:val="0"/>
          <w:sz w:val="24"/>
          <w:szCs w:val="24"/>
          <w:highlight w:val="none"/>
        </w:rPr>
        <w:t>@</w:t>
      </w:r>
      <w:r>
        <w:rPr>
          <w:rStyle w:val="29"/>
          <w:rFonts w:hint="eastAsia" w:ascii="宋体" w:hAnsi="宋体" w:cs="宋体"/>
          <w:b/>
          <w:bCs/>
          <w:color w:val="auto"/>
          <w:kern w:val="0"/>
          <w:sz w:val="24"/>
          <w:szCs w:val="24"/>
          <w:highlight w:val="none"/>
        </w:rPr>
        <w:t>qq</w:t>
      </w:r>
      <w:r>
        <w:rPr>
          <w:rStyle w:val="29"/>
          <w:rFonts w:ascii="宋体" w:hAnsi="宋体" w:cs="宋体"/>
          <w:b/>
          <w:bCs/>
          <w:color w:val="auto"/>
          <w:kern w:val="0"/>
          <w:sz w:val="24"/>
          <w:szCs w:val="24"/>
          <w:highlight w:val="none"/>
        </w:rPr>
        <w:t>.com</w:t>
      </w:r>
      <w:r>
        <w:rPr>
          <w:rStyle w:val="29"/>
          <w:rFonts w:ascii="宋体" w:hAnsi="宋体" w:cs="宋体"/>
          <w:b/>
          <w:bCs/>
          <w:color w:val="auto"/>
          <w:kern w:val="0"/>
          <w:sz w:val="24"/>
          <w:szCs w:val="24"/>
          <w:highlight w:val="none"/>
        </w:rPr>
        <w:fldChar w:fldCharType="end"/>
      </w:r>
      <w:r>
        <w:rPr>
          <w:rFonts w:hint="eastAsia" w:ascii="宋体" w:hAnsi="宋体"/>
          <w:b/>
          <w:bCs/>
          <w:color w:val="auto"/>
          <w:sz w:val="24"/>
          <w:szCs w:val="24"/>
          <w:highlight w:val="none"/>
        </w:rPr>
        <w:t>或书面送达）通知鄂尔多斯市准格尔旗公共资源交易中心，</w:t>
      </w:r>
      <w:r>
        <w:rPr>
          <w:rFonts w:hint="eastAsia" w:ascii="宋体" w:hAnsi="宋体"/>
          <w:b/>
          <w:bCs/>
          <w:color w:val="auto"/>
          <w:sz w:val="24"/>
          <w:szCs w:val="24"/>
          <w:highlight w:val="none"/>
          <w:u w:val="single"/>
        </w:rPr>
        <w:t>并在网上报名页面中撤销报名</w:t>
      </w:r>
      <w:r>
        <w:rPr>
          <w:rFonts w:hint="eastAsia" w:ascii="宋体" w:hAnsi="宋体"/>
          <w:b/>
          <w:bCs/>
          <w:color w:val="auto"/>
          <w:sz w:val="24"/>
          <w:szCs w:val="24"/>
          <w:highlight w:val="none"/>
        </w:rPr>
        <w:t>。放弃投标未予告知的，鄂尔多斯市准格尔旗公共资源交易中心将给予不诚信行为记录并在鄂尔多斯市公共资源交易网上公开通报。</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三、说明</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1.总则</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本次公开招标项目，</w:t>
      </w:r>
      <w:r>
        <w:rPr>
          <w:rFonts w:ascii="宋体" w:hAnsi="宋体"/>
          <w:color w:val="auto"/>
          <w:sz w:val="24"/>
          <w:szCs w:val="24"/>
          <w:highlight w:val="none"/>
        </w:rPr>
        <w:t>是以</w:t>
      </w:r>
      <w:r>
        <w:rPr>
          <w:rFonts w:hint="eastAsia" w:ascii="宋体" w:hAnsi="宋体"/>
          <w:color w:val="auto"/>
          <w:sz w:val="24"/>
          <w:szCs w:val="24"/>
          <w:highlight w:val="none"/>
        </w:rPr>
        <w:t>招标</w:t>
      </w:r>
      <w:r>
        <w:rPr>
          <w:rFonts w:ascii="宋体" w:hAnsi="宋体"/>
          <w:color w:val="auto"/>
          <w:sz w:val="24"/>
          <w:szCs w:val="24"/>
          <w:highlight w:val="none"/>
        </w:rPr>
        <w:t>公告的方式邀请非特定的</w:t>
      </w:r>
      <w:r>
        <w:rPr>
          <w:rFonts w:hint="eastAsia" w:ascii="宋体" w:hAnsi="宋体"/>
          <w:color w:val="auto"/>
          <w:sz w:val="24"/>
          <w:szCs w:val="24"/>
          <w:highlight w:val="none"/>
        </w:rPr>
        <w:t>投标人</w:t>
      </w:r>
      <w:r>
        <w:rPr>
          <w:rFonts w:ascii="宋体" w:hAnsi="宋体"/>
          <w:color w:val="auto"/>
          <w:sz w:val="24"/>
          <w:szCs w:val="24"/>
          <w:highlight w:val="none"/>
        </w:rPr>
        <w:t>参加投标</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本招标文件所称货物，是指各种形态和种类的物品。提供的货物必须合法生产或销售且符合国家有关标准要求。</w:t>
      </w:r>
    </w:p>
    <w:p>
      <w:pPr>
        <w:pStyle w:val="4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2.适用范围</w:t>
      </w:r>
    </w:p>
    <w:p>
      <w:pPr>
        <w:pStyle w:val="44"/>
        <w:adjustRightInd w:val="0"/>
        <w:snapToGrid w:val="0"/>
        <w:spacing w:line="360" w:lineRule="auto"/>
        <w:ind w:firstLine="480" w:firstLineChars="200"/>
        <w:rPr>
          <w:rFonts w:hAnsi="宋体"/>
          <w:b/>
          <w:color w:val="auto"/>
          <w:sz w:val="24"/>
          <w:szCs w:val="24"/>
          <w:highlight w:val="none"/>
        </w:rPr>
      </w:pPr>
      <w:r>
        <w:rPr>
          <w:rFonts w:hint="eastAsia" w:hAnsi="宋体" w:cs="宋体"/>
          <w:color w:val="auto"/>
          <w:sz w:val="24"/>
          <w:szCs w:val="24"/>
          <w:highlight w:val="none"/>
        </w:rPr>
        <w:t>本招标文件仅适用于本次招标公告中所涉及的项目和内容。</w:t>
      </w:r>
    </w:p>
    <w:p>
      <w:pPr>
        <w:pStyle w:val="4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3.投标费用</w:t>
      </w:r>
    </w:p>
    <w:p>
      <w:pPr>
        <w:pStyle w:val="44"/>
        <w:adjustRightInd w:val="0"/>
        <w:snapToGrid w:val="0"/>
        <w:spacing w:line="360" w:lineRule="auto"/>
        <w:ind w:firstLine="480" w:firstLineChars="200"/>
        <w:rPr>
          <w:rFonts w:hAnsi="宋体" w:cs="Arial"/>
          <w:color w:val="auto"/>
          <w:sz w:val="24"/>
          <w:szCs w:val="24"/>
          <w:highlight w:val="none"/>
        </w:rPr>
      </w:pPr>
      <w:r>
        <w:rPr>
          <w:rFonts w:hint="eastAsia" w:hAnsi="宋体"/>
          <w:color w:val="auto"/>
          <w:sz w:val="24"/>
          <w:szCs w:val="24"/>
          <w:highlight w:val="none"/>
        </w:rPr>
        <w:t>投标人应承担所有与准备和参加投标有关的费用。不论投标结果如何，交易中心</w:t>
      </w:r>
      <w:r>
        <w:rPr>
          <w:rFonts w:hint="eastAsia" w:hAnsi="宋体" w:cs="Arial"/>
          <w:color w:val="auto"/>
          <w:sz w:val="24"/>
          <w:szCs w:val="24"/>
          <w:highlight w:val="none"/>
        </w:rPr>
        <w:t>和采购人均无义务和责任承担相关费用。</w:t>
      </w:r>
    </w:p>
    <w:p>
      <w:pPr>
        <w:spacing w:line="360" w:lineRule="auto"/>
        <w:rPr>
          <w:rFonts w:ascii="宋体" w:hAnsi="宋体" w:cs="Arial"/>
          <w:b/>
          <w:color w:val="auto"/>
          <w:sz w:val="24"/>
          <w:szCs w:val="24"/>
          <w:highlight w:val="none"/>
        </w:rPr>
      </w:pPr>
      <w:r>
        <w:rPr>
          <w:rFonts w:hint="eastAsia" w:ascii="宋体" w:hAnsi="宋体" w:cs="Arial"/>
          <w:b/>
          <w:color w:val="auto"/>
          <w:sz w:val="24"/>
          <w:szCs w:val="24"/>
          <w:highlight w:val="none"/>
        </w:rPr>
        <w:t>4.当事人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4.1“采购人”是指</w:t>
      </w:r>
      <w:r>
        <w:rPr>
          <w:rFonts w:hint="eastAsia" w:ascii="宋体" w:hAnsi="宋体" w:cs="Arial"/>
          <w:color w:val="auto"/>
          <w:sz w:val="24"/>
          <w:szCs w:val="24"/>
          <w:highlight w:val="none"/>
        </w:rPr>
        <w:t>依法进行政府采购的国家机关、事业单位、团体组织。本招标文件的采购人特指（</w:t>
      </w:r>
      <w:r>
        <w:rPr>
          <w:rFonts w:hint="eastAsia" w:ascii="宋体" w:hAnsi="宋体" w:cs="Arial"/>
          <w:b/>
          <w:bCs/>
          <w:color w:val="auto"/>
          <w:sz w:val="24"/>
          <w:szCs w:val="24"/>
          <w:highlight w:val="none"/>
        </w:rPr>
        <w:t>鄂尔多斯大路煤化工基地财政局</w:t>
      </w:r>
      <w:r>
        <w:rPr>
          <w:rFonts w:hint="eastAsia" w:ascii="宋体" w:hAnsi="宋体" w:cs="Arial"/>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4.3“投标人”是指向采购人提供货物、工程或者服务的法人、其他组织或者自然人。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4.5“中标人”是指经评标委员会评审确定的对招标文件做出实质性响应，取得与采购人签订合同资格的投标人。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5.合格的投标人</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 符合本招标文件规定的资格要求，并按照要求提供相关证明材料。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5.7本项目不接受联合体投标。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6.语言文字以及度量衡单位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6.1所有文件使用的语言文字为简体中文。专用术语使用外文的，应附有简体中文注释，否则</w:t>
      </w:r>
      <w:r>
        <w:rPr>
          <w:rFonts w:hint="eastAsia" w:ascii="宋体" w:hAnsi="宋体" w:cs="宋体"/>
          <w:color w:val="auto"/>
          <w:sz w:val="24"/>
          <w:szCs w:val="24"/>
          <w:highlight w:val="none"/>
        </w:rPr>
        <w:t>视为无效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6.2所有计量均采用中国法定的计量单位。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6.3所有报价一律使用人民币，货币单位：元。</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7.踏勘现场</w:t>
      </w:r>
    </w:p>
    <w:p>
      <w:pPr>
        <w:spacing w:line="360" w:lineRule="auto"/>
        <w:ind w:firstLine="480" w:firstLineChars="200"/>
        <w:rPr>
          <w:rFonts w:ascii="宋体" w:hAnsi="宋体"/>
          <w:b/>
          <w:color w:val="auto"/>
          <w:sz w:val="24"/>
          <w:szCs w:val="24"/>
          <w:highlight w:val="none"/>
        </w:rPr>
      </w:pPr>
      <w:r>
        <w:rPr>
          <w:rFonts w:hint="eastAsia" w:ascii="宋体" w:hAnsi="宋体"/>
          <w:color w:val="auto"/>
          <w:sz w:val="24"/>
          <w:szCs w:val="24"/>
          <w:highlight w:val="none"/>
        </w:rPr>
        <w:t xml:space="preserve">7.1招标文件规定组织踏勘现场的，采购人按招标文件规定的时间、地点组织投标人踏勘项目现场。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7.2投标人自行承担踏勘现场发生的责任、风险和自身费用。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7.3采购人在踏勘现场中介绍的资料和数据等，不构成对招标文件的修改或不作为投标人编制投标文件的依据。</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8.其他条款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无论中标与否投标人递交的投标文件均不予退还。</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四、招标文件的澄清或者修改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采购人或交易中心对已发出的招标文件进行必要的澄清或修改的，澄清或者修改的内容可能影响投标文件编制的，采购人或者交易中心应当在投标截止时间15日前，</w:t>
      </w:r>
      <w:r>
        <w:rPr>
          <w:rFonts w:ascii="宋体" w:hAnsi="宋体" w:cs="宋体"/>
          <w:color w:val="auto"/>
          <w:kern w:val="0"/>
          <w:sz w:val="24"/>
          <w:szCs w:val="24"/>
          <w:highlight w:val="none"/>
        </w:rPr>
        <w:t>不足</w:t>
      </w:r>
      <w:r>
        <w:rPr>
          <w:rFonts w:hint="eastAsia" w:ascii="宋体" w:hAnsi="宋体" w:cs="宋体"/>
          <w:color w:val="auto"/>
          <w:kern w:val="0"/>
          <w:sz w:val="24"/>
          <w:szCs w:val="24"/>
          <w:highlight w:val="none"/>
        </w:rPr>
        <w:t>15</w:t>
      </w:r>
      <w:r>
        <w:rPr>
          <w:rFonts w:ascii="宋体" w:hAnsi="宋体" w:cs="宋体"/>
          <w:color w:val="auto"/>
          <w:kern w:val="0"/>
          <w:sz w:val="24"/>
          <w:szCs w:val="24"/>
          <w:highlight w:val="none"/>
        </w:rPr>
        <w:t>日的，顺延</w:t>
      </w:r>
      <w:r>
        <w:rPr>
          <w:rFonts w:hint="eastAsia" w:ascii="宋体" w:hAnsi="宋体" w:cs="宋体"/>
          <w:color w:val="auto"/>
          <w:kern w:val="0"/>
          <w:sz w:val="24"/>
          <w:szCs w:val="24"/>
          <w:highlight w:val="none"/>
        </w:rPr>
        <w:t>投标</w:t>
      </w:r>
      <w:r>
        <w:rPr>
          <w:rFonts w:ascii="宋体" w:hAnsi="宋体" w:cs="宋体"/>
          <w:color w:val="auto"/>
          <w:kern w:val="0"/>
          <w:sz w:val="24"/>
          <w:szCs w:val="24"/>
          <w:highlight w:val="none"/>
        </w:rPr>
        <w:t>截止之日</w:t>
      </w:r>
      <w:r>
        <w:rPr>
          <w:rFonts w:hint="eastAsia" w:ascii="宋体" w:hAnsi="宋体" w:cs="宋体"/>
          <w:color w:val="auto"/>
          <w:kern w:val="0"/>
          <w:sz w:val="24"/>
          <w:szCs w:val="24"/>
          <w:highlight w:val="none"/>
        </w:rPr>
        <w:t>，同时</w:t>
      </w:r>
      <w:r>
        <w:rPr>
          <w:rFonts w:hint="eastAsia" w:ascii="宋体" w:hAnsi="宋体"/>
          <w:color w:val="auto"/>
          <w:sz w:val="24"/>
          <w:szCs w:val="24"/>
          <w:highlight w:val="none"/>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五、投标文件</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1.投标文件的构成</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投标文件应按照招标文件第七章“投标文件格式”进行编写（可以增加附页），作为投标文件的组成部分。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2.1 </w:t>
      </w:r>
      <w:r>
        <w:rPr>
          <w:rFonts w:ascii="宋体" w:hAnsi="宋体"/>
          <w:color w:val="auto"/>
          <w:sz w:val="24"/>
          <w:szCs w:val="24"/>
          <w:highlight w:val="none"/>
        </w:rPr>
        <w:t>投标人应按照“第四章招标内容与要求”的供货内容</w:t>
      </w:r>
      <w:r>
        <w:rPr>
          <w:rFonts w:hint="eastAsia" w:ascii="宋体" w:hAnsi="宋体"/>
          <w:color w:val="auto"/>
          <w:sz w:val="24"/>
          <w:szCs w:val="24"/>
          <w:highlight w:val="none"/>
        </w:rPr>
        <w:t>、</w:t>
      </w:r>
      <w:r>
        <w:rPr>
          <w:rFonts w:ascii="宋体" w:hAnsi="宋体"/>
          <w:color w:val="auto"/>
          <w:sz w:val="24"/>
          <w:szCs w:val="24"/>
          <w:highlight w:val="none"/>
        </w:rPr>
        <w:t>责任范围以及合同条款进行报价。并按“开标一览表”和“投标货物分项报价明细表”规定的格式报出总价和分项价格</w:t>
      </w:r>
      <w:r>
        <w:rPr>
          <w:rFonts w:ascii="宋体" w:hAnsi="宋体"/>
          <w:color w:val="auto"/>
          <w:kern w:val="0"/>
          <w:sz w:val="24"/>
          <w:szCs w:val="24"/>
          <w:highlight w:val="none"/>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2.2 </w:t>
      </w:r>
      <w:r>
        <w:rPr>
          <w:rFonts w:hint="eastAsia" w:ascii="宋体" w:hAnsi="宋体"/>
          <w:color w:val="auto"/>
          <w:sz w:val="24"/>
          <w:szCs w:val="24"/>
          <w:highlight w:val="none"/>
        </w:rPr>
        <w:t>投标报价的范</w:t>
      </w:r>
      <w:r>
        <w:rPr>
          <w:rFonts w:hint="eastAsia" w:ascii="宋体" w:hAnsi="宋体"/>
          <w:color w:val="auto"/>
          <w:kern w:val="0"/>
          <w:sz w:val="24"/>
          <w:szCs w:val="24"/>
          <w:highlight w:val="none"/>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sz w:val="24"/>
          <w:szCs w:val="24"/>
          <w:highlight w:val="none"/>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sz w:val="24"/>
          <w:szCs w:val="24"/>
          <w:highlight w:val="none"/>
        </w:rPr>
        <w:t>2.4</w:t>
      </w:r>
      <w:r>
        <w:rPr>
          <w:rFonts w:ascii="宋体" w:hAnsi="宋体"/>
          <w:color w:val="auto"/>
          <w:sz w:val="24"/>
          <w:szCs w:val="24"/>
          <w:highlight w:val="none"/>
        </w:rPr>
        <w:t>对报价的计算错误按以下原则修正：</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）大写金额和小写金额不一致的，以大写金额为准；</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）单价金额小数点或者百分比有明显错位的，以开标一览表的总价为准，并修改单价。</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3.投标文件的密封、签署、盖章要求等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color w:val="auto"/>
          <w:sz w:val="24"/>
          <w:szCs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3.4投标文件的密封。投标人</w:t>
      </w:r>
      <w:r>
        <w:rPr>
          <w:rFonts w:ascii="宋体" w:hAnsi="宋体"/>
          <w:color w:val="auto"/>
          <w:sz w:val="24"/>
          <w:szCs w:val="24"/>
          <w:highlight w:val="none"/>
        </w:rPr>
        <w:t>应使用密封袋将</w:t>
      </w:r>
      <w:r>
        <w:rPr>
          <w:rFonts w:hint="eastAsia" w:ascii="宋体" w:hAnsi="宋体"/>
          <w:color w:val="auto"/>
          <w:sz w:val="24"/>
          <w:szCs w:val="24"/>
          <w:highlight w:val="none"/>
        </w:rPr>
        <w:t>投标</w:t>
      </w:r>
      <w:r>
        <w:rPr>
          <w:rFonts w:ascii="宋体" w:hAnsi="宋体"/>
          <w:color w:val="auto"/>
          <w:sz w:val="24"/>
          <w:szCs w:val="24"/>
          <w:highlight w:val="none"/>
        </w:rPr>
        <w:t>文件密封</w:t>
      </w:r>
      <w:r>
        <w:rPr>
          <w:rFonts w:hint="eastAsia" w:ascii="宋体" w:hAnsi="宋体"/>
          <w:color w:val="auto"/>
          <w:sz w:val="24"/>
          <w:szCs w:val="24"/>
          <w:highlight w:val="none"/>
        </w:rPr>
        <w:t>，电子文档可密封至投标文件中也可单独密封。密封封面上需注明“项目名称”、“项目编号”、“分包号”、“投标人全称”和《投标文件》或《电子版》字样，并在密封包装上</w:t>
      </w:r>
      <w:r>
        <w:rPr>
          <w:rFonts w:ascii="宋体" w:hAnsi="宋体"/>
          <w:color w:val="auto"/>
          <w:sz w:val="24"/>
          <w:szCs w:val="24"/>
          <w:highlight w:val="none"/>
        </w:rPr>
        <w:t>粘贴密封条</w:t>
      </w:r>
      <w:r>
        <w:rPr>
          <w:rFonts w:hint="eastAsia" w:ascii="宋体" w:hAnsi="宋体"/>
          <w:color w:val="auto"/>
          <w:sz w:val="24"/>
          <w:szCs w:val="24"/>
          <w:highlight w:val="none"/>
        </w:rPr>
        <w:t>。</w:t>
      </w:r>
    </w:p>
    <w:p>
      <w:pPr>
        <w:spacing w:line="360" w:lineRule="auto"/>
        <w:ind w:right="57" w:firstLine="480" w:firstLineChars="200"/>
        <w:rPr>
          <w:rFonts w:ascii="宋体" w:hAnsi="宋体"/>
          <w:color w:val="auto"/>
          <w:sz w:val="24"/>
          <w:szCs w:val="24"/>
          <w:highlight w:val="none"/>
        </w:rPr>
      </w:pPr>
      <w:r>
        <w:rPr>
          <w:rFonts w:hint="eastAsia" w:ascii="宋体" w:hAnsi="宋体"/>
          <w:color w:val="auto"/>
          <w:sz w:val="24"/>
          <w:szCs w:val="24"/>
          <w:highlight w:val="none"/>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4.投标有效期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5.投标保证金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5.1投标保证金的缴纳</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5.2投标保证金的退还：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（2）未中标人投标保证金，自中标通知书发出之日起5个工作日内退还；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5.3有下列情形之一的，投标保证金将不予退还：</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（1）中标后，无正当理由放弃中标资格；</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（2）中标后，无正当理由不与招标人签订合同；</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（3）在签订合同时，向招标人提出附加条件；</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（4）不按照招标文件要求提交履约保证金；</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（5）要求修改、补充和撤销投标文件的实质性内容；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（6）要求更改招标文件和中标结果公告的实质性内容；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（7）法律法规和招标文件规定的其他情形。</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6.</w:t>
      </w:r>
      <w:r>
        <w:rPr>
          <w:rFonts w:ascii="宋体" w:hAnsi="宋体"/>
          <w:b/>
          <w:color w:val="auto"/>
          <w:sz w:val="24"/>
          <w:szCs w:val="24"/>
          <w:highlight w:val="none"/>
        </w:rPr>
        <w:t>投标文件的修改和撤回</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7.投标文件的递交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在招标文件要求提交投标文件的截止时间之后送达的投标文件</w:t>
      </w:r>
      <w:r>
        <w:rPr>
          <w:rFonts w:hint="eastAsia" w:ascii="宋体" w:hAnsi="宋体"/>
          <w:color w:val="auto"/>
          <w:kern w:val="0"/>
          <w:sz w:val="24"/>
          <w:szCs w:val="24"/>
          <w:highlight w:val="none"/>
        </w:rPr>
        <w:t>，</w:t>
      </w:r>
      <w:r>
        <w:rPr>
          <w:rFonts w:hint="eastAsia" w:ascii="宋体" w:hAnsi="宋体"/>
          <w:color w:val="auto"/>
          <w:sz w:val="24"/>
          <w:szCs w:val="24"/>
          <w:highlight w:val="none"/>
        </w:rPr>
        <w:t>为无效投标文件，采购单位或交易中心拒收。</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8.样品（演示）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8.2评标结束后，中标人与采购人共同清点、检查和密封样品，由中标人送至采购人指定地点封存。未中标投标人将样品自行带回。</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六.开标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1.开标时间和地点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采购人、交易中心对误投或未按规定时间、地点进行投标的概不负责。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2.开标程序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2.1主持人按下列程序进行开标：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（1）宣布开标纪律；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（2）公布在投标截止时间前提交投标文件的投标人名称；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（3）宣布采购人代表、采购代理机构代表、监督部门等有关人员姓名；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（5）参加开标会议人员在开标记录上对应签字确认；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（6）开标结束，投标文件移交评标委员会。</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2.2开标异议</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2.3 投标人不足三家的，不得开标。</w:t>
      </w:r>
    </w:p>
    <w:p>
      <w:pPr>
        <w:spacing w:line="360" w:lineRule="auto"/>
        <w:ind w:firstLine="361" w:firstLineChars="150"/>
        <w:rPr>
          <w:rFonts w:ascii="宋体" w:hAnsi="宋体"/>
          <w:b/>
          <w:color w:val="auto"/>
          <w:sz w:val="24"/>
          <w:szCs w:val="24"/>
          <w:highlight w:val="none"/>
        </w:rPr>
      </w:pPr>
      <w:r>
        <w:rPr>
          <w:rFonts w:hint="eastAsia" w:ascii="宋体" w:hAnsi="宋体"/>
          <w:b/>
          <w:color w:val="auto"/>
          <w:sz w:val="24"/>
          <w:szCs w:val="24"/>
          <w:highlight w:val="none"/>
        </w:rPr>
        <w:t>七.评标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1.评标委员会</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1.1评标委员会由采购人代表和有关技术、经济等方面的专家组成，成员人数为7人及以上单数，其中技术、经济等方面的评审专家不得少于成员总数的三分之二。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1.2评标委员会成员有下列情形之一的，应当回避：</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（3）与投标人有其他可能影响政府采购活动公平、公正进行的关系；</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2.评标原则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2.2具体评标事项由评标委员会负责，并按招标文件的规定办法进行评审。</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2.3 合格投标人不足三家的，不得评标。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3.澄清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3.1评标委员会不接受投标人主动提出的澄清、说明或补正。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3.2评标委员会对投标人提交的澄清、说明或补正有疑问的，可以要求投标人进一步澄清、说明或补正。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4.投标无效的情形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详见第六章初步审查表。经评标委员会认定，凡其中有一项不合格的，按无效投标处理。</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5.有下列情形之一的，视为投标人串通投标：</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（1）不同投标人的投标文件由同一单位或者个人编制；</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（2）不同投标人委托同一单位或者个人办理投标事宜；</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（3）不同投标人的投标文件载明的项目管理成员或者联系人员为同一人；</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（4）不同投标人的投标文件异常一致或者投标报价呈规律性差异；</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（5）不同投标人的投标文件相互混装；</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（6）不同投标人的投标保证金从同一单位或者个人的账户转出。</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6.废标的情形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出现下列情形之一的，应予以废标。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（1）符合专业条件的投标人或者对招标文件作实质响应的投标人不足3家</w:t>
      </w:r>
      <w:r>
        <w:rPr>
          <w:rFonts w:hint="eastAsia" w:ascii="宋体" w:hAnsi="宋体" w:cs="宋体"/>
          <w:color w:val="auto"/>
          <w:sz w:val="24"/>
          <w:szCs w:val="24"/>
          <w:highlight w:val="none"/>
        </w:rPr>
        <w:t>（或参与竞争的核心产品品牌不足</w:t>
      </w:r>
      <w:r>
        <w:rPr>
          <w:rFonts w:ascii="宋体" w:hAnsi="宋体" w:cs="宋体"/>
          <w:color w:val="auto"/>
          <w:sz w:val="24"/>
          <w:szCs w:val="24"/>
          <w:highlight w:val="none"/>
        </w:rPr>
        <w:t>3</w:t>
      </w:r>
      <w:r>
        <w:rPr>
          <w:rFonts w:hint="eastAsia" w:ascii="宋体" w:hAnsi="宋体" w:cs="宋体"/>
          <w:color w:val="auto"/>
          <w:sz w:val="24"/>
          <w:szCs w:val="24"/>
          <w:highlight w:val="none"/>
        </w:rPr>
        <w:t>个）的；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（2）出现影响采购公正的违法、违规行为的；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（3）投标人的报价均超过了采购预算；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（4）因重大变故，采购任务取消；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（5）法律、法规以及招标文件规定其他情形。</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7.定标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8.中标结果公告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个工作日。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8.2中标人须将中标货物报价明细表（WORD格式电子版，格式下载地址：鄂尔多斯市公共资源交易网</w:t>
      </w:r>
      <w:r>
        <w:rPr>
          <w:rFonts w:ascii="宋体" w:hAnsi="宋体"/>
          <w:color w:val="auto"/>
          <w:sz w:val="24"/>
          <w:szCs w:val="24"/>
          <w:highlight w:val="none"/>
        </w:rPr>
        <w:t>—</w:t>
      </w:r>
      <w:r>
        <w:rPr>
          <w:rFonts w:hint="eastAsia" w:ascii="宋体" w:hAnsi="宋体"/>
          <w:color w:val="auto"/>
          <w:sz w:val="24"/>
          <w:szCs w:val="24"/>
          <w:highlight w:val="none"/>
        </w:rPr>
        <w:t>办事指南</w:t>
      </w:r>
      <w:r>
        <w:rPr>
          <w:rFonts w:ascii="宋体" w:hAnsi="宋体"/>
          <w:color w:val="auto"/>
          <w:sz w:val="24"/>
          <w:szCs w:val="24"/>
          <w:highlight w:val="none"/>
        </w:rPr>
        <w:t>—</w:t>
      </w:r>
      <w:r>
        <w:rPr>
          <w:rFonts w:hint="eastAsia" w:ascii="宋体" w:hAnsi="宋体"/>
          <w:color w:val="auto"/>
          <w:sz w:val="24"/>
          <w:szCs w:val="24"/>
          <w:highlight w:val="none"/>
        </w:rPr>
        <w:t>办事表格下载</w:t>
      </w:r>
      <w:r>
        <w:rPr>
          <w:rFonts w:ascii="宋体" w:hAnsi="宋体"/>
          <w:color w:val="auto"/>
          <w:sz w:val="24"/>
          <w:szCs w:val="24"/>
          <w:highlight w:val="none"/>
        </w:rPr>
        <w:t>—</w:t>
      </w:r>
      <w:r>
        <w:rPr>
          <w:rFonts w:hint="eastAsia" w:ascii="宋体" w:hAnsi="宋体"/>
          <w:color w:val="auto"/>
          <w:sz w:val="24"/>
          <w:szCs w:val="24"/>
          <w:highlight w:val="none"/>
        </w:rPr>
        <w:t>政府采购相关范本）（包括主要中标标的的名称、规格型号、数量、单价、服务要求）于评标结束后当天发送在交易中心工作人员邮箱内1017617001@qq.com（，联系电话：13150857199），并在邮件标题注明项目名称及中标单位名称，否则不予发布中标结果公告。</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9.中标通知书发放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交易中心以书面形式向中标人发出中标通知书，</w:t>
      </w:r>
      <w:r>
        <w:rPr>
          <w:rFonts w:ascii="宋体" w:hAnsi="宋体"/>
          <w:color w:val="auto"/>
          <w:sz w:val="24"/>
          <w:szCs w:val="24"/>
          <w:highlight w:val="none"/>
        </w:rPr>
        <w:t>中标通知书是合同的组成部分</w:t>
      </w:r>
      <w:r>
        <w:rPr>
          <w:rFonts w:hint="eastAsia" w:ascii="宋体" w:hAnsi="宋体"/>
          <w:color w:val="auto"/>
          <w:sz w:val="24"/>
          <w:szCs w:val="24"/>
          <w:highlight w:val="none"/>
        </w:rPr>
        <w:t>，中标通知书对采购人和中标投标人具有同等法律效力。</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中标通知书发出后，采购人不得违法改变中标结果，中标人无正当理由不得放弃中标。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中标人须持法定代表人授权委托书及本人身份证至鄂尔多斯市准格尔旗公共资源交易中心204室领取。</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八.询问、质疑与投诉</w:t>
      </w:r>
    </w:p>
    <w:p>
      <w:pPr>
        <w:autoSpaceDE w:val="0"/>
        <w:autoSpaceDN w:val="0"/>
        <w:adjustRightInd w:val="0"/>
        <w:snapToGrid w:val="0"/>
        <w:spacing w:line="360" w:lineRule="auto"/>
        <w:ind w:right="32"/>
        <w:rPr>
          <w:rFonts w:ascii="宋体" w:hAnsi="宋体" w:cs="宋体"/>
          <w:b/>
          <w:color w:val="auto"/>
          <w:sz w:val="24"/>
          <w:szCs w:val="24"/>
          <w:highlight w:val="none"/>
        </w:rPr>
      </w:pPr>
      <w:r>
        <w:rPr>
          <w:rFonts w:hint="eastAsia" w:ascii="宋体" w:hAnsi="宋体" w:cs="宋体"/>
          <w:b/>
          <w:color w:val="auto"/>
          <w:sz w:val="24"/>
          <w:szCs w:val="24"/>
          <w:highlight w:val="none"/>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highlight w:val="none"/>
        </w:rPr>
      </w:pPr>
      <w:r>
        <w:rPr>
          <w:rFonts w:hint="eastAsia" w:ascii="宋体" w:hAnsi="宋体" w:cs="宋体"/>
          <w:color w:val="auto"/>
          <w:sz w:val="24"/>
          <w:szCs w:val="24"/>
          <w:highlight w:val="none"/>
        </w:rPr>
        <w:t>投标人对政府采购活动事项有疑问的，可以向采购人或交易中心提出询问，采购人或交易中心应当在</w:t>
      </w:r>
      <w:r>
        <w:rPr>
          <w:rFonts w:ascii="宋体" w:hAnsi="宋体" w:cs="宋体"/>
          <w:color w:val="auto"/>
          <w:sz w:val="24"/>
          <w:szCs w:val="24"/>
          <w:highlight w:val="none"/>
        </w:rPr>
        <w:t>3</w:t>
      </w:r>
      <w:r>
        <w:rPr>
          <w:rFonts w:hint="eastAsia" w:ascii="宋体" w:hAnsi="宋体" w:cs="宋体"/>
          <w:color w:val="auto"/>
          <w:sz w:val="24"/>
          <w:szCs w:val="24"/>
          <w:highlight w:val="none"/>
        </w:rPr>
        <w:t>个工作日内做出答复，但答复的内容不得涉及商业秘密。</w:t>
      </w:r>
      <w:r>
        <w:rPr>
          <w:rFonts w:hint="eastAsia" w:ascii="宋体" w:hAnsi="宋体" w:cs="宋体"/>
          <w:color w:val="auto"/>
          <w:kern w:val="0"/>
          <w:sz w:val="24"/>
          <w:szCs w:val="24"/>
          <w:highlight w:val="none"/>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highlight w:val="none"/>
        </w:rPr>
      </w:pPr>
      <w:r>
        <w:rPr>
          <w:rFonts w:hint="eastAsia" w:ascii="宋体" w:hAnsi="宋体" w:cs="宋体"/>
          <w:color w:val="auto"/>
          <w:kern w:val="0"/>
          <w:sz w:val="24"/>
          <w:szCs w:val="24"/>
          <w:highlight w:val="none"/>
        </w:rPr>
        <w:t>为了使提出的询问事项在规定时间内得到有效回复，询问采用实名制，询问内容以书面材料的形式亲自递交到交易中心，正式受理后方可生效，否则，为无效询问。</w:t>
      </w:r>
    </w:p>
    <w:p>
      <w:pPr>
        <w:spacing w:line="360" w:lineRule="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出质疑的投标人应当是参与所质疑项目采购活动的投标人。</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ascii="宋体" w:hAnsi="宋体" w:cs="宋体"/>
          <w:color w:val="auto"/>
          <w:kern w:val="0"/>
          <w:sz w:val="24"/>
          <w:szCs w:val="24"/>
          <w:highlight w:val="none"/>
        </w:rPr>
        <w:t>投标人提出质疑应当提交质疑函和必要的证明材料。质疑函应当包括下列内容：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（一）投标人的姓名或者名称、地址、邮编、联系人及联系电话；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投标人可以委托代理人进行质疑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应当提交投标人签署的授权委托书。其授权委托书应当载明代理人的姓名或者名称、代理事项、具体权限、期限和相关事项。</w:t>
      </w:r>
    </w:p>
    <w:p>
      <w:pPr>
        <w:pStyle w:val="19"/>
        <w:spacing w:before="0" w:beforeAutospacing="0" w:after="0" w:afterAutospacing="0" w:line="360" w:lineRule="auto"/>
        <w:ind w:firstLine="480"/>
        <w:jc w:val="both"/>
        <w:rPr>
          <w:rFonts w:ascii="Arial" w:hAnsi="Arial" w:cs="Arial"/>
          <w:color w:val="auto"/>
          <w:highlight w:val="none"/>
        </w:rPr>
      </w:pPr>
      <w:r>
        <w:rPr>
          <w:rFonts w:hint="eastAsia"/>
          <w:color w:val="auto"/>
          <w:highlight w:val="none"/>
        </w:rPr>
        <w:t>2.5</w:t>
      </w:r>
      <w:r>
        <w:rPr>
          <w:rFonts w:hint="eastAsia" w:ascii="Arial" w:hAnsi="Arial" w:cs="Arial"/>
          <w:color w:val="auto"/>
          <w:highlight w:val="none"/>
        </w:rPr>
        <w:t xml:space="preserve"> 投标人在提出质疑时，请严格按照相关法律法规及质疑函范本要求提出和制作，否则，自行承担相关不利后果。</w:t>
      </w:r>
    </w:p>
    <w:p>
      <w:pPr>
        <w:pStyle w:val="19"/>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3.投诉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投标人投诉的事项不得超出已质疑事项的范围。</w:t>
      </w:r>
      <w:bookmarkStart w:id="2" w:name="_Toc266431157"/>
      <w:bookmarkStart w:id="3" w:name="_Toc447030613"/>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pStyle w:val="20"/>
        <w:spacing w:line="360" w:lineRule="auto"/>
        <w:rPr>
          <w:rFonts w:ascii="宋体" w:hAnsi="宋体" w:eastAsia="宋体" w:cs="宋体"/>
          <w:bCs w:val="0"/>
          <w:color w:val="auto"/>
          <w:sz w:val="24"/>
          <w:szCs w:val="24"/>
          <w:highlight w:val="none"/>
        </w:rPr>
      </w:pPr>
      <w:bookmarkStart w:id="4" w:name="_Toc497408659"/>
      <w:r>
        <w:rPr>
          <w:rFonts w:hint="eastAsia" w:ascii="宋体" w:hAnsi="宋体" w:eastAsia="宋体" w:cs="宋体"/>
          <w:bCs w:val="0"/>
          <w:color w:val="auto"/>
          <w:sz w:val="24"/>
          <w:szCs w:val="24"/>
          <w:highlight w:val="none"/>
        </w:rPr>
        <w:t xml:space="preserve">第三章 </w:t>
      </w:r>
      <w:bookmarkEnd w:id="2"/>
      <w:bookmarkEnd w:id="3"/>
      <w:r>
        <w:rPr>
          <w:rFonts w:hint="eastAsia" w:ascii="宋体" w:hAnsi="宋体" w:eastAsia="宋体" w:cs="宋体"/>
          <w:bCs w:val="0"/>
          <w:color w:val="auto"/>
          <w:sz w:val="24"/>
          <w:szCs w:val="24"/>
          <w:highlight w:val="none"/>
        </w:rPr>
        <w:t>合同与验收</w:t>
      </w:r>
      <w:bookmarkEnd w:id="4"/>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一.合同要求</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 xml:space="preserve">    1.一般要求</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合同签订双方不得提出任何不合理的要求作为签订合同的条件。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1.3采购人与中标人应当根据合同的约定依法履行合同义务。</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政府采购合同的履行、违约责任和解决争议的方法等适用《中华人民共和国合同法》。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政府采购合同的双方当事人不得擅自变更、中止或者终止合同。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1.4拒绝签订采购合同的按照相关规定处理，并承担相应法律责任。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采购人应当自政府采购合同签订之日起2个工作日内，将政府采购合同在指定的媒体上公告，但政府采购合同中涉及国家秘密</w:t>
      </w:r>
      <w:r>
        <w:rPr>
          <w:rFonts w:hint="eastAsia" w:ascii="宋体" w:hAnsi="宋体"/>
          <w:color w:val="auto"/>
          <w:sz w:val="24"/>
          <w:szCs w:val="24"/>
          <w:highlight w:val="none"/>
        </w:rPr>
        <w:t>、</w:t>
      </w:r>
      <w:r>
        <w:rPr>
          <w:rFonts w:ascii="宋体" w:hAnsi="宋体"/>
          <w:color w:val="auto"/>
          <w:sz w:val="24"/>
          <w:szCs w:val="24"/>
          <w:highlight w:val="none"/>
        </w:rPr>
        <w:t>商业秘密的内容除外。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2. 合同格式及内容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2.1具体格式见本招标文件后附拟签订的《合同文本》（部分合同条款），投标文件中可以不提供《合同文本》。</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2.2《合同文本》的内容可以根据《合同法》和合同签订双方的实际要求进行修改，但不得改变范本中的实质性内容。</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二.验收</w:t>
      </w:r>
    </w:p>
    <w:p>
      <w:pPr>
        <w:spacing w:line="360" w:lineRule="auto"/>
        <w:ind w:firstLine="480" w:firstLineChars="200"/>
        <w:rPr>
          <w:rFonts w:hAnsi="宋体"/>
          <w:color w:val="auto"/>
          <w:sz w:val="24"/>
          <w:szCs w:val="24"/>
          <w:highlight w:val="none"/>
        </w:rPr>
      </w:pPr>
      <w:r>
        <w:rPr>
          <w:rFonts w:hint="eastAsia" w:ascii="宋体" w:hAnsi="宋体"/>
          <w:color w:val="auto"/>
          <w:sz w:val="24"/>
          <w:szCs w:val="24"/>
          <w:highlight w:val="none"/>
        </w:rPr>
        <w:t>中标人在供货、工程竣工或服务结束后，采购人应及时组织验收，并按照招标文件、投标文件及合同约定填写验收单（下载地址：鄂尔多斯市公共资源交易网</w:t>
      </w:r>
      <w:r>
        <w:rPr>
          <w:rFonts w:ascii="宋体" w:hAnsi="宋体"/>
          <w:color w:val="auto"/>
          <w:sz w:val="24"/>
          <w:szCs w:val="24"/>
          <w:highlight w:val="none"/>
        </w:rPr>
        <w:t>—</w:t>
      </w:r>
      <w:r>
        <w:rPr>
          <w:rFonts w:hint="eastAsia" w:ascii="宋体" w:hAnsi="宋体"/>
          <w:color w:val="auto"/>
          <w:sz w:val="24"/>
          <w:szCs w:val="24"/>
          <w:highlight w:val="none"/>
        </w:rPr>
        <w:t>办事指南</w:t>
      </w:r>
      <w:r>
        <w:rPr>
          <w:rFonts w:ascii="宋体" w:hAnsi="宋体"/>
          <w:color w:val="auto"/>
          <w:sz w:val="24"/>
          <w:szCs w:val="24"/>
          <w:highlight w:val="none"/>
        </w:rPr>
        <w:t>—</w:t>
      </w:r>
      <w:r>
        <w:rPr>
          <w:rFonts w:hint="eastAsia" w:ascii="宋体" w:hAnsi="宋体"/>
          <w:color w:val="auto"/>
          <w:sz w:val="24"/>
          <w:szCs w:val="24"/>
          <w:highlight w:val="none"/>
        </w:rPr>
        <w:t>办事表格下载</w:t>
      </w:r>
      <w:r>
        <w:rPr>
          <w:rFonts w:ascii="宋体" w:hAnsi="宋体"/>
          <w:color w:val="auto"/>
          <w:sz w:val="24"/>
          <w:szCs w:val="24"/>
          <w:highlight w:val="none"/>
        </w:rPr>
        <w:t>—</w:t>
      </w:r>
      <w:r>
        <w:rPr>
          <w:rFonts w:hint="eastAsia" w:ascii="宋体" w:hAnsi="宋体"/>
          <w:color w:val="auto"/>
          <w:sz w:val="24"/>
          <w:szCs w:val="24"/>
          <w:highlight w:val="none"/>
        </w:rPr>
        <w:t>政府采购相关范本）。验收合格后2个工作日内，中标人应将政府采购项目验收单送达至鄂尔多斯市准格尔旗公共资源交易中心204室（联系电话：0477-3864233）存档。逾期未验收或未按时交回验收单，将按照相关法律法规做出相应处罚。</w:t>
      </w:r>
    </w:p>
    <w:p>
      <w:pPr>
        <w:rPr>
          <w:rFonts w:hAnsi="宋体"/>
          <w:color w:val="auto"/>
          <w:sz w:val="24"/>
          <w:szCs w:val="24"/>
          <w:highlight w:val="none"/>
        </w:rPr>
      </w:pPr>
    </w:p>
    <w:p>
      <w:pPr>
        <w:jc w:val="center"/>
        <w:rPr>
          <w:rFonts w:ascii="宋体" w:hAnsi="宋体"/>
          <w:b/>
          <w:bCs/>
          <w:color w:val="auto"/>
          <w:kern w:val="44"/>
          <w:sz w:val="24"/>
          <w:szCs w:val="24"/>
          <w:highlight w:val="none"/>
        </w:rPr>
      </w:pPr>
      <w:r>
        <w:rPr>
          <w:rFonts w:ascii="宋体" w:hAnsi="宋体"/>
          <w:b/>
          <w:bCs/>
          <w:color w:val="auto"/>
          <w:kern w:val="44"/>
          <w:sz w:val="24"/>
          <w:szCs w:val="24"/>
          <w:highlight w:val="none"/>
        </w:rPr>
        <w:br w:type="page"/>
      </w:r>
    </w:p>
    <w:p>
      <w:pPr>
        <w:jc w:val="center"/>
        <w:rPr>
          <w:rFonts w:ascii="宋体" w:hAnsi="宋体"/>
          <w:b/>
          <w:color w:val="auto"/>
          <w:sz w:val="24"/>
          <w:szCs w:val="24"/>
          <w:highlight w:val="none"/>
        </w:rPr>
      </w:pPr>
      <w:r>
        <w:rPr>
          <w:rFonts w:hint="eastAsia" w:ascii="宋体" w:hAnsi="宋体"/>
          <w:b/>
          <w:color w:val="auto"/>
          <w:sz w:val="24"/>
          <w:szCs w:val="24"/>
          <w:highlight w:val="none"/>
        </w:rPr>
        <w:t>政府采购合同（合同文本）</w:t>
      </w:r>
    </w:p>
    <w:p>
      <w:pPr>
        <w:rPr>
          <w:rFonts w:ascii="宋体" w:hAnsi="宋体"/>
          <w:b/>
          <w:color w:val="auto"/>
          <w:sz w:val="44"/>
          <w:szCs w:val="44"/>
          <w:highlight w:val="none"/>
        </w:rPr>
      </w:pPr>
    </w:p>
    <w:p>
      <w:pP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甲方：***（填写采购单位）</w:t>
      </w:r>
    </w:p>
    <w:p>
      <w:pP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地址（详细地址）：</w:t>
      </w:r>
    </w:p>
    <w:p>
      <w:pP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乙方：***（填写中标投标人）</w:t>
      </w:r>
    </w:p>
    <w:p>
      <w:pPr>
        <w:rPr>
          <w:rFonts w:ascii="宋体" w:hAnsi="宋体"/>
          <w:b/>
          <w:color w:val="auto"/>
          <w:sz w:val="24"/>
          <w:szCs w:val="24"/>
          <w:highlight w:val="none"/>
        </w:rPr>
      </w:pPr>
      <w:r>
        <w:rPr>
          <w:rFonts w:hint="eastAsia" w:ascii="宋体" w:hAnsi="宋体"/>
          <w:b/>
          <w:color w:val="auto"/>
          <w:sz w:val="24"/>
          <w:szCs w:val="24"/>
          <w:highlight w:val="none"/>
        </w:rPr>
        <w:t>地址（详细地址）：</w:t>
      </w:r>
    </w:p>
    <w:p>
      <w:pPr>
        <w:jc w:val="left"/>
        <w:rPr>
          <w:rFonts w:ascii="宋体" w:hAnsi="宋体"/>
          <w:color w:val="auto"/>
          <w:sz w:val="24"/>
          <w:szCs w:val="24"/>
          <w:highlight w:val="none"/>
          <w:u w:val="single"/>
        </w:rPr>
      </w:pPr>
      <w:r>
        <w:rPr>
          <w:rFonts w:hint="eastAsia" w:ascii="宋体" w:hAnsi="宋体"/>
          <w:b/>
          <w:color w:val="auto"/>
          <w:sz w:val="24"/>
          <w:szCs w:val="24"/>
          <w:highlight w:val="none"/>
        </w:rPr>
        <w:t>合同号：</w:t>
      </w:r>
      <w:r>
        <w:rPr>
          <w:rFonts w:hint="eastAsia" w:ascii="宋体" w:hAnsi="宋体"/>
          <w:color w:val="auto"/>
          <w:sz w:val="24"/>
          <w:szCs w:val="24"/>
          <w:highlight w:val="none"/>
          <w:u w:val="single"/>
        </w:rPr>
        <w:t xml:space="preserve"> （填写签订合同一次性告知书中合同号 ） </w:t>
      </w:r>
    </w:p>
    <w:p>
      <w:pPr>
        <w:spacing w:line="15" w:lineRule="atLeast"/>
        <w:ind w:firstLine="646"/>
        <w:jc w:val="left"/>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根据《中华人民共和国政府采购法》、《中华人民共和国合同法》等相关法律法规，甲、乙双方就</w:t>
      </w:r>
      <w:r>
        <w:rPr>
          <w:rFonts w:hint="eastAsia" w:ascii="宋体" w:hAnsi="宋体"/>
          <w:color w:val="auto"/>
          <w:sz w:val="24"/>
          <w:szCs w:val="24"/>
          <w:highlight w:val="none"/>
          <w:u w:val="single"/>
        </w:rPr>
        <w:t xml:space="preserve">      （填写项目名称）               </w:t>
      </w:r>
      <w:r>
        <w:rPr>
          <w:rFonts w:hint="eastAsia" w:ascii="宋体" w:hAnsi="宋体"/>
          <w:color w:val="auto"/>
          <w:sz w:val="24"/>
          <w:szCs w:val="24"/>
          <w:highlight w:val="none"/>
        </w:rPr>
        <w:t>（政府采购项目批准书编号：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，经平等自愿协商一致达成合同如下：</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一、合同文件</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本合同所附下列文件是构成本合同不可分割的部分：</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1.合同格式以及合同条款</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2.中标结果公告及中标通知书</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3.招标文件</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4.投标文件</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5.变更合同</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二、本合同所提供的标的物、数量及规格等详见中标结果公告及后附清单。</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三、合同金额</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合同金额为人民币万元，大写：</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四、付款方式及时间</w:t>
      </w:r>
    </w:p>
    <w:p>
      <w:pPr>
        <w:spacing w:line="15" w:lineRule="atLeast"/>
        <w:ind w:firstLine="600" w:firstLineChars="250"/>
        <w:jc w:val="left"/>
        <w:rPr>
          <w:rFonts w:ascii="宋体" w:hAnsi="宋体"/>
          <w:color w:val="auto"/>
          <w:sz w:val="24"/>
          <w:szCs w:val="24"/>
          <w:highlight w:val="none"/>
        </w:rPr>
      </w:pPr>
      <w:r>
        <w:rPr>
          <w:rFonts w:hint="eastAsia" w:ascii="宋体" w:hAnsi="宋体" w:cs="宋体"/>
          <w:color w:val="auto"/>
          <w:sz w:val="24"/>
          <w:szCs w:val="24"/>
          <w:highlight w:val="none"/>
        </w:rPr>
        <w:t>***（见招标文件第四章）</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五、交货安装</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交货时间：</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交货地点：</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六、质量</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七、包装</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八、运输要求</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（一）运输方式及线路：</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（二）运输及相关费用由乙方承担。</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九、知识产权</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乙方应保证甲方在中国境内使用标的物或标的物的任何一部分时，免受第三方提出的侵犯其知识产权的诉讼。</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十、验收</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（一）乙方将标的物送达至甲方指定的地点后，由甲乙双方及第三方（如有）一同验收并签字确认。</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（三）经双方共同验收，标的物达不到质量或规格要求的，甲方可以拒收，并可解除合同且不承担任何法律责任，</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十一、售后服务</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（一）乙方应按招标文件、投标文件及乙方在谈判过程中做出的书面说明或承诺提供及时、快速、优质的售后服务。</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（二）其他售后服务内容：</w:t>
      </w:r>
      <w:r>
        <w:rPr>
          <w:rFonts w:hint="eastAsia" w:ascii="宋体" w:hAnsi="宋体"/>
          <w:color w:val="auto"/>
          <w:sz w:val="24"/>
          <w:szCs w:val="24"/>
          <w:highlight w:val="none"/>
          <w:u w:val="single"/>
        </w:rPr>
        <w:t xml:space="preserve">（投标文件售后承诺等） </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十二、违约条款</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（一）乙方逾期交付标的物、甲方逾期付款，按日承担违约部分合同金额的违约金。</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（二）其他违约责任以相关法律法规规定为准，无相关规定的，双方协商解决。</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十三、不可抗力条款</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十四、争议的解决方式</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合同发生纠纷时，双方应协商解决，协商不成可以采用下列方式解决：</w:t>
      </w:r>
    </w:p>
    <w:p>
      <w:pPr>
        <w:spacing w:line="15" w:lineRule="atLeast"/>
        <w:ind w:firstLine="645"/>
        <w:jc w:val="left"/>
        <w:rPr>
          <w:rFonts w:ascii="宋体" w:hAnsi="宋体"/>
          <w:color w:val="auto"/>
          <w:sz w:val="24"/>
          <w:szCs w:val="24"/>
          <w:highlight w:val="none"/>
          <w:u w:val="single"/>
        </w:rPr>
      </w:pPr>
      <w:r>
        <w:rPr>
          <w:rFonts w:hint="eastAsia" w:ascii="宋体" w:hAnsi="宋体"/>
          <w:color w:val="auto"/>
          <w:sz w:val="24"/>
          <w:szCs w:val="24"/>
          <w:highlight w:val="none"/>
        </w:rPr>
        <w:t>（一）提交仲裁委员会仲裁。</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 xml:space="preserve">（二）向人民法院起诉。            </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十五、合同保存</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合同文本一式五份，采购单位、投标人、政府采购监管部门、市交易中心、国库支付执行机构各一份，自双方签订之日起生效。</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十六、</w:t>
      </w:r>
      <w:r>
        <w:rPr>
          <w:rFonts w:ascii="宋体" w:hAnsi="宋体"/>
          <w:color w:val="auto"/>
          <w:sz w:val="24"/>
          <w:szCs w:val="24"/>
          <w:highlight w:val="none"/>
        </w:rPr>
        <w:t>合同未尽事宜，双方另行签订补充协议，补充协议是合同的组成部分。</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甲方： （章）                              乙 方： （章）</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 xml:space="preserve">采购方法人代表：       （签字）             投标人法人代表：       （签字）         </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 xml:space="preserve">开户银行：                                  开户银行： </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帐    号：                                  帐    号：</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联系电话：                                  联系电话：</w:t>
      </w:r>
    </w:p>
    <w:p>
      <w:pPr>
        <w:spacing w:line="15" w:lineRule="atLeast"/>
        <w:ind w:firstLine="645"/>
        <w:jc w:val="left"/>
        <w:rPr>
          <w:rFonts w:ascii="宋体" w:hAnsi="宋体"/>
          <w:color w:val="auto"/>
          <w:sz w:val="24"/>
          <w:szCs w:val="24"/>
          <w:highlight w:val="none"/>
        </w:rPr>
      </w:pPr>
      <w:r>
        <w:rPr>
          <w:rFonts w:hint="eastAsia" w:ascii="宋体" w:hAnsi="宋体"/>
          <w:color w:val="auto"/>
          <w:sz w:val="24"/>
          <w:szCs w:val="24"/>
          <w:highlight w:val="none"/>
        </w:rPr>
        <w:t xml:space="preserve">                                    签订时间       年  月  日</w:t>
      </w:r>
    </w:p>
    <w:p>
      <w:pPr>
        <w:ind w:firstLine="645"/>
        <w:jc w:val="left"/>
        <w:rPr>
          <w:rFonts w:ascii="宋体" w:hAnsi="宋体"/>
          <w:color w:val="auto"/>
          <w:sz w:val="24"/>
          <w:szCs w:val="24"/>
          <w:highlight w:val="none"/>
        </w:rPr>
      </w:pPr>
    </w:p>
    <w:p>
      <w:pPr>
        <w:jc w:val="left"/>
        <w:rPr>
          <w:rFonts w:ascii="宋体" w:hAnsi="宋体"/>
          <w:b/>
          <w:color w:val="auto"/>
          <w:sz w:val="24"/>
          <w:szCs w:val="24"/>
          <w:highlight w:val="none"/>
        </w:rPr>
      </w:pPr>
      <w:r>
        <w:rPr>
          <w:rFonts w:hint="eastAsia" w:ascii="宋体" w:hAnsi="宋体"/>
          <w:b/>
          <w:color w:val="auto"/>
          <w:sz w:val="24"/>
          <w:szCs w:val="24"/>
          <w:highlight w:val="none"/>
        </w:rPr>
        <w:t xml:space="preserve">附表：标的物清单（主要技术参数需与投标文件相一致）                                                </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名 称</w:t>
            </w:r>
          </w:p>
        </w:tc>
        <w:tc>
          <w:tcPr>
            <w:tcW w:w="4082"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品牌、规格、标准</w:t>
            </w:r>
          </w:p>
        </w:tc>
        <w:tc>
          <w:tcPr>
            <w:tcW w:w="616"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产地</w:t>
            </w:r>
          </w:p>
        </w:tc>
        <w:tc>
          <w:tcPr>
            <w:tcW w:w="932"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数量</w:t>
            </w:r>
          </w:p>
        </w:tc>
        <w:tc>
          <w:tcPr>
            <w:tcW w:w="940"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单价（元）</w:t>
            </w:r>
          </w:p>
        </w:tc>
        <w:tc>
          <w:tcPr>
            <w:tcW w:w="1413"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auto"/>
                <w:sz w:val="24"/>
                <w:szCs w:val="24"/>
                <w:highlight w:val="none"/>
              </w:rPr>
            </w:pPr>
            <w:r>
              <w:rPr>
                <w:rFonts w:hint="eastAsia" w:ascii="宋体" w:hAnsi="宋体"/>
                <w:color w:val="auto"/>
                <w:sz w:val="24"/>
                <w:szCs w:val="24"/>
                <w:highlight w:val="none"/>
              </w:rPr>
              <w:t>**</w:t>
            </w:r>
          </w:p>
        </w:tc>
        <w:tc>
          <w:tcPr>
            <w:tcW w:w="4082"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c>
          <w:tcPr>
            <w:tcW w:w="616"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c>
          <w:tcPr>
            <w:tcW w:w="932" w:type="dxa"/>
            <w:vAlign w:val="center"/>
          </w:tcPr>
          <w:p>
            <w:pPr>
              <w:adjustRightInd w:val="0"/>
              <w:snapToGrid w:val="0"/>
              <w:spacing w:line="460" w:lineRule="exact"/>
              <w:jc w:val="center"/>
              <w:rPr>
                <w:rFonts w:ascii="宋体" w:hAnsi="宋体"/>
                <w:color w:val="auto"/>
                <w:sz w:val="24"/>
                <w:szCs w:val="24"/>
                <w:highlight w:val="none"/>
              </w:rPr>
            </w:pPr>
            <w:r>
              <w:rPr>
                <w:rFonts w:hint="eastAsia" w:ascii="宋体" w:hAnsi="宋体"/>
                <w:color w:val="auto"/>
                <w:sz w:val="24"/>
                <w:szCs w:val="24"/>
                <w:highlight w:val="none"/>
              </w:rPr>
              <w:t>**</w:t>
            </w:r>
          </w:p>
        </w:tc>
        <w:tc>
          <w:tcPr>
            <w:tcW w:w="940" w:type="dxa"/>
            <w:vAlign w:val="center"/>
          </w:tcPr>
          <w:p>
            <w:pPr>
              <w:adjustRightInd w:val="0"/>
              <w:snapToGrid w:val="0"/>
              <w:spacing w:line="460" w:lineRule="exact"/>
              <w:jc w:val="center"/>
              <w:rPr>
                <w:rFonts w:ascii="宋体" w:hAnsi="宋体"/>
                <w:color w:val="auto"/>
                <w:sz w:val="24"/>
                <w:szCs w:val="24"/>
                <w:highlight w:val="none"/>
              </w:rPr>
            </w:pPr>
            <w:r>
              <w:rPr>
                <w:rFonts w:hint="eastAsia" w:ascii="宋体" w:hAnsi="宋体"/>
                <w:color w:val="auto"/>
                <w:sz w:val="24"/>
                <w:szCs w:val="24"/>
                <w:highlight w:val="none"/>
              </w:rPr>
              <w:t>**</w:t>
            </w:r>
          </w:p>
        </w:tc>
        <w:tc>
          <w:tcPr>
            <w:tcW w:w="1413" w:type="dxa"/>
            <w:vAlign w:val="center"/>
          </w:tcPr>
          <w:p>
            <w:pPr>
              <w:adjustRightInd w:val="0"/>
              <w:snapToGrid w:val="0"/>
              <w:spacing w:line="460" w:lineRule="exact"/>
              <w:jc w:val="center"/>
              <w:rPr>
                <w:rFonts w:ascii="宋体" w:hAnsi="宋体"/>
                <w:color w:val="auto"/>
                <w:sz w:val="24"/>
                <w:szCs w:val="24"/>
                <w:highlight w:val="none"/>
              </w:rPr>
            </w:pPr>
            <w:r>
              <w:rPr>
                <w:rFonts w:hint="eastAsia" w:ascii="宋体"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highlight w:val="none"/>
              </w:rPr>
            </w:pPr>
          </w:p>
        </w:tc>
        <w:tc>
          <w:tcPr>
            <w:tcW w:w="4082" w:type="dxa"/>
            <w:vAlign w:val="center"/>
          </w:tcPr>
          <w:p>
            <w:pPr>
              <w:jc w:val="center"/>
              <w:rPr>
                <w:rFonts w:ascii="宋体" w:hAnsi="宋体"/>
                <w:color w:val="auto"/>
                <w:sz w:val="24"/>
                <w:szCs w:val="24"/>
                <w:highlight w:val="none"/>
              </w:rPr>
            </w:pPr>
          </w:p>
        </w:tc>
        <w:tc>
          <w:tcPr>
            <w:tcW w:w="616" w:type="dxa"/>
            <w:vAlign w:val="center"/>
          </w:tcPr>
          <w:p>
            <w:pPr>
              <w:jc w:val="center"/>
              <w:rPr>
                <w:rFonts w:ascii="宋体" w:hAnsi="宋体"/>
                <w:color w:val="auto"/>
                <w:sz w:val="24"/>
                <w:szCs w:val="24"/>
                <w:highlight w:val="none"/>
              </w:rPr>
            </w:pPr>
          </w:p>
        </w:tc>
        <w:tc>
          <w:tcPr>
            <w:tcW w:w="932" w:type="dxa"/>
            <w:vAlign w:val="center"/>
          </w:tcPr>
          <w:p>
            <w:pPr>
              <w:adjustRightInd w:val="0"/>
              <w:snapToGrid w:val="0"/>
              <w:spacing w:line="460" w:lineRule="exact"/>
              <w:jc w:val="center"/>
              <w:rPr>
                <w:rFonts w:ascii="宋体" w:hAnsi="宋体"/>
                <w:color w:val="auto"/>
                <w:sz w:val="24"/>
                <w:szCs w:val="24"/>
                <w:highlight w:val="none"/>
              </w:rPr>
            </w:pPr>
          </w:p>
        </w:tc>
        <w:tc>
          <w:tcPr>
            <w:tcW w:w="940" w:type="dxa"/>
            <w:vAlign w:val="center"/>
          </w:tcPr>
          <w:p>
            <w:pPr>
              <w:adjustRightInd w:val="0"/>
              <w:snapToGrid w:val="0"/>
              <w:spacing w:line="460" w:lineRule="exact"/>
              <w:jc w:val="center"/>
              <w:rPr>
                <w:rFonts w:ascii="宋体" w:hAnsi="宋体"/>
                <w:color w:val="auto"/>
                <w:sz w:val="24"/>
                <w:szCs w:val="24"/>
                <w:highlight w:val="none"/>
              </w:rPr>
            </w:pPr>
          </w:p>
        </w:tc>
        <w:tc>
          <w:tcPr>
            <w:tcW w:w="1413" w:type="dxa"/>
            <w:vAlign w:val="center"/>
          </w:tcPr>
          <w:p>
            <w:pPr>
              <w:adjustRightInd w:val="0"/>
              <w:snapToGrid w:val="0"/>
              <w:spacing w:line="46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highlight w:val="none"/>
              </w:rPr>
            </w:pPr>
          </w:p>
        </w:tc>
        <w:tc>
          <w:tcPr>
            <w:tcW w:w="4082" w:type="dxa"/>
            <w:vAlign w:val="center"/>
          </w:tcPr>
          <w:p>
            <w:pPr>
              <w:jc w:val="center"/>
              <w:rPr>
                <w:rFonts w:ascii="宋体" w:hAnsi="宋体"/>
                <w:color w:val="auto"/>
                <w:sz w:val="24"/>
                <w:szCs w:val="24"/>
                <w:highlight w:val="none"/>
              </w:rPr>
            </w:pPr>
          </w:p>
        </w:tc>
        <w:tc>
          <w:tcPr>
            <w:tcW w:w="616" w:type="dxa"/>
            <w:vAlign w:val="center"/>
          </w:tcPr>
          <w:p>
            <w:pPr>
              <w:jc w:val="center"/>
              <w:rPr>
                <w:rFonts w:ascii="宋体" w:hAnsi="宋体"/>
                <w:color w:val="auto"/>
                <w:sz w:val="24"/>
                <w:szCs w:val="24"/>
                <w:highlight w:val="none"/>
              </w:rPr>
            </w:pPr>
          </w:p>
        </w:tc>
        <w:tc>
          <w:tcPr>
            <w:tcW w:w="932" w:type="dxa"/>
            <w:vAlign w:val="center"/>
          </w:tcPr>
          <w:p>
            <w:pPr>
              <w:adjustRightInd w:val="0"/>
              <w:snapToGrid w:val="0"/>
              <w:spacing w:line="460" w:lineRule="exact"/>
              <w:jc w:val="center"/>
              <w:rPr>
                <w:rFonts w:ascii="宋体" w:hAnsi="宋体"/>
                <w:color w:val="auto"/>
                <w:sz w:val="24"/>
                <w:szCs w:val="24"/>
                <w:highlight w:val="none"/>
              </w:rPr>
            </w:pPr>
          </w:p>
        </w:tc>
        <w:tc>
          <w:tcPr>
            <w:tcW w:w="940" w:type="dxa"/>
            <w:vAlign w:val="center"/>
          </w:tcPr>
          <w:p>
            <w:pPr>
              <w:adjustRightInd w:val="0"/>
              <w:snapToGrid w:val="0"/>
              <w:spacing w:line="460" w:lineRule="exact"/>
              <w:jc w:val="center"/>
              <w:rPr>
                <w:rFonts w:ascii="宋体" w:hAnsi="宋体"/>
                <w:color w:val="auto"/>
                <w:sz w:val="24"/>
                <w:szCs w:val="24"/>
                <w:highlight w:val="none"/>
              </w:rPr>
            </w:pPr>
          </w:p>
        </w:tc>
        <w:tc>
          <w:tcPr>
            <w:tcW w:w="1413" w:type="dxa"/>
            <w:vAlign w:val="center"/>
          </w:tcPr>
          <w:p>
            <w:pPr>
              <w:adjustRightInd w:val="0"/>
              <w:snapToGrid w:val="0"/>
              <w:spacing w:line="46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highlight w:val="none"/>
              </w:rPr>
            </w:pPr>
          </w:p>
        </w:tc>
        <w:tc>
          <w:tcPr>
            <w:tcW w:w="4082" w:type="dxa"/>
            <w:vAlign w:val="center"/>
          </w:tcPr>
          <w:p>
            <w:pPr>
              <w:jc w:val="center"/>
              <w:rPr>
                <w:rFonts w:ascii="宋体" w:hAnsi="宋体"/>
                <w:color w:val="auto"/>
                <w:sz w:val="24"/>
                <w:szCs w:val="24"/>
                <w:highlight w:val="none"/>
              </w:rPr>
            </w:pPr>
          </w:p>
        </w:tc>
        <w:tc>
          <w:tcPr>
            <w:tcW w:w="616" w:type="dxa"/>
            <w:vAlign w:val="center"/>
          </w:tcPr>
          <w:p>
            <w:pPr>
              <w:jc w:val="center"/>
              <w:rPr>
                <w:rFonts w:ascii="宋体" w:hAnsi="宋体"/>
                <w:color w:val="auto"/>
                <w:sz w:val="24"/>
                <w:szCs w:val="24"/>
                <w:highlight w:val="none"/>
              </w:rPr>
            </w:pPr>
          </w:p>
        </w:tc>
        <w:tc>
          <w:tcPr>
            <w:tcW w:w="932" w:type="dxa"/>
            <w:vAlign w:val="center"/>
          </w:tcPr>
          <w:p>
            <w:pPr>
              <w:adjustRightInd w:val="0"/>
              <w:snapToGrid w:val="0"/>
              <w:spacing w:line="460" w:lineRule="exact"/>
              <w:jc w:val="center"/>
              <w:rPr>
                <w:rFonts w:ascii="宋体" w:hAnsi="宋体"/>
                <w:color w:val="auto"/>
                <w:sz w:val="24"/>
                <w:szCs w:val="24"/>
                <w:highlight w:val="none"/>
              </w:rPr>
            </w:pPr>
          </w:p>
        </w:tc>
        <w:tc>
          <w:tcPr>
            <w:tcW w:w="940" w:type="dxa"/>
            <w:vAlign w:val="center"/>
          </w:tcPr>
          <w:p>
            <w:pPr>
              <w:adjustRightInd w:val="0"/>
              <w:snapToGrid w:val="0"/>
              <w:spacing w:line="460" w:lineRule="exact"/>
              <w:jc w:val="center"/>
              <w:rPr>
                <w:rFonts w:ascii="宋体" w:hAnsi="宋体"/>
                <w:color w:val="auto"/>
                <w:sz w:val="24"/>
                <w:szCs w:val="24"/>
                <w:highlight w:val="none"/>
              </w:rPr>
            </w:pPr>
          </w:p>
        </w:tc>
        <w:tc>
          <w:tcPr>
            <w:tcW w:w="1413" w:type="dxa"/>
            <w:vAlign w:val="center"/>
          </w:tcPr>
          <w:p>
            <w:pPr>
              <w:adjustRightInd w:val="0"/>
              <w:snapToGrid w:val="0"/>
              <w:spacing w:line="46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highlight w:val="none"/>
              </w:rPr>
            </w:pPr>
          </w:p>
        </w:tc>
        <w:tc>
          <w:tcPr>
            <w:tcW w:w="4082" w:type="dxa"/>
            <w:vAlign w:val="center"/>
          </w:tcPr>
          <w:p>
            <w:pPr>
              <w:jc w:val="center"/>
              <w:rPr>
                <w:rFonts w:ascii="宋体" w:hAnsi="宋体"/>
                <w:color w:val="auto"/>
                <w:sz w:val="24"/>
                <w:szCs w:val="24"/>
                <w:highlight w:val="none"/>
              </w:rPr>
            </w:pPr>
          </w:p>
        </w:tc>
        <w:tc>
          <w:tcPr>
            <w:tcW w:w="616" w:type="dxa"/>
            <w:vAlign w:val="center"/>
          </w:tcPr>
          <w:p>
            <w:pPr>
              <w:jc w:val="center"/>
              <w:rPr>
                <w:rFonts w:ascii="宋体" w:hAnsi="宋体"/>
                <w:color w:val="auto"/>
                <w:sz w:val="24"/>
                <w:szCs w:val="24"/>
                <w:highlight w:val="none"/>
              </w:rPr>
            </w:pPr>
          </w:p>
        </w:tc>
        <w:tc>
          <w:tcPr>
            <w:tcW w:w="932" w:type="dxa"/>
            <w:vAlign w:val="center"/>
          </w:tcPr>
          <w:p>
            <w:pPr>
              <w:adjustRightInd w:val="0"/>
              <w:snapToGrid w:val="0"/>
              <w:spacing w:line="460" w:lineRule="exact"/>
              <w:jc w:val="center"/>
              <w:rPr>
                <w:rFonts w:ascii="宋体" w:hAnsi="宋体"/>
                <w:color w:val="auto"/>
                <w:sz w:val="24"/>
                <w:szCs w:val="24"/>
                <w:highlight w:val="none"/>
              </w:rPr>
            </w:pPr>
          </w:p>
        </w:tc>
        <w:tc>
          <w:tcPr>
            <w:tcW w:w="940" w:type="dxa"/>
            <w:vAlign w:val="center"/>
          </w:tcPr>
          <w:p>
            <w:pPr>
              <w:adjustRightInd w:val="0"/>
              <w:snapToGrid w:val="0"/>
              <w:spacing w:line="460" w:lineRule="exact"/>
              <w:jc w:val="center"/>
              <w:rPr>
                <w:rFonts w:ascii="宋体" w:hAnsi="宋体"/>
                <w:color w:val="auto"/>
                <w:sz w:val="24"/>
                <w:szCs w:val="24"/>
                <w:highlight w:val="none"/>
              </w:rPr>
            </w:pPr>
          </w:p>
        </w:tc>
        <w:tc>
          <w:tcPr>
            <w:tcW w:w="1413" w:type="dxa"/>
            <w:vAlign w:val="center"/>
          </w:tcPr>
          <w:p>
            <w:pPr>
              <w:adjustRightInd w:val="0"/>
              <w:snapToGrid w:val="0"/>
              <w:spacing w:line="46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auto"/>
                <w:sz w:val="24"/>
                <w:szCs w:val="24"/>
                <w:highlight w:val="none"/>
              </w:rPr>
            </w:pPr>
          </w:p>
        </w:tc>
        <w:tc>
          <w:tcPr>
            <w:tcW w:w="4082" w:type="dxa"/>
            <w:vAlign w:val="center"/>
          </w:tcPr>
          <w:p>
            <w:pPr>
              <w:jc w:val="center"/>
              <w:rPr>
                <w:rFonts w:ascii="宋体" w:hAnsi="宋体"/>
                <w:color w:val="auto"/>
                <w:sz w:val="24"/>
                <w:szCs w:val="24"/>
                <w:highlight w:val="none"/>
              </w:rPr>
            </w:pPr>
          </w:p>
        </w:tc>
        <w:tc>
          <w:tcPr>
            <w:tcW w:w="616" w:type="dxa"/>
            <w:vAlign w:val="center"/>
          </w:tcPr>
          <w:p>
            <w:pPr>
              <w:jc w:val="center"/>
              <w:rPr>
                <w:rFonts w:ascii="宋体" w:hAnsi="宋体"/>
                <w:color w:val="auto"/>
                <w:sz w:val="24"/>
                <w:szCs w:val="24"/>
                <w:highlight w:val="none"/>
              </w:rPr>
            </w:pPr>
          </w:p>
        </w:tc>
        <w:tc>
          <w:tcPr>
            <w:tcW w:w="932" w:type="dxa"/>
            <w:vAlign w:val="center"/>
          </w:tcPr>
          <w:p>
            <w:pPr>
              <w:adjustRightInd w:val="0"/>
              <w:snapToGrid w:val="0"/>
              <w:spacing w:line="460" w:lineRule="exact"/>
              <w:jc w:val="center"/>
              <w:rPr>
                <w:rFonts w:ascii="宋体" w:hAnsi="宋体"/>
                <w:color w:val="auto"/>
                <w:sz w:val="24"/>
                <w:szCs w:val="24"/>
                <w:highlight w:val="none"/>
              </w:rPr>
            </w:pPr>
          </w:p>
        </w:tc>
        <w:tc>
          <w:tcPr>
            <w:tcW w:w="940" w:type="dxa"/>
            <w:vAlign w:val="center"/>
          </w:tcPr>
          <w:p>
            <w:pPr>
              <w:adjustRightInd w:val="0"/>
              <w:snapToGrid w:val="0"/>
              <w:spacing w:line="460" w:lineRule="exact"/>
              <w:jc w:val="center"/>
              <w:rPr>
                <w:rFonts w:ascii="宋体" w:hAnsi="宋体"/>
                <w:color w:val="auto"/>
                <w:sz w:val="24"/>
                <w:szCs w:val="24"/>
                <w:highlight w:val="none"/>
              </w:rPr>
            </w:pPr>
          </w:p>
        </w:tc>
        <w:tc>
          <w:tcPr>
            <w:tcW w:w="1413" w:type="dxa"/>
            <w:vAlign w:val="center"/>
          </w:tcPr>
          <w:p>
            <w:pPr>
              <w:adjustRightInd w:val="0"/>
              <w:snapToGrid w:val="0"/>
              <w:spacing w:line="46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w:t>
            </w:r>
            <w:r>
              <w:rPr>
                <w:rFonts w:ascii="宋体" w:hAnsi="宋体"/>
                <w:color w:val="auto"/>
                <w:sz w:val="24"/>
                <w:szCs w:val="24"/>
                <w:highlight w:val="none"/>
              </w:rPr>
              <w:t>元</w:t>
            </w:r>
            <w:r>
              <w:rPr>
                <w:rFonts w:hint="eastAsia" w:ascii="宋体" w:hAnsi="宋体"/>
                <w:color w:val="auto"/>
                <w:sz w:val="24"/>
                <w:szCs w:val="24"/>
                <w:highlight w:val="none"/>
              </w:rPr>
              <w:t>整</w:t>
            </w:r>
          </w:p>
        </w:tc>
        <w:tc>
          <w:tcPr>
            <w:tcW w:w="141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r>
    </w:tbl>
    <w:p>
      <w:pPr>
        <w:jc w:val="center"/>
        <w:outlineLvl w:val="0"/>
        <w:rPr>
          <w:rFonts w:ascii="宋体" w:hAnsi="宋体"/>
          <w:b/>
          <w:bCs/>
          <w:color w:val="auto"/>
          <w:kern w:val="44"/>
          <w:sz w:val="24"/>
          <w:szCs w:val="24"/>
          <w:highlight w:val="none"/>
        </w:rPr>
      </w:pPr>
      <w:r>
        <w:rPr>
          <w:rFonts w:ascii="宋体" w:hAnsi="宋体"/>
          <w:b/>
          <w:bCs/>
          <w:color w:val="auto"/>
          <w:kern w:val="44"/>
          <w:sz w:val="24"/>
          <w:szCs w:val="24"/>
          <w:highlight w:val="none"/>
        </w:rPr>
        <w:br w:type="page"/>
      </w:r>
      <w:bookmarkStart w:id="5" w:name="_Toc497408660"/>
      <w:r>
        <w:rPr>
          <w:rFonts w:hint="eastAsia" w:ascii="宋体" w:hAnsi="宋体"/>
          <w:b/>
          <w:bCs/>
          <w:color w:val="auto"/>
          <w:kern w:val="44"/>
          <w:sz w:val="24"/>
          <w:szCs w:val="24"/>
          <w:highlight w:val="none"/>
        </w:rPr>
        <w:t>第四章 招标内容与技术要求</w:t>
      </w:r>
      <w:bookmarkEnd w:id="5"/>
    </w:p>
    <w:p>
      <w:pPr>
        <w:spacing w:line="360" w:lineRule="auto"/>
        <w:jc w:val="left"/>
        <w:rPr>
          <w:rFonts w:hAnsi="宋体"/>
          <w:b/>
          <w:bCs/>
          <w:color w:val="auto"/>
          <w:sz w:val="24"/>
          <w:szCs w:val="24"/>
          <w:highlight w:val="none"/>
        </w:rPr>
      </w:pPr>
      <w:r>
        <w:rPr>
          <w:rFonts w:hint="eastAsia" w:hAnsi="宋体"/>
          <w:b/>
          <w:bCs/>
          <w:color w:val="auto"/>
          <w:sz w:val="24"/>
          <w:szCs w:val="24"/>
          <w:highlight w:val="none"/>
          <w:lang w:val="zh-CN"/>
        </w:rPr>
        <w:t>一.主要商务要求</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364" w:type="dxa"/>
            <w:vAlign w:val="center"/>
          </w:tcPr>
          <w:p>
            <w:pPr>
              <w:pStyle w:val="64"/>
              <w:ind w:firstLine="0" w:firstLineChars="0"/>
              <w:jc w:val="center"/>
              <w:rPr>
                <w:rFonts w:ascii="宋体" w:hAnsi="宋体"/>
                <w:color w:val="auto"/>
                <w:kern w:val="0"/>
                <w:sz w:val="24"/>
                <w:szCs w:val="24"/>
                <w:highlight w:val="none"/>
              </w:rPr>
            </w:pPr>
            <w:bookmarkStart w:id="6" w:name="_Toc491862079"/>
            <w:r>
              <w:rPr>
                <w:rFonts w:hint="eastAsia" w:ascii="宋体" w:hAnsi="宋体"/>
                <w:color w:val="auto"/>
                <w:kern w:val="0"/>
                <w:sz w:val="24"/>
                <w:szCs w:val="24"/>
                <w:highlight w:val="none"/>
              </w:rPr>
              <w:t>主要商务条款</w:t>
            </w:r>
            <w:bookmarkEnd w:id="6"/>
          </w:p>
        </w:tc>
        <w:tc>
          <w:tcPr>
            <w:tcW w:w="6158" w:type="dxa"/>
            <w:vAlign w:val="center"/>
          </w:tcPr>
          <w:p>
            <w:pPr>
              <w:pStyle w:val="64"/>
              <w:ind w:firstLine="0" w:firstLineChars="0"/>
              <w:jc w:val="center"/>
              <w:rPr>
                <w:rFonts w:ascii="宋体" w:hAnsi="宋体"/>
                <w:color w:val="auto"/>
                <w:kern w:val="0"/>
                <w:sz w:val="24"/>
                <w:szCs w:val="24"/>
                <w:highlight w:val="none"/>
              </w:rPr>
            </w:pPr>
            <w:bookmarkStart w:id="7" w:name="_Toc491862080"/>
            <w:r>
              <w:rPr>
                <w:rFonts w:hint="eastAsia" w:ascii="宋体" w:hAnsi="宋体"/>
                <w:color w:val="auto"/>
                <w:kern w:val="0"/>
                <w:sz w:val="24"/>
                <w:szCs w:val="24"/>
                <w:highlight w:val="none"/>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364" w:type="dxa"/>
            <w:vAlign w:val="center"/>
          </w:tcPr>
          <w:p>
            <w:pPr>
              <w:pStyle w:val="64"/>
              <w:ind w:firstLine="0" w:firstLineChars="0"/>
              <w:jc w:val="center"/>
              <w:rPr>
                <w:rFonts w:ascii="宋体" w:hAnsi="宋体"/>
                <w:color w:val="auto"/>
                <w:kern w:val="0"/>
                <w:sz w:val="24"/>
                <w:szCs w:val="24"/>
                <w:highlight w:val="none"/>
              </w:rPr>
            </w:pPr>
            <w:bookmarkStart w:id="8" w:name="_Toc491862082"/>
            <w:r>
              <w:rPr>
                <w:rFonts w:hint="eastAsia" w:ascii="宋体" w:hAnsi="宋体"/>
                <w:color w:val="auto"/>
                <w:kern w:val="0"/>
                <w:sz w:val="24"/>
                <w:szCs w:val="24"/>
                <w:highlight w:val="none"/>
              </w:rPr>
              <w:t>采购预算/最高限价</w:t>
            </w:r>
            <w:bookmarkEnd w:id="8"/>
          </w:p>
        </w:tc>
        <w:tc>
          <w:tcPr>
            <w:tcW w:w="6158" w:type="dxa"/>
            <w:vAlign w:val="center"/>
          </w:tcPr>
          <w:p>
            <w:pPr>
              <w:ind w:firstLine="720" w:firstLineChars="300"/>
              <w:rPr>
                <w:rFonts w:ascii="宋体" w:hAnsi="宋体"/>
                <w:color w:val="auto"/>
                <w:kern w:val="0"/>
                <w:sz w:val="24"/>
                <w:szCs w:val="24"/>
                <w:highlight w:val="none"/>
              </w:rPr>
            </w:pPr>
            <w:bookmarkStart w:id="9" w:name="_Toc491862083"/>
            <w:r>
              <w:rPr>
                <w:rFonts w:hint="eastAsia" w:ascii="宋体" w:hAnsi="宋体"/>
                <w:color w:val="auto"/>
                <w:kern w:val="0"/>
                <w:sz w:val="24"/>
                <w:szCs w:val="24"/>
                <w:highlight w:val="none"/>
              </w:rPr>
              <w:t>2782.2152万元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交付使用时间</w:t>
            </w:r>
          </w:p>
        </w:tc>
        <w:tc>
          <w:tcPr>
            <w:tcW w:w="6158" w:type="dxa"/>
            <w:vAlign w:val="center"/>
          </w:tcPr>
          <w:p>
            <w:pPr>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签订合同后6个月内。</w:t>
            </w:r>
            <w:r>
              <w:rPr>
                <w:rFonts w:ascii="宋体" w:hAnsi="宋体"/>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64" w:type="dxa"/>
            <w:vAlign w:val="center"/>
          </w:tcPr>
          <w:p>
            <w:pPr>
              <w:pStyle w:val="64"/>
              <w:ind w:firstLine="0" w:firstLineChars="0"/>
              <w:jc w:val="center"/>
              <w:rPr>
                <w:rFonts w:ascii="宋体" w:hAnsi="宋体"/>
                <w:color w:val="auto"/>
                <w:kern w:val="0"/>
                <w:sz w:val="24"/>
                <w:szCs w:val="24"/>
                <w:highlight w:val="none"/>
              </w:rPr>
            </w:pPr>
            <w:bookmarkStart w:id="10" w:name="_Toc491862089"/>
            <w:r>
              <w:rPr>
                <w:rFonts w:hint="eastAsia" w:ascii="宋体" w:hAnsi="宋体"/>
                <w:color w:val="auto"/>
                <w:kern w:val="0"/>
                <w:sz w:val="24"/>
                <w:szCs w:val="24"/>
                <w:highlight w:val="none"/>
              </w:rPr>
              <w:t>交付使用地点</w:t>
            </w:r>
            <w:bookmarkEnd w:id="10"/>
          </w:p>
        </w:tc>
        <w:tc>
          <w:tcPr>
            <w:tcW w:w="6158" w:type="dxa"/>
            <w:vAlign w:val="center"/>
          </w:tcPr>
          <w:p>
            <w:pPr>
              <w:pStyle w:val="64"/>
              <w:ind w:firstLine="0" w:firstLineChars="0"/>
              <w:rPr>
                <w:rFonts w:ascii="宋体" w:hAnsi="宋体"/>
                <w:color w:val="auto"/>
                <w:kern w:val="0"/>
                <w:sz w:val="24"/>
                <w:szCs w:val="24"/>
                <w:highlight w:val="none"/>
              </w:rPr>
            </w:pPr>
            <w:r>
              <w:rPr>
                <w:rFonts w:hint="eastAsia" w:ascii="宋体" w:hAnsi="宋体"/>
                <w:color w:val="auto"/>
                <w:kern w:val="0"/>
                <w:sz w:val="24"/>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pStyle w:val="64"/>
              <w:ind w:firstLine="0" w:firstLineChars="0"/>
              <w:jc w:val="center"/>
              <w:rPr>
                <w:rFonts w:ascii="宋体" w:hAnsi="宋体"/>
                <w:color w:val="auto"/>
                <w:kern w:val="0"/>
                <w:sz w:val="24"/>
                <w:szCs w:val="24"/>
                <w:highlight w:val="none"/>
              </w:rPr>
            </w:pPr>
            <w:r>
              <w:rPr>
                <w:rFonts w:hint="eastAsia" w:ascii="宋体" w:hAnsi="宋体"/>
                <w:color w:val="auto"/>
                <w:kern w:val="0"/>
                <w:sz w:val="24"/>
                <w:szCs w:val="24"/>
                <w:highlight w:val="none"/>
              </w:rPr>
              <w:t>投标有效期</w:t>
            </w:r>
          </w:p>
        </w:tc>
        <w:tc>
          <w:tcPr>
            <w:tcW w:w="6158" w:type="dxa"/>
            <w:vAlign w:val="center"/>
          </w:tcPr>
          <w:p>
            <w:pPr>
              <w:pStyle w:val="64"/>
              <w:ind w:firstLine="0" w:firstLineChars="0"/>
              <w:rPr>
                <w:rFonts w:ascii="宋体" w:hAnsi="宋体"/>
                <w:color w:val="auto"/>
                <w:kern w:val="0"/>
                <w:sz w:val="24"/>
                <w:szCs w:val="24"/>
                <w:highlight w:val="none"/>
              </w:rPr>
            </w:pPr>
            <w:r>
              <w:rPr>
                <w:rFonts w:hint="eastAsia" w:ascii="宋体" w:hAnsi="宋体"/>
                <w:color w:val="auto"/>
                <w:kern w:val="0"/>
                <w:sz w:val="24"/>
                <w:szCs w:val="24"/>
                <w:highlight w:val="none"/>
              </w:rPr>
              <w:t>从提交投标文件的截止之日起</w:t>
            </w:r>
            <w:r>
              <w:rPr>
                <w:rFonts w:hint="eastAsia" w:ascii="宋体" w:hAnsi="宋体"/>
                <w:color w:val="auto"/>
                <w:kern w:val="0"/>
                <w:sz w:val="24"/>
                <w:szCs w:val="24"/>
                <w:highlight w:val="none"/>
                <w:u w:val="single"/>
              </w:rPr>
              <w:t>60</w:t>
            </w:r>
            <w:r>
              <w:rPr>
                <w:rFonts w:hint="eastAsia" w:ascii="宋体" w:hAnsi="宋体"/>
                <w:color w:val="auto"/>
                <w:kern w:val="0"/>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64" w:type="dxa"/>
            <w:vAlign w:val="center"/>
          </w:tcPr>
          <w:p>
            <w:pPr>
              <w:pStyle w:val="64"/>
              <w:ind w:firstLine="0" w:firstLineChars="0"/>
              <w:jc w:val="center"/>
              <w:rPr>
                <w:rFonts w:ascii="宋体" w:hAnsi="宋体"/>
                <w:color w:val="auto"/>
                <w:kern w:val="0"/>
                <w:sz w:val="24"/>
                <w:szCs w:val="24"/>
                <w:highlight w:val="none"/>
              </w:rPr>
            </w:pPr>
            <w:bookmarkStart w:id="11" w:name="_Toc491862092"/>
            <w:r>
              <w:rPr>
                <w:rFonts w:hint="eastAsia" w:ascii="宋体" w:hAnsi="宋体"/>
                <w:color w:val="auto"/>
                <w:kern w:val="0"/>
                <w:sz w:val="24"/>
                <w:szCs w:val="24"/>
                <w:highlight w:val="none"/>
              </w:rPr>
              <w:t>质保期</w:t>
            </w:r>
            <w:bookmarkEnd w:id="11"/>
          </w:p>
        </w:tc>
        <w:tc>
          <w:tcPr>
            <w:tcW w:w="6158" w:type="dxa"/>
            <w:vAlign w:val="center"/>
          </w:tcPr>
          <w:p>
            <w:pPr>
              <w:pStyle w:val="64"/>
              <w:ind w:firstLine="0" w:firstLineChars="0"/>
              <w:rPr>
                <w:rFonts w:ascii="宋体" w:hAnsi="宋体"/>
                <w:color w:val="auto"/>
                <w:kern w:val="0"/>
                <w:sz w:val="24"/>
                <w:szCs w:val="24"/>
                <w:highlight w:val="none"/>
              </w:rPr>
            </w:pPr>
            <w:bookmarkStart w:id="12" w:name="_Toc491862093"/>
            <w:r>
              <w:rPr>
                <w:rFonts w:hint="eastAsia" w:ascii="宋体" w:hAnsi="宋体"/>
                <w:color w:val="auto"/>
                <w:kern w:val="0"/>
                <w:sz w:val="24"/>
                <w:szCs w:val="24"/>
                <w:highlight w:val="none"/>
              </w:rPr>
              <w:t>一年。</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64" w:type="dxa"/>
            <w:vAlign w:val="center"/>
          </w:tcPr>
          <w:p>
            <w:pPr>
              <w:pStyle w:val="64"/>
              <w:ind w:firstLine="0" w:firstLineChars="0"/>
              <w:jc w:val="center"/>
              <w:rPr>
                <w:rFonts w:ascii="宋体" w:hAnsi="宋体"/>
                <w:color w:val="auto"/>
                <w:kern w:val="0"/>
                <w:sz w:val="24"/>
                <w:highlight w:val="none"/>
              </w:rPr>
            </w:pPr>
            <w:bookmarkStart w:id="13" w:name="_Toc491862095"/>
            <w:r>
              <w:rPr>
                <w:rFonts w:hint="eastAsia" w:ascii="宋体" w:hAnsi="宋体"/>
                <w:color w:val="auto"/>
                <w:kern w:val="0"/>
                <w:sz w:val="24"/>
                <w:szCs w:val="24"/>
                <w:highlight w:val="none"/>
              </w:rPr>
              <w:t>付款方式</w:t>
            </w:r>
            <w:bookmarkEnd w:id="13"/>
          </w:p>
        </w:tc>
        <w:tc>
          <w:tcPr>
            <w:tcW w:w="6158" w:type="dxa"/>
            <w:vAlign w:val="center"/>
          </w:tcPr>
          <w:p>
            <w:pPr>
              <w:pStyle w:val="64"/>
              <w:ind w:firstLine="0" w:firstLineChars="0"/>
              <w:rPr>
                <w:rFonts w:ascii="宋体" w:hAnsi="宋体"/>
                <w:color w:val="auto"/>
                <w:kern w:val="0"/>
                <w:sz w:val="24"/>
                <w:highlight w:val="none"/>
              </w:rPr>
            </w:pPr>
            <w:r>
              <w:rPr>
                <w:rFonts w:hint="eastAsia" w:ascii="宋体" w:hAnsi="宋体"/>
                <w:color w:val="auto"/>
                <w:kern w:val="0"/>
                <w:sz w:val="24"/>
                <w:highlight w:val="none"/>
              </w:rPr>
              <w:t>合同签订后，按工程进度付款，以实际完成工程量的80%支付，工程竣工验收后支付至总合同价款的88%，剩余12%工程款质保期满后一次性付清。</w:t>
            </w:r>
          </w:p>
        </w:tc>
      </w:tr>
    </w:tbl>
    <w:p>
      <w:pPr>
        <w:spacing w:line="360" w:lineRule="auto"/>
        <w:jc w:val="left"/>
        <w:rPr>
          <w:rFonts w:hAnsi="宋体"/>
          <w:b/>
          <w:bCs/>
          <w:color w:val="auto"/>
          <w:sz w:val="24"/>
          <w:szCs w:val="24"/>
          <w:highlight w:val="none"/>
        </w:rPr>
      </w:pPr>
      <w:r>
        <w:rPr>
          <w:rFonts w:hint="eastAsia" w:hAnsi="宋体"/>
          <w:b/>
          <w:bCs/>
          <w:color w:val="auto"/>
          <w:sz w:val="24"/>
          <w:szCs w:val="24"/>
          <w:highlight w:val="none"/>
        </w:rPr>
        <w:t>二.建设标准详细描述：</w:t>
      </w:r>
    </w:p>
    <w:p>
      <w:pPr>
        <w:spacing w:line="360" w:lineRule="auto"/>
        <w:ind w:firstLine="480" w:firstLineChars="200"/>
        <w:jc w:val="left"/>
        <w:rPr>
          <w:rFonts w:ascii="宋体" w:hAnsi="宋体"/>
          <w:color w:val="auto"/>
          <w:sz w:val="24"/>
          <w:szCs w:val="24"/>
          <w:highlight w:val="none"/>
          <w:u w:val="single"/>
        </w:rPr>
      </w:pPr>
      <w:bookmarkStart w:id="14" w:name="_Toc494546014"/>
      <w:bookmarkStart w:id="15" w:name="_Toc497408661"/>
      <w:r>
        <w:rPr>
          <w:rFonts w:hint="eastAsia" w:ascii="宋体" w:hAnsi="宋体"/>
          <w:color w:val="auto"/>
          <w:sz w:val="24"/>
          <w:szCs w:val="24"/>
          <w:highlight w:val="none"/>
        </w:rPr>
        <w:t>项目基本情况：</w:t>
      </w:r>
      <w:r>
        <w:rPr>
          <w:rFonts w:hint="eastAsia" w:ascii="宋体" w:hAnsi="宋体"/>
          <w:color w:val="auto"/>
          <w:sz w:val="24"/>
          <w:szCs w:val="24"/>
          <w:highlight w:val="none"/>
          <w:u w:val="single"/>
        </w:rPr>
        <w:t>本项目包括园区智慧环保系统建设、园区智慧安监系统建设、园区智慧能源系统建设、园区道路车辆监管平台建设、公共联动平台建设、决策支撑、智慧党建、监控指挥中心建设等内容。</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项目建设目标：</w:t>
      </w:r>
      <w:r>
        <w:rPr>
          <w:rFonts w:hint="eastAsia" w:ascii="宋体" w:hAnsi="宋体"/>
          <w:color w:val="auto"/>
          <w:sz w:val="24"/>
          <w:szCs w:val="24"/>
          <w:highlight w:val="none"/>
          <w:u w:val="single"/>
        </w:rPr>
        <w:t>着眼于大路园区现有的产业布局、能源消耗、安全隐患与环境污染现状与管理需求，依据国家与地方指导性文件，引入先进自动化、信息化技术与智慧管理模式，建设大路工业园区安、环、能、应急一体化联动平台，打造大路工业园区“智慧园区”，实现园区安全风险、环境污染、能源消耗以及应急指挥“摸清底数、科学预警、测管联动、动态防控、智慧决策”的总体建设目标。</w:t>
      </w:r>
    </w:p>
    <w:p>
      <w:pPr>
        <w:numPr>
          <w:ilvl w:val="0"/>
          <w:numId w:val="3"/>
        </w:numPr>
        <w:spacing w:line="360" w:lineRule="auto"/>
        <w:ind w:right="57"/>
        <w:rPr>
          <w:rFonts w:ascii="宋体" w:hAnsi="宋体" w:cs="宋体"/>
          <w:color w:val="auto"/>
          <w:sz w:val="24"/>
          <w:szCs w:val="24"/>
          <w:highlight w:val="none"/>
        </w:rPr>
      </w:pPr>
      <w:r>
        <w:rPr>
          <w:rFonts w:hint="eastAsia" w:ascii="宋体" w:hAnsi="宋体"/>
          <w:color w:val="auto"/>
          <w:sz w:val="24"/>
          <w:szCs w:val="24"/>
          <w:highlight w:val="none"/>
          <w:u w:val="single"/>
        </w:rPr>
        <w:t>建设清单如下</w:t>
      </w:r>
      <w:r>
        <w:rPr>
          <w:rFonts w:hint="eastAsia" w:ascii="宋体" w:hAnsi="宋体" w:cs="宋体"/>
          <w:color w:val="auto"/>
          <w:sz w:val="24"/>
          <w:szCs w:val="24"/>
          <w:highlight w:val="none"/>
        </w:rPr>
        <w:t>：</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482"/>
        <w:gridCol w:w="26"/>
        <w:gridCol w:w="2150"/>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序号</w:t>
            </w:r>
          </w:p>
        </w:tc>
        <w:tc>
          <w:tcPr>
            <w:tcW w:w="3658" w:type="dxa"/>
            <w:gridSpan w:val="3"/>
            <w:vAlign w:val="center"/>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建设内容</w:t>
            </w:r>
          </w:p>
        </w:tc>
        <w:tc>
          <w:tcPr>
            <w:tcW w:w="4011" w:type="dxa"/>
            <w:vAlign w:val="center"/>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特征参数</w:t>
            </w:r>
          </w:p>
        </w:tc>
        <w:tc>
          <w:tcPr>
            <w:tcW w:w="595" w:type="dxa"/>
            <w:vAlign w:val="center"/>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单位</w:t>
            </w:r>
          </w:p>
        </w:tc>
        <w:tc>
          <w:tcPr>
            <w:tcW w:w="606" w:type="dxa"/>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数量</w:t>
            </w:r>
          </w:p>
        </w:tc>
        <w:tc>
          <w:tcPr>
            <w:tcW w:w="308" w:type="dxa"/>
          </w:tcPr>
          <w:p>
            <w:pPr>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一、园区智慧环保</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714" w:type="dxa"/>
            <w:gridSpan w:val="6"/>
            <w:vAlign w:val="bottom"/>
          </w:tcPr>
          <w:p>
            <w:pPr>
              <w:jc w:val="left"/>
              <w:rPr>
                <w:rFonts w:ascii="宋体" w:hAnsi="宋体" w:cs="宋体"/>
                <w:b/>
                <w:bCs/>
                <w:color w:val="auto"/>
                <w:kern w:val="0"/>
                <w:sz w:val="20"/>
                <w:highlight w:val="none"/>
              </w:rPr>
            </w:pPr>
            <w:r>
              <w:rPr>
                <w:rFonts w:ascii="宋体" w:hAnsi="宋体" w:cs="宋体"/>
                <w:b/>
                <w:bCs/>
                <w:color w:val="auto"/>
                <w:kern w:val="0"/>
                <w:sz w:val="20"/>
                <w:highlight w:val="none"/>
              </w:rPr>
              <w:t>1</w:t>
            </w:r>
            <w:r>
              <w:rPr>
                <w:rFonts w:hint="eastAsia" w:ascii="宋体" w:hAnsi="宋体" w:cs="宋体"/>
                <w:b/>
                <w:bCs/>
                <w:color w:val="auto"/>
                <w:kern w:val="0"/>
                <w:sz w:val="20"/>
                <w:highlight w:val="none"/>
              </w:rPr>
              <w:t>、厂界预警在线监测系统</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有毒有害多气体监测仪（H2S、NH3、VOC）</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有毒有害多气体监测仪主机 </w:t>
            </w:r>
            <w:r>
              <w:rPr>
                <w:rFonts w:ascii="宋体" w:hAnsi="宋体" w:cs="宋体"/>
                <w:color w:val="auto"/>
                <w:kern w:val="0"/>
                <w:sz w:val="20"/>
                <w:highlight w:val="none"/>
              </w:rPr>
              <w:t xml:space="preserve">           包含</w:t>
            </w:r>
            <w:r>
              <w:rPr>
                <w:rFonts w:hint="eastAsia" w:ascii="宋体" w:hAnsi="宋体" w:cs="宋体"/>
                <w:color w:val="auto"/>
                <w:kern w:val="0"/>
                <w:sz w:val="20"/>
                <w:highlight w:val="none"/>
              </w:rPr>
              <w:t>：H</w:t>
            </w:r>
            <w:r>
              <w:rPr>
                <w:rFonts w:ascii="宋体" w:hAnsi="宋体" w:cs="宋体"/>
                <w:color w:val="auto"/>
                <w:kern w:val="0"/>
                <w:sz w:val="20"/>
                <w:highlight w:val="none"/>
              </w:rPr>
              <w:t>2S</w:t>
            </w:r>
            <w:r>
              <w:rPr>
                <w:rFonts w:hint="eastAsia" w:ascii="宋体" w:hAnsi="宋体" w:cs="宋体"/>
                <w:color w:val="auto"/>
                <w:kern w:val="0"/>
                <w:sz w:val="20"/>
                <w:highlight w:val="none"/>
              </w:rPr>
              <w:t>传感器模块；N</w:t>
            </w:r>
            <w:r>
              <w:rPr>
                <w:rFonts w:ascii="宋体" w:hAnsi="宋体" w:cs="宋体"/>
                <w:color w:val="auto"/>
                <w:kern w:val="0"/>
                <w:sz w:val="20"/>
                <w:highlight w:val="none"/>
              </w:rPr>
              <w:t>H3</w:t>
            </w:r>
            <w:r>
              <w:rPr>
                <w:rFonts w:hint="eastAsia" w:ascii="宋体" w:hAnsi="宋体" w:cs="宋体"/>
                <w:color w:val="auto"/>
                <w:kern w:val="0"/>
                <w:sz w:val="20"/>
                <w:highlight w:val="none"/>
              </w:rPr>
              <w:t>传感器模块；V</w:t>
            </w:r>
            <w:r>
              <w:rPr>
                <w:rFonts w:ascii="宋体" w:hAnsi="宋体" w:cs="宋体"/>
                <w:color w:val="auto"/>
                <w:kern w:val="0"/>
                <w:sz w:val="20"/>
                <w:highlight w:val="none"/>
              </w:rPr>
              <w:t>OC</w:t>
            </w:r>
            <w:r>
              <w:rPr>
                <w:rFonts w:hint="eastAsia" w:ascii="宋体" w:hAnsi="宋体" w:cs="宋体"/>
                <w:color w:val="auto"/>
                <w:kern w:val="0"/>
                <w:sz w:val="20"/>
                <w:highlight w:val="none"/>
              </w:rPr>
              <w:t>传感器模块</w:t>
            </w:r>
          </w:p>
        </w:tc>
        <w:tc>
          <w:tcPr>
            <w:tcW w:w="4011" w:type="dxa"/>
            <w:vMerge w:val="restart"/>
          </w:tcPr>
          <w:p>
            <w:pPr>
              <w:jc w:val="left"/>
              <w:rPr>
                <w:rFonts w:ascii="宋体" w:hAnsi="宋体" w:cs="宋体"/>
                <w:color w:val="auto"/>
                <w:kern w:val="0"/>
                <w:sz w:val="20"/>
                <w:highlight w:val="none"/>
              </w:rPr>
            </w:pPr>
            <w:r>
              <w:rPr>
                <w:rFonts w:hint="eastAsia" w:ascii="宋体" w:hAnsi="宋体" w:cs="宋体"/>
                <w:color w:val="auto"/>
                <w:kern w:val="0"/>
                <w:sz w:val="20"/>
                <w:highlight w:val="none"/>
              </w:rPr>
              <w:t>测量气体：H2S、N</w:t>
            </w:r>
            <w:r>
              <w:rPr>
                <w:rFonts w:ascii="宋体" w:hAnsi="宋体" w:cs="宋体"/>
                <w:color w:val="auto"/>
                <w:kern w:val="0"/>
                <w:sz w:val="20"/>
                <w:highlight w:val="none"/>
              </w:rPr>
              <w:t>H3</w:t>
            </w:r>
            <w:r>
              <w:rPr>
                <w:rFonts w:hint="eastAsia" w:ascii="宋体" w:hAnsi="宋体" w:cs="宋体"/>
                <w:color w:val="auto"/>
                <w:kern w:val="0"/>
                <w:sz w:val="20"/>
                <w:highlight w:val="none"/>
              </w:rPr>
              <w:t>、H</w:t>
            </w:r>
            <w:r>
              <w:rPr>
                <w:rFonts w:ascii="宋体" w:hAnsi="宋体" w:cs="宋体"/>
                <w:color w:val="auto"/>
                <w:kern w:val="0"/>
                <w:sz w:val="20"/>
                <w:highlight w:val="none"/>
              </w:rPr>
              <w:t>CL</w:t>
            </w:r>
            <w:r>
              <w:rPr>
                <w:rFonts w:hint="eastAsia" w:ascii="宋体" w:hAnsi="宋体" w:cs="宋体"/>
                <w:color w:val="auto"/>
                <w:kern w:val="0"/>
                <w:sz w:val="20"/>
                <w:highlight w:val="none"/>
              </w:rPr>
              <w:t>、C</w:t>
            </w:r>
            <w:r>
              <w:rPr>
                <w:rFonts w:ascii="宋体" w:hAnsi="宋体" w:cs="宋体"/>
                <w:color w:val="auto"/>
                <w:kern w:val="0"/>
                <w:sz w:val="20"/>
                <w:highlight w:val="none"/>
              </w:rPr>
              <w:t>L2</w:t>
            </w:r>
            <w:r>
              <w:rPr>
                <w:rFonts w:hint="eastAsia" w:ascii="宋体" w:hAnsi="宋体" w:cs="宋体"/>
                <w:color w:val="auto"/>
                <w:kern w:val="0"/>
                <w:sz w:val="20"/>
                <w:highlight w:val="none"/>
              </w:rPr>
              <w:t>、V</w:t>
            </w:r>
            <w:r>
              <w:rPr>
                <w:rFonts w:ascii="宋体" w:hAnsi="宋体" w:cs="宋体"/>
                <w:color w:val="auto"/>
                <w:kern w:val="0"/>
                <w:sz w:val="20"/>
                <w:highlight w:val="none"/>
              </w:rPr>
              <w:t>OC等</w:t>
            </w:r>
            <w:r>
              <w:rPr>
                <w:rFonts w:hint="eastAsia" w:ascii="宋体" w:hAnsi="宋体" w:cs="宋体"/>
                <w:color w:val="auto"/>
                <w:kern w:val="0"/>
                <w:sz w:val="20"/>
                <w:highlight w:val="none"/>
              </w:rPr>
              <w:t>，最多可同时测量8种气体；</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测量原理：电化学、光离子；</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采样方式：泵吸式；</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除湿方式：热电制冷除湿；</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输出接口：4路(4～20) mA、1路RS485、1路GPRS；</w:t>
            </w:r>
          </w:p>
          <w:p>
            <w:pPr>
              <w:jc w:val="left"/>
              <w:rPr>
                <w:rFonts w:ascii="宋体" w:hAnsi="宋体" w:cs="宋体"/>
                <w:color w:val="auto"/>
                <w:kern w:val="0"/>
                <w:sz w:val="20"/>
                <w:highlight w:val="none"/>
              </w:rPr>
            </w:pPr>
            <w:r>
              <w:rPr>
                <w:rFonts w:ascii="宋体" w:hAnsi="宋体" w:cs="宋体"/>
                <w:color w:val="auto"/>
                <w:kern w:val="0"/>
                <w:sz w:val="20"/>
                <w:highlight w:val="none"/>
              </w:rPr>
              <w:t>工作温度</w:t>
            </w:r>
            <w:r>
              <w:rPr>
                <w:rFonts w:hint="eastAsia" w:ascii="宋体" w:hAnsi="宋体" w:cs="宋体"/>
                <w:color w:val="auto"/>
                <w:kern w:val="0"/>
                <w:sz w:val="20"/>
                <w:highlight w:val="none"/>
              </w:rPr>
              <w:t>：-</w:t>
            </w:r>
            <w:r>
              <w:rPr>
                <w:rFonts w:ascii="宋体" w:hAnsi="宋体" w:cs="宋体"/>
                <w:color w:val="auto"/>
                <w:kern w:val="0"/>
                <w:sz w:val="20"/>
                <w:highlight w:val="none"/>
              </w:rPr>
              <w:t>30℃</w:t>
            </w:r>
            <w:r>
              <w:rPr>
                <w:rFonts w:hint="eastAsia" w:ascii="宋体" w:hAnsi="宋体" w:cs="宋体"/>
                <w:color w:val="auto"/>
                <w:kern w:val="0"/>
                <w:sz w:val="20"/>
                <w:highlight w:val="none"/>
              </w:rPr>
              <w:t>-</w:t>
            </w:r>
            <w:r>
              <w:rPr>
                <w:rFonts w:ascii="宋体" w:hAnsi="宋体" w:cs="宋体"/>
                <w:color w:val="auto"/>
                <w:kern w:val="0"/>
                <w:sz w:val="20"/>
                <w:highlight w:val="none"/>
              </w:rPr>
              <w:t>55℃</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r>
              <w:rPr>
                <w:rFonts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有毒有害多气体监测仪（HCL、CL2、VOC）</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有毒有害多气体监测仪主机</w:t>
            </w:r>
          </w:p>
          <w:p>
            <w:pPr>
              <w:jc w:val="left"/>
              <w:rPr>
                <w:rFonts w:ascii="宋体" w:hAnsi="宋体" w:cs="宋体"/>
                <w:color w:val="auto"/>
                <w:kern w:val="0"/>
                <w:sz w:val="20"/>
                <w:highlight w:val="none"/>
              </w:rPr>
            </w:pPr>
            <w:r>
              <w:rPr>
                <w:rFonts w:ascii="宋体" w:hAnsi="宋体" w:cs="宋体"/>
                <w:color w:val="auto"/>
                <w:kern w:val="0"/>
                <w:sz w:val="20"/>
                <w:highlight w:val="none"/>
              </w:rPr>
              <w:t>包含</w:t>
            </w:r>
            <w:r>
              <w:rPr>
                <w:rFonts w:hint="eastAsia" w:ascii="宋体" w:hAnsi="宋体" w:cs="宋体"/>
                <w:color w:val="auto"/>
                <w:kern w:val="0"/>
                <w:sz w:val="20"/>
                <w:highlight w:val="none"/>
              </w:rPr>
              <w:t>：HC</w:t>
            </w:r>
            <w:r>
              <w:rPr>
                <w:rFonts w:ascii="宋体" w:hAnsi="宋体" w:cs="宋体"/>
                <w:color w:val="auto"/>
                <w:kern w:val="0"/>
                <w:sz w:val="20"/>
                <w:highlight w:val="none"/>
              </w:rPr>
              <w:t>L</w:t>
            </w:r>
            <w:r>
              <w:rPr>
                <w:rFonts w:hint="eastAsia" w:ascii="宋体" w:hAnsi="宋体" w:cs="宋体"/>
                <w:color w:val="auto"/>
                <w:kern w:val="0"/>
                <w:sz w:val="20"/>
                <w:highlight w:val="none"/>
              </w:rPr>
              <w:t>传感器模块；C</w:t>
            </w:r>
            <w:r>
              <w:rPr>
                <w:rFonts w:ascii="宋体" w:hAnsi="宋体" w:cs="宋体"/>
                <w:color w:val="auto"/>
                <w:kern w:val="0"/>
                <w:sz w:val="20"/>
                <w:highlight w:val="none"/>
              </w:rPr>
              <w:t>L2</w:t>
            </w:r>
            <w:r>
              <w:rPr>
                <w:rFonts w:hint="eastAsia" w:ascii="宋体" w:hAnsi="宋体" w:cs="宋体"/>
                <w:color w:val="auto"/>
                <w:kern w:val="0"/>
                <w:sz w:val="20"/>
                <w:highlight w:val="none"/>
              </w:rPr>
              <w:t>传感器模块；</w:t>
            </w:r>
            <w:r>
              <w:rPr>
                <w:rFonts w:ascii="宋体" w:hAnsi="宋体" w:cs="宋体"/>
                <w:color w:val="auto"/>
                <w:kern w:val="0"/>
                <w:sz w:val="20"/>
                <w:highlight w:val="none"/>
              </w:rPr>
              <w:t>VOC</w:t>
            </w:r>
            <w:r>
              <w:rPr>
                <w:rFonts w:hint="eastAsia" w:ascii="宋体" w:hAnsi="宋体" w:cs="宋体"/>
                <w:color w:val="auto"/>
                <w:kern w:val="0"/>
                <w:sz w:val="20"/>
                <w:highlight w:val="none"/>
              </w:rPr>
              <w:t>传感器模块</w:t>
            </w:r>
          </w:p>
        </w:tc>
        <w:tc>
          <w:tcPr>
            <w:tcW w:w="4011" w:type="dxa"/>
            <w:vMerge w:val="continue"/>
            <w:vAlign w:val="bottom"/>
          </w:tcPr>
          <w:p>
            <w:pPr>
              <w:jc w:val="center"/>
              <w:rPr>
                <w:rFonts w:ascii="宋体" w:hAnsi="宋体" w:cs="宋体"/>
                <w:color w:val="auto"/>
                <w:kern w:val="0"/>
                <w:sz w:val="20"/>
                <w:highlight w:val="none"/>
              </w:rPr>
            </w:pP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482"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有毒有害多气体监测仪（HCL）</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有毒有害多气体监测仪主机 </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包含：H</w:t>
            </w:r>
            <w:r>
              <w:rPr>
                <w:rFonts w:ascii="宋体" w:hAnsi="宋体" w:cs="宋体"/>
                <w:color w:val="auto"/>
                <w:kern w:val="0"/>
                <w:sz w:val="20"/>
                <w:highlight w:val="none"/>
              </w:rPr>
              <w:t>CL</w:t>
            </w:r>
            <w:r>
              <w:rPr>
                <w:rFonts w:hint="eastAsia" w:ascii="宋体" w:hAnsi="宋体" w:cs="宋体"/>
                <w:color w:val="auto"/>
                <w:kern w:val="0"/>
                <w:sz w:val="20"/>
                <w:highlight w:val="none"/>
              </w:rPr>
              <w:t>传感器模块</w:t>
            </w:r>
          </w:p>
        </w:tc>
        <w:tc>
          <w:tcPr>
            <w:tcW w:w="4011" w:type="dxa"/>
            <w:vMerge w:val="continue"/>
            <w:vAlign w:val="bottom"/>
          </w:tcPr>
          <w:p>
            <w:pPr>
              <w:jc w:val="center"/>
              <w:rPr>
                <w:rFonts w:ascii="宋体" w:hAnsi="宋体" w:cs="宋体"/>
                <w:color w:val="auto"/>
                <w:kern w:val="0"/>
                <w:sz w:val="20"/>
                <w:highlight w:val="none"/>
              </w:rPr>
            </w:pP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bottom"/>
          </w:tcPr>
          <w:p>
            <w:pPr>
              <w:jc w:val="left"/>
              <w:rPr>
                <w:rFonts w:ascii="宋体" w:hAnsi="宋体" w:cs="宋体"/>
                <w:b/>
                <w:bCs/>
                <w:color w:val="auto"/>
                <w:kern w:val="0"/>
                <w:sz w:val="20"/>
                <w:highlight w:val="none"/>
              </w:rPr>
            </w:pPr>
            <w:r>
              <w:rPr>
                <w:rFonts w:ascii="宋体" w:hAnsi="宋体" w:cs="宋体"/>
                <w:b/>
                <w:bCs/>
                <w:color w:val="auto"/>
                <w:kern w:val="0"/>
                <w:sz w:val="20"/>
                <w:highlight w:val="none"/>
              </w:rPr>
              <w:t>2</w:t>
            </w:r>
            <w:r>
              <w:rPr>
                <w:rFonts w:hint="eastAsia" w:ascii="宋体" w:hAnsi="宋体" w:cs="宋体"/>
                <w:b/>
                <w:bCs/>
                <w:color w:val="auto"/>
                <w:kern w:val="0"/>
                <w:sz w:val="20"/>
                <w:highlight w:val="none"/>
              </w:rPr>
              <w:t>、敏感区空气质量监控超级站</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仪器配置(无机）</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H2S/SO2分析仪 </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测量原理：紫外荧光法；</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量程：H2S：最小0～50ppb，最大0～20ppm；SO2：0～20ppm（可选，独立量程和自动量程设置）。</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NOx分析仪</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测量原理：化学发光法；</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量程范围：0～500ppb到0～20ppm（可选双量程和自动量程）。</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NH3分析仪</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测量原理：可调制半导体激光吸收光谱；</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量程：0 ～ 20ppm；</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检测限：1 ppb（1倍标准偏差）。</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气象五参数</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测量温度、湿度、气压、风向、风速。</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动态校准仪（含臭氧模块）</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稀释气流量范围：标配：0～10SLM；可选：0～5SLM；0～20SLM；</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标气流量范围：标配：0～100sccm；可选：0～50sccm、0～200sccm。</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渗透炉校准仪</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温度控制精度：±0.01°C 在 110°C ；</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供气范围：PPB – 高浓度 PPM；两个独立的渗透腔。</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零气发生器</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输出流量：20SLPM，当30Psig 时；</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露点：&lt;-30℃（&lt;15L）；&lt;-20℃（＞15L）。</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仪器配置(有机）</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△甲烷/非甲烷总烃在线分析仪</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分析方法：气相色谱法；</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检出限：非甲烷总烃（以甲烷计）≤50ppb。</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△VOCs在线质谱分析仪(GC-FID/MS)</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分析方法：气相色谱质谱联用法；</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可分析组分：大气中挥发性有机物，包括PAMS（57种），TO15组分（65种），OVOC（12种）等有机物。</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动态校准仪（VOC版）</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稀释气流量范围：标配：0～10SLM；可选：0～5SLM、0～20SLM；</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标气流量范围：标配：0～100sccm；可选：0～50sccm0～200sccm。</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11</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全惰性化精密动态校准仪</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通过气体质量流量控制器精确控制气体流量，将高浓度样品动态稀释至所需低浓度气体，内部管路和接头全部经过严格惰性化处理，降低VOCs气体在管路中吸附残留的影响。</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氢气发生器</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氢气纯度：99.999%；</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氢气流量：0-500ml/min。</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零气发生器（用于GC-MS）</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输出零气流量：0-5000ml/min；</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输出零气烃类含量：＜10ppb。</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氦气(含减压阀）</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99.999%,40L</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氮气（含减压阀）</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99.999%,40L</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16</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标气系统</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SO2标气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50ppm，8L。带减压阀。</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NO标气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50ppm，8L。带减压阀。</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H2S标气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1ppm；8L。带减压阀。</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NH3标气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30ppm，8L。带减压阀。</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甲烷、丙烷标气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400ppm甲烷，30ppm丙烷。带减压阀。</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PAMS标气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1ppm，1L。</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瓶</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21</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TO-15标气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1ppm，1L。</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瓶</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OVOC标气</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1ppm；4L。</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瓶</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不锈钢减压阀</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与PAMS、TO15和OVOC钢瓶配套。</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23</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配套采样系统、机柜、稳压电源、UPS电源等辅助设施</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采样系统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采样装置：垂直层流式采样总管；</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制作材料：不锈钢内衬，聚四氟乙烯。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机柜 </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600</w:t>
            </w:r>
            <w:r>
              <w:rPr>
                <w:rFonts w:hint="eastAsia" w:ascii="宋体" w:hAnsi="宋体" w:cs="宋体"/>
                <w:color w:val="auto"/>
                <w:kern w:val="0"/>
                <w:sz w:val="20"/>
                <w:highlight w:val="none"/>
              </w:rPr>
              <w:t>*</w:t>
            </w:r>
            <w:r>
              <w:rPr>
                <w:rFonts w:ascii="宋体" w:hAnsi="宋体" w:cs="宋体"/>
                <w:color w:val="auto"/>
                <w:kern w:val="0"/>
                <w:sz w:val="20"/>
                <w:highlight w:val="none"/>
              </w:rPr>
              <w:t>900mm</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稳压电源 </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满足H2S\SO2、NOX、NH3、甲烷非甲烷总烃分析仪、GC-MS、零气发生器、校准仪、数采仪等设备需求，确保上述仪器设备长期稳定运行，不受感应电影响跳变电压，稳压电源可负载超过5KW 以上，供仪器正常使用，稳压电源接地。</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UPS电源</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6KVA，延时2小时。</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27</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数据传输与网络化</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数据采集及传输软件 </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用于监测站内所有在线分析仪器和校准设备的工作控制、数据采集、零气和标准气的供给时序、数据通讯等任务的执行。控制功能满足空气质量自动监测系统的数据采集、控制、通讯等。</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子站工控机</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CPU主频不低于3.1GHz，内存不低于2G，硬盘容量不低于500G；</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串口情况：类型为RS232、数量不少于6个；</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配备键盘、鼠标、不小于17寸显示器。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29</w:t>
            </w:r>
          </w:p>
        </w:tc>
        <w:tc>
          <w:tcPr>
            <w:tcW w:w="1482"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生物多模态识别门禁</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人脸+虹膜识别门禁设备超级站里</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人脸产品技术参数：</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产品类型：双模摄像头：近红外和可见光；传感器</w:t>
            </w:r>
            <w:r>
              <w:rPr>
                <w:rFonts w:hint="eastAsia" w:ascii="宋体" w:hAnsi="宋体" w:cs="宋体"/>
                <w:color w:val="auto"/>
                <w:kern w:val="0"/>
                <w:sz w:val="20"/>
                <w:highlight w:val="none"/>
              </w:rPr>
              <w:tab/>
            </w:r>
            <w:r>
              <w:rPr>
                <w:rFonts w:hint="eastAsia" w:ascii="宋体" w:hAnsi="宋体" w:cs="宋体"/>
                <w:color w:val="auto"/>
                <w:kern w:val="0"/>
                <w:sz w:val="20"/>
                <w:highlight w:val="none"/>
              </w:rPr>
              <w:t>CMOS；</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像素</w:t>
            </w:r>
            <w:r>
              <w:rPr>
                <w:rFonts w:hint="eastAsia" w:ascii="宋体" w:hAnsi="宋体" w:cs="宋体"/>
                <w:color w:val="auto"/>
                <w:kern w:val="0"/>
                <w:sz w:val="20"/>
                <w:highlight w:val="none"/>
              </w:rPr>
              <w:tab/>
            </w:r>
            <w:r>
              <w:rPr>
                <w:rFonts w:hint="eastAsia" w:ascii="宋体" w:hAnsi="宋体" w:cs="宋体"/>
                <w:color w:val="auto"/>
                <w:kern w:val="0"/>
                <w:sz w:val="20"/>
                <w:highlight w:val="none"/>
              </w:rPr>
              <w:t>彩色：不低于300万像素、红外：不低于200万像素；</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虹膜产品技术参数：</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摄像头类型：单模近红外镜头；</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像素：不低于200万像素；</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分辨率：不小于1920*1080；</w:t>
            </w:r>
          </w:p>
          <w:p>
            <w:pPr>
              <w:jc w:val="left"/>
              <w:rPr>
                <w:rFonts w:ascii="宋体" w:hAnsi="宋体" w:cs="宋体"/>
                <w:color w:val="auto"/>
                <w:kern w:val="0"/>
                <w:sz w:val="20"/>
                <w:szCs w:val="22"/>
                <w:highlight w:val="none"/>
              </w:rPr>
            </w:pPr>
            <w:r>
              <w:rPr>
                <w:rFonts w:hint="eastAsia" w:ascii="宋体" w:hAnsi="宋体" w:cs="宋体"/>
                <w:color w:val="auto"/>
                <w:kern w:val="0"/>
                <w:sz w:val="20"/>
                <w:highlight w:val="none"/>
              </w:rPr>
              <w:t>最大帧率</w:t>
            </w:r>
            <w:r>
              <w:rPr>
                <w:rFonts w:hint="eastAsia" w:ascii="宋体" w:hAnsi="宋体" w:cs="宋体"/>
                <w:color w:val="auto"/>
                <w:kern w:val="0"/>
                <w:sz w:val="20"/>
                <w:highlight w:val="none"/>
              </w:rPr>
              <w:tab/>
            </w:r>
            <w:r>
              <w:rPr>
                <w:rFonts w:hint="eastAsia" w:ascii="宋体" w:hAnsi="宋体" w:cs="宋体"/>
                <w:color w:val="auto"/>
                <w:kern w:val="0"/>
                <w:sz w:val="20"/>
                <w:highlight w:val="none"/>
              </w:rPr>
              <w:t>：不低于1920*1080@30fps。</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30</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彩钢板站房（含空调、灭火器等站房配套设施）</w:t>
            </w:r>
          </w:p>
        </w:tc>
        <w:tc>
          <w:tcPr>
            <w:tcW w:w="4011" w:type="dxa"/>
            <w:vAlign w:val="bottom"/>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1、彩钢板站房；</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2、含空调、灭火器等配套设施；</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3、使用面积不小于20㎡，高度不低于2.7m。</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4、根据现场实际需要可调整。</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bottom"/>
          </w:tcPr>
          <w:p>
            <w:pPr>
              <w:jc w:val="left"/>
              <w:rPr>
                <w:rFonts w:ascii="宋体" w:hAnsi="宋体" w:cs="宋体"/>
                <w:b/>
                <w:bCs/>
                <w:color w:val="auto"/>
                <w:kern w:val="0"/>
                <w:sz w:val="20"/>
                <w:highlight w:val="none"/>
              </w:rPr>
            </w:pPr>
            <w:r>
              <w:rPr>
                <w:rFonts w:ascii="宋体" w:hAnsi="宋体" w:cs="宋体"/>
                <w:b/>
                <w:bCs/>
                <w:color w:val="auto"/>
                <w:kern w:val="0"/>
                <w:sz w:val="20"/>
                <w:highlight w:val="none"/>
              </w:rPr>
              <w:t>3</w:t>
            </w:r>
            <w:r>
              <w:rPr>
                <w:rFonts w:hint="eastAsia" w:ascii="宋体" w:hAnsi="宋体" w:cs="宋体"/>
                <w:b/>
                <w:bCs/>
                <w:color w:val="auto"/>
                <w:kern w:val="0"/>
                <w:sz w:val="20"/>
                <w:highlight w:val="none"/>
              </w:rPr>
              <w:t>、高空瞭望视频监控设备（供园区环保、安监等部门共用）</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云台（200万中载星光级红外云台摄像机）</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可见光</w:t>
            </w:r>
            <w:r>
              <w:rPr>
                <w:rFonts w:hint="eastAsia" w:ascii="宋体" w:hAnsi="宋体" w:cs="宋体"/>
                <w:color w:val="auto"/>
                <w:kern w:val="0"/>
                <w:sz w:val="20"/>
                <w:highlight w:val="none"/>
              </w:rPr>
              <w:t>; 探测距离≥</w:t>
            </w:r>
            <w:r>
              <w:rPr>
                <w:rFonts w:ascii="宋体" w:hAnsi="宋体" w:cs="宋体"/>
                <w:color w:val="auto"/>
                <w:kern w:val="0"/>
                <w:sz w:val="20"/>
                <w:highlight w:val="none"/>
              </w:rPr>
              <w:t>3000米</w:t>
            </w:r>
            <w:r>
              <w:rPr>
                <w:rFonts w:hint="eastAsia" w:ascii="宋体" w:hAnsi="宋体" w:cs="宋体"/>
                <w:color w:val="auto"/>
                <w:kern w:val="0"/>
                <w:sz w:val="20"/>
                <w:highlight w:val="none"/>
              </w:rPr>
              <w:t>；</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有效像素:</w:t>
            </w:r>
            <w:r>
              <w:rPr>
                <w:rFonts w:ascii="宋体" w:hAnsi="宋体" w:cs="宋体"/>
                <w:color w:val="auto"/>
                <w:kern w:val="0"/>
                <w:sz w:val="20"/>
                <w:highlight w:val="none"/>
              </w:rPr>
              <w:t>≥200万像素</w:t>
            </w:r>
            <w:r>
              <w:rPr>
                <w:rFonts w:hint="eastAsia" w:ascii="宋体" w:hAnsi="宋体" w:cs="宋体"/>
                <w:color w:val="auto"/>
                <w:kern w:val="0"/>
                <w:sz w:val="20"/>
                <w:highlight w:val="none"/>
              </w:rPr>
              <w:t>；</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最低照度：0.01Lux/F1.8(彩色),0.001Lux/F1.8(黑白)，0 Lux with IR；</w:t>
            </w:r>
          </w:p>
          <w:p>
            <w:pPr>
              <w:jc w:val="left"/>
              <w:rPr>
                <w:rFonts w:ascii="宋体" w:hAnsi="宋体" w:cs="宋体"/>
                <w:color w:val="auto"/>
                <w:kern w:val="0"/>
                <w:sz w:val="20"/>
                <w:highlight w:val="none"/>
              </w:rPr>
            </w:pPr>
            <w:r>
              <w:rPr>
                <w:rFonts w:ascii="宋体" w:hAnsi="宋体" w:cs="宋体"/>
                <w:color w:val="auto"/>
                <w:kern w:val="0"/>
                <w:sz w:val="20"/>
                <w:highlight w:val="none"/>
              </w:rPr>
              <w:t>焦距</w:t>
            </w:r>
            <w:r>
              <w:rPr>
                <w:rFonts w:hint="eastAsia" w:ascii="宋体" w:hAnsi="宋体" w:cs="宋体"/>
                <w:color w:val="auto"/>
                <w:kern w:val="0"/>
                <w:sz w:val="20"/>
                <w:highlight w:val="none"/>
              </w:rPr>
              <w:t>：6.6-350mm，53倍光学；</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工作环境：-40℃-70℃，湿度小于95%。</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NVR（网络硬盘录像机）</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支持不少于8路高清，128M带宽网络视频接入，256M网络带宽输出；支持8个SATA盘位。</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视频存储专用硬盘</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3</w:t>
            </w:r>
            <w:r>
              <w:rPr>
                <w:rFonts w:ascii="宋体" w:hAnsi="宋体" w:cs="宋体"/>
                <w:color w:val="auto"/>
                <w:kern w:val="0"/>
                <w:sz w:val="20"/>
                <w:highlight w:val="none"/>
              </w:rPr>
              <w:t>.5英寸视频监控专用硬盘</w:t>
            </w:r>
            <w:r>
              <w:rPr>
                <w:rFonts w:hint="eastAsia" w:ascii="宋体" w:hAnsi="宋体" w:cs="宋体"/>
                <w:color w:val="auto"/>
                <w:kern w:val="0"/>
                <w:sz w:val="20"/>
                <w:highlight w:val="none"/>
              </w:rPr>
              <w:t>，不低于</w:t>
            </w:r>
            <w:r>
              <w:rPr>
                <w:rFonts w:ascii="宋体" w:hAnsi="宋体" w:cs="宋体"/>
                <w:color w:val="auto"/>
                <w:kern w:val="0"/>
                <w:sz w:val="20"/>
                <w:highlight w:val="none"/>
              </w:rPr>
              <w:t>4TB</w:t>
            </w:r>
            <w:r>
              <w:rPr>
                <w:rFonts w:hint="eastAsia" w:ascii="宋体" w:hAnsi="宋体" w:cs="宋体"/>
                <w:color w:val="auto"/>
                <w:kern w:val="0"/>
                <w:sz w:val="20"/>
                <w:highlight w:val="none"/>
              </w:rPr>
              <w:t>，S</w:t>
            </w:r>
            <w:r>
              <w:rPr>
                <w:rFonts w:ascii="宋体" w:hAnsi="宋体" w:cs="宋体"/>
                <w:color w:val="auto"/>
                <w:kern w:val="0"/>
                <w:sz w:val="20"/>
                <w:highlight w:val="none"/>
              </w:rPr>
              <w:t>ATA接口</w:t>
            </w:r>
            <w:r>
              <w:rPr>
                <w:rFonts w:hint="eastAsia" w:ascii="宋体" w:hAnsi="宋体" w:cs="宋体"/>
                <w:color w:val="auto"/>
                <w:kern w:val="0"/>
                <w:sz w:val="20"/>
                <w:highlight w:val="none"/>
              </w:rPr>
              <w:t>，</w:t>
            </w:r>
            <w:r>
              <w:rPr>
                <w:rFonts w:ascii="宋体" w:hAnsi="宋体" w:cs="宋体"/>
                <w:color w:val="auto"/>
                <w:kern w:val="0"/>
                <w:sz w:val="20"/>
                <w:highlight w:val="none"/>
              </w:rPr>
              <w:t>硬盘转速</w:t>
            </w:r>
            <w:r>
              <w:rPr>
                <w:rFonts w:hint="eastAsia" w:ascii="宋体" w:hAnsi="宋体" w:cs="宋体"/>
                <w:color w:val="auto"/>
                <w:kern w:val="0"/>
                <w:sz w:val="20"/>
                <w:highlight w:val="none"/>
              </w:rPr>
              <w:t>不低于72</w:t>
            </w:r>
            <w:r>
              <w:rPr>
                <w:rFonts w:ascii="宋体" w:hAnsi="宋体" w:cs="宋体"/>
                <w:color w:val="auto"/>
                <w:kern w:val="0"/>
                <w:sz w:val="20"/>
                <w:highlight w:val="none"/>
              </w:rPr>
              <w:t>00转</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（二）环保管理平台</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智能监测系统</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园区重点区域、敏感区域</w:t>
            </w:r>
            <w:r>
              <w:rPr>
                <w:rFonts w:hint="eastAsia" w:ascii="宋体" w:hAnsi="宋体" w:cs="宋体"/>
                <w:color w:val="auto"/>
                <w:kern w:val="0"/>
                <w:sz w:val="20"/>
                <w:highlight w:val="none"/>
              </w:rPr>
              <w:t>等</w:t>
            </w:r>
            <w:r>
              <w:rPr>
                <w:rFonts w:ascii="宋体" w:hAnsi="宋体" w:cs="宋体"/>
                <w:color w:val="auto"/>
                <w:kern w:val="0"/>
                <w:sz w:val="20"/>
                <w:highlight w:val="none"/>
              </w:rPr>
              <w:t>建设环境监测点，</w:t>
            </w:r>
            <w:r>
              <w:rPr>
                <w:rFonts w:hint="eastAsia" w:ascii="宋体" w:hAnsi="宋体" w:cs="宋体"/>
                <w:color w:val="auto"/>
                <w:kern w:val="0"/>
                <w:sz w:val="20"/>
                <w:highlight w:val="none"/>
              </w:rPr>
              <w:t>并可接入园区已有的废水及废气监测设备的数据，</w:t>
            </w:r>
            <w:r>
              <w:rPr>
                <w:rFonts w:ascii="宋体" w:hAnsi="宋体" w:cs="宋体"/>
                <w:color w:val="auto"/>
                <w:kern w:val="0"/>
                <w:sz w:val="20"/>
                <w:highlight w:val="none"/>
              </w:rPr>
              <w:t>实现对大气空气质量、企业污水、废气的实时监测和信息采集</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数据研判系统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对接入的空气质量监测信息、企业废气等监测信息进行汇总分析和展示。</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污染溯源系统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综合利用园区各类监控预警数据、气象数据，建设园区、企业特征因子库，对园区环境质量监测数据和污染排放监测数据进行实时跟踪溯源，帮助园区管理者快速、准确的锁定污染源头。</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二、园区智慧安监</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restart"/>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园区安全生产监管平台</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危险源安全监控物联网主机</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支持企业现场安全生产数据实时上传至园区智慧安监平台，具有多个标准接口，可接驳模拟摄像机、网络摄像机、网络快球等，支持本地模拟量数据监测、超限报警；支持开关量报警量输入，具有防剪、防短功能；支持报警输出，输出时间可控，并支持报警联动输出，可实现数据的存储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危险源企业厂区二维建模</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展示企业厂区内部重大危险源、监控视频的分布情况，显示企业的厂区平面图和重大危险源的所处位置，点击重大危险源可以查看重大危险源的基本信息、危化品存储信息、监控数据及报警信息。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企业危险源数据采集协议</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通过定制化开发协议接口采集企业危险源的仪表传感监测数据，并将监测数据上报至园区监管平台。</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危险源视频智能分析</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对园区内2</w:t>
            </w:r>
            <w:r>
              <w:rPr>
                <w:rFonts w:ascii="宋体" w:hAnsi="宋体" w:cs="宋体"/>
                <w:color w:val="auto"/>
                <w:kern w:val="0"/>
                <w:sz w:val="20"/>
                <w:highlight w:val="none"/>
              </w:rPr>
              <w:t>3处重大危险源的</w:t>
            </w:r>
            <w:r>
              <w:rPr>
                <w:rFonts w:hint="eastAsia" w:ascii="宋体" w:hAnsi="宋体" w:cs="宋体"/>
                <w:color w:val="auto"/>
                <w:kern w:val="0"/>
                <w:sz w:val="20"/>
                <w:highlight w:val="none"/>
              </w:rPr>
              <w:t>视频图像进行智能分析，对可能发生的风险进行自动报警，主要包括对火焰的监测报警、对烟雾的侦测报警、针对可疑人员的徘徊侦测报警、对禁区非法闯入的安全区域侦测报警等。</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r>
              <w:rPr>
                <w:rFonts w:ascii="宋体" w:hAnsi="宋体" w:cs="宋体"/>
                <w:color w:val="auto"/>
                <w:kern w:val="0"/>
                <w:sz w:val="20"/>
                <w:highlight w:val="none"/>
              </w:rPr>
              <w:t>3</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危险源在线监控及事故预警系统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通过数据采集系统及企业上报数据，全面掌握企业基本信息；通过重大危源动态信息的查阅，为园区级安全生产监管部门的其它基础性业务提供辅助信息支持；对温度、压力、液位等重点参数的报警信息形成预警信息，提前发现企业管理异常不到位的情况，及时进行监管督察。</w:t>
            </w:r>
            <w:r>
              <w:rPr>
                <w:rFonts w:ascii="宋体" w:hAnsi="宋体" w:cs="宋体"/>
                <w:color w:val="auto"/>
                <w:kern w:val="0"/>
                <w:sz w:val="20"/>
                <w:highlight w:val="none"/>
              </w:rPr>
              <w:t xml:space="preserve"> </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安全生产行政执法系统</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实现从现场执法、立案、调查取证、行政处罚、结案归档等安全生产行政执法监督全过程的信息化管理。</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风险分级管控和隐患排查治理系统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包含企业信息管理、企业风险管控、隐患排查治理、统计分析等功能模块。</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园区安全生产监管平台APP</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园区安全生产监管业务平台的移动端应用。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移动执法装备</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包含移动执法终端、蓝牙打印机、车载电源转换器、移动执法箱。</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3</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restart"/>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企业安全生产管理信息化平台</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企业安全生产信息管理系统（PC端、含企业安全生产信息动态管理系统）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系统功能包含安全目标职责、安全制度管理、教育培训管理、安全现场管理、安全风险管控及隐患排查治理、应急管理、事故查处、持续改进八大要素，同时对设备检测到期、证照到期、证书到期等情况提示和预警。</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企业安全生产信息管理系统（APP端）</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实现企业安全生产管理办公移动化，包括安全检查及隐患整改、危险作业审批、巡检管理、隐患随手拍、信息查询等功能。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Merge w:val="continue"/>
            <w:vAlign w:val="center"/>
          </w:tcPr>
          <w:p>
            <w:pPr>
              <w:jc w:val="left"/>
              <w:rPr>
                <w:rFonts w:ascii="宋体" w:hAnsi="宋体" w:cs="宋体"/>
                <w:color w:val="auto"/>
                <w:kern w:val="0"/>
                <w:sz w:val="20"/>
                <w:highlight w:val="none"/>
              </w:rPr>
            </w:pP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企业安全生产预警指数系统</w:t>
            </w:r>
          </w:p>
        </w:tc>
        <w:tc>
          <w:tcPr>
            <w:tcW w:w="4011" w:type="dxa"/>
            <w:vAlign w:val="center"/>
          </w:tcPr>
          <w:p>
            <w:pPr>
              <w:jc w:val="left"/>
              <w:rPr>
                <w:color w:val="auto"/>
                <w:highlight w:val="none"/>
              </w:rPr>
            </w:pPr>
            <w:r>
              <w:rPr>
                <w:rFonts w:hint="eastAsia" w:ascii="宋体" w:hAnsi="宋体" w:cs="宋体"/>
                <w:color w:val="auto"/>
                <w:kern w:val="0"/>
                <w:sz w:val="20"/>
                <w:highlight w:val="none"/>
              </w:rPr>
              <w:t>通过“量化数据采集、安全现状诊断、预警指标设计、预警指数建模、指数运行监测、整改措施实施”等六个环节的 PDCA循环闭环过程来运行。</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三、园区智慧能源</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企业侧能耗数据采集平台硬件配置</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能耗数据采集端设备服务器</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CPU：不低于至强16核；内存：不小于DDR4 32GB ；储存：不低于1T SAS 10K rpm；</w:t>
            </w:r>
          </w:p>
          <w:p>
            <w:pPr>
              <w:rPr>
                <w:rFonts w:ascii="宋体" w:hAnsi="宋体" w:cs="宋体"/>
                <w:color w:val="auto"/>
                <w:kern w:val="0"/>
                <w:sz w:val="20"/>
                <w:highlight w:val="none"/>
              </w:rPr>
            </w:pPr>
            <w:r>
              <w:rPr>
                <w:rFonts w:hint="eastAsia" w:ascii="宋体" w:hAnsi="宋体" w:cs="宋体"/>
                <w:color w:val="auto"/>
                <w:kern w:val="0"/>
                <w:sz w:val="20"/>
                <w:highlight w:val="none"/>
              </w:rPr>
              <w:t>网卡：不少于2xGE电口(I350)-RJ45；RAID卡：SAS/SATA，支持RAID0,1；机箱：机架式。</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企业端服务器机柜</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18U，宽度*深度*高度为600*600*988；</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黑色RAL9004。</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企业能耗数据采集安全网闸</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内网：不低于4个10/100/1000M RJ45接口，1个串口，2个USB口；外网：不低于4个10/100/1000M RJ45接口，1个串口，2个USB口；网络吞吐量：不小于300Mbps；系统整体时延：&lt;5毫秒；所有协议通道并发连接数：45000。</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1482"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园区侧能耗平台硬件配置</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园区能耗数据安全网闸</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内网：不低于4个10/100/1000M RJ45接口，1个串口，2个USB口；外网：不低于4个10/100/1000M RJ45接口，1个串口，2个USB口；网络吞吐量：不小于300Mbps；系统整体时延：&lt;5毫秒；所有协议通道并发连接数：45000；支持WEB访问，支持HTTP协议应用的各种指令控制。</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能耗数据采集子系统</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企业能耗数据协议</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对每家企业配置关口电表、水表、针对水、气、煤、电等不同的能耗计量仪表，有Modbus、DL/T645、CJ/T188协议需要对接。对于其他非SQL、OPC、Modbus、DL/T645、CJ/T188协议的，需要进行协议的适配转换。</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能耗数据传输接口软件</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要求打通各个能耗采集设备的之间的通路，通过协议定制化开发，打通一级、二级、三级传输设备之间的信息通路，最终实现数据上传至平台的功能。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能耗大数据处理平台</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数据库系统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能耗在线监测所有实时、历史数据获取、存储、转发的共享平台软件。</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数据接入引擎系统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运行在接入引擎服务器上，处理园区侧与企业侧数据对接提取服务。根据园区企业特性，订制化能耗采集要素。</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分布式大数据存储备份系统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提供服务器迁移、连续数据备份，热备份，实时备份到本地的灾备等服务。</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实时在线分析系统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园区能耗数据通过大数据挖掘算法及各针对性数学模型分析，获取企业及园区各类能耗实际耗能现状、耗能趋势、企业设备运行情况，产生各种分析结果、报表、决策依据等。</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各子系统应用软件</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园区能耗综合展示门户软件</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整合各入驻企业监测数据，展示园区整体用能情况。系统对园区节能减排指标完成情况进行数据分析和趋势预测。</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园区企业能耗管理系统软件</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包含园区能耗管理系统、统一的用户权限管理、设备管理、能耗监测、能耗对标管理、用能预警、能耗问题管理、能耗报表系统、企业上报、智能抄表、能耗计划管理、能耗指标管理等功能。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企业端能耗管理软件</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包含实时数据查看、历史数据查询、企业上报、生产计划上报、能耗指标上报、数据导出等功能。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园区能效在线对标系统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通过大数据分析，根据相关行业能效规定、指标标准和企业能源管理目标要求，建立企业能源管理中心能效指标体系。</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准格尔旗能源平台对接软件</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和上级准格尔旗能源平台对接，需要开发相应的接口软件，要求实现数据传输，下载，上报以及查看等功能。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16</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企业端硬件配置</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能耗数据采集器</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产品需要为工业级芯片及设计；</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支持不少于对192个数据采集点进行数据采集；</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产品需要具备采集周期可以从1分钟以上任意时间灵活配置；</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数据采集器至少包含7个接口,其中至少具备6个可独立配置采集接口(采集接口应为RS485接口，至少具备1个RS232接口)，至少具备1个RJ45接口，用于数据上传和本地维护。</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摄像读取器（工业级）</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要求工作环境温度不小于0～+45℃，湿度是0～95%RH；</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支持工作电压DC3.6-6V；</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工作平均电流小于100mA，休眠电流无线小于10uA；</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支持接口RS-485、 M-bus、 RF（LoRa） 、 NB-IoT可选，或定制</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支持协议CJ/T188、 DL/T645可选，或定制；</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识别成功率99.99%（基于指定表具）；</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支持新表及老户改。</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通讯管理机</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highlight w:val="none"/>
              </w:rPr>
              <w:t>主频不低于500MHZ，低功耗、嵌入式设计</w:t>
            </w:r>
            <w:r>
              <w:rPr>
                <w:rFonts w:hint="eastAsia" w:ascii="宋体" w:hAnsi="宋体" w:cs="宋体"/>
                <w:color w:val="auto"/>
                <w:kern w:val="0"/>
                <w:sz w:val="20"/>
                <w:szCs w:val="22"/>
                <w:highlight w:val="none"/>
              </w:rPr>
              <w:t>；</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支持不低于128MB DDR2内存容量，最大可支持不低于512MB；</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采用不低于256MB FLASH，最大可支持1GB；</w:t>
            </w:r>
          </w:p>
          <w:p>
            <w:pPr>
              <w:jc w:val="left"/>
              <w:rPr>
                <w:rFonts w:ascii="宋体" w:hAnsi="宋体" w:cs="宋体"/>
                <w:color w:val="auto"/>
                <w:kern w:val="0"/>
                <w:sz w:val="20"/>
                <w:highlight w:val="none"/>
              </w:rPr>
            </w:pPr>
            <w:r>
              <w:rPr>
                <w:rFonts w:hint="eastAsia" w:ascii="宋体" w:hAnsi="宋体" w:cs="宋体"/>
                <w:color w:val="auto"/>
                <w:kern w:val="0"/>
                <w:sz w:val="20"/>
                <w:szCs w:val="22"/>
                <w:highlight w:val="none"/>
              </w:rPr>
              <w:t>支持宽电源供电：直流+12V～36V，功耗1W。</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35</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四、园区道路车辆监管平台</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车辆监管平台</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系统支撑平台软件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要求能够实现车辆出入园区、行驶、停靠等数据的处理。能够获取车载设备信息，能够对接企业相关数据。还应包括后端数据处理引擎、告警判断算法，前后端R</w:t>
            </w:r>
            <w:r>
              <w:rPr>
                <w:rFonts w:ascii="宋体" w:hAnsi="宋体" w:cs="宋体"/>
                <w:color w:val="auto"/>
                <w:kern w:val="0"/>
                <w:sz w:val="20"/>
                <w:highlight w:val="none"/>
              </w:rPr>
              <w:t>ESTFUL</w:t>
            </w:r>
            <w:r>
              <w:rPr>
                <w:rFonts w:hint="eastAsia" w:ascii="宋体" w:hAnsi="宋体" w:cs="宋体"/>
                <w:color w:val="auto"/>
                <w:kern w:val="0"/>
                <w:sz w:val="20"/>
                <w:highlight w:val="none"/>
              </w:rPr>
              <w:t>接口实现，前端显示框架等内容。要求实现聚合分散和异构的应用。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数据接入引擎软件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要求能够实现J</w:t>
            </w:r>
            <w:r>
              <w:rPr>
                <w:rFonts w:ascii="宋体" w:hAnsi="宋体" w:cs="宋体"/>
                <w:color w:val="auto"/>
                <w:kern w:val="0"/>
                <w:sz w:val="20"/>
                <w:highlight w:val="none"/>
              </w:rPr>
              <w:t>T808</w:t>
            </w:r>
            <w:r>
              <w:rPr>
                <w:rFonts w:hint="eastAsia" w:ascii="宋体" w:hAnsi="宋体" w:cs="宋体"/>
                <w:color w:val="auto"/>
                <w:kern w:val="0"/>
                <w:sz w:val="20"/>
                <w:highlight w:val="none"/>
              </w:rPr>
              <w:t>协议服务端，要求能够对接各种支持该协议的车载设备入库、检测。支持车辆数据上报以及行驶状态告警。</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实时历史数据库系统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要求支持主流数据库。能够存入各种车辆、车载设备、企业信息等。支持数据接入引擎以及系统支撑平台。要求能够对已注册车辆运行状态的实时数据及历史数据（位置、速度、告警），车辆告警信息统计、存储及分类管理。完成有效的数据存取，各种数据操作、查询处理、存取方法、完整性检查，保证相关的事务管理，事务的概念、调度与并发控制、执行管理及存取控制，安全性检验。</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消息推送系统软件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监测平台告警信息推送至指定服务人员、执法人员、应急平台或主管领导， 车辆异常信息及周边应急信息推送至驾驶员。</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Web前端展示系统</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包括园区地图、企业名称、车辆分类、车辆轨迹、车牌、车辆状态、告警车辆颜色标注、车主信息、车辆定位、车辆信息搜索等内容。还应包含首页、信息管理、数据查询、统计分析、系统管理等功能能。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园区车辆管理分析系统</w:t>
            </w:r>
          </w:p>
        </w:tc>
        <w:tc>
          <w:tcPr>
            <w:tcW w:w="4011" w:type="dxa"/>
            <w:vAlign w:val="bottom"/>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系统应对进入园区车辆进行登记管理、违章车辆查询、驾驶人员身份管理和自动生成监管报表。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车辆在线监控系统</w:t>
            </w:r>
          </w:p>
        </w:tc>
        <w:tc>
          <w:tcPr>
            <w:tcW w:w="4011" w:type="dxa"/>
            <w:vAlign w:val="bottom"/>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系统应支持对园区内车辆进行实时监控和状态分析，对于违章车辆提出告警，并告知相关人员。同时应支持回放功能，方便取证。</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园区车辆GIS地图管理系统</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系统应支持在GIS地图上显示园区内所有车辆的实时位置信息、行驶状态和车辆信息查询。同时支持对GIS地图进行缩放、拖动、标注和周界管理等操作。</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9</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车载终端</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园区内部车辆车载终端</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工作电压</w:t>
            </w:r>
            <w:r>
              <w:rPr>
                <w:rFonts w:hint="eastAsia" w:ascii="宋体" w:hAnsi="宋体" w:cs="宋体"/>
                <w:color w:val="auto"/>
                <w:kern w:val="0"/>
                <w:sz w:val="20"/>
                <w:highlight w:val="none"/>
              </w:rPr>
              <w:tab/>
            </w:r>
            <w:r>
              <w:rPr>
                <w:rFonts w:hint="eastAsia" w:ascii="宋体" w:hAnsi="宋体" w:cs="宋体"/>
                <w:color w:val="auto"/>
                <w:kern w:val="0"/>
                <w:sz w:val="20"/>
                <w:highlight w:val="none"/>
              </w:rPr>
              <w:t>DC9-36V；</w:t>
            </w:r>
          </w:p>
          <w:p>
            <w:pPr>
              <w:rPr>
                <w:rFonts w:ascii="宋体" w:hAnsi="宋体" w:cs="宋体"/>
                <w:color w:val="auto"/>
                <w:kern w:val="0"/>
                <w:sz w:val="20"/>
                <w:highlight w:val="none"/>
              </w:rPr>
            </w:pPr>
            <w:r>
              <w:rPr>
                <w:rFonts w:hint="eastAsia" w:ascii="宋体" w:hAnsi="宋体" w:cs="宋体"/>
                <w:color w:val="auto"/>
                <w:kern w:val="0"/>
                <w:sz w:val="20"/>
                <w:highlight w:val="none"/>
              </w:rPr>
              <w:t>工作电流</w:t>
            </w:r>
            <w:r>
              <w:rPr>
                <w:rFonts w:hint="eastAsia" w:ascii="宋体" w:hAnsi="宋体" w:cs="宋体"/>
                <w:color w:val="auto"/>
                <w:kern w:val="0"/>
                <w:sz w:val="20"/>
                <w:highlight w:val="none"/>
              </w:rPr>
              <w:tab/>
            </w:r>
            <w:r>
              <w:rPr>
                <w:rFonts w:hint="eastAsia" w:ascii="宋体" w:hAnsi="宋体" w:cs="宋体"/>
                <w:color w:val="auto"/>
                <w:kern w:val="0"/>
                <w:sz w:val="20"/>
                <w:highlight w:val="none"/>
              </w:rPr>
              <w:t>25mA@12V(静止电流10mA)；</w:t>
            </w:r>
          </w:p>
          <w:p>
            <w:pPr>
              <w:rPr>
                <w:rFonts w:ascii="宋体" w:hAnsi="宋体" w:cs="宋体"/>
                <w:color w:val="auto"/>
                <w:kern w:val="0"/>
                <w:sz w:val="20"/>
                <w:highlight w:val="none"/>
              </w:rPr>
            </w:pPr>
            <w:r>
              <w:rPr>
                <w:rFonts w:hint="eastAsia" w:ascii="宋体" w:hAnsi="宋体" w:cs="宋体"/>
                <w:color w:val="auto"/>
                <w:kern w:val="0"/>
                <w:sz w:val="20"/>
                <w:highlight w:val="none"/>
              </w:rPr>
              <w:t>规格尺寸</w:t>
            </w:r>
            <w:r>
              <w:rPr>
                <w:rFonts w:hint="eastAsia" w:ascii="宋体" w:hAnsi="宋体" w:cs="宋体"/>
                <w:color w:val="auto"/>
                <w:kern w:val="0"/>
                <w:sz w:val="20"/>
                <w:highlight w:val="none"/>
              </w:rPr>
              <w:tab/>
            </w:r>
            <w:r>
              <w:rPr>
                <w:rFonts w:hint="eastAsia" w:ascii="宋体" w:hAnsi="宋体" w:cs="宋体"/>
                <w:color w:val="auto"/>
                <w:kern w:val="0"/>
                <w:sz w:val="20"/>
                <w:highlight w:val="none"/>
              </w:rPr>
              <w:t>L81*W42*H13.5 (mm)；</w:t>
            </w:r>
          </w:p>
          <w:p>
            <w:pPr>
              <w:rPr>
                <w:rFonts w:ascii="宋体" w:hAnsi="宋体" w:cs="宋体"/>
                <w:color w:val="auto"/>
                <w:kern w:val="0"/>
                <w:sz w:val="20"/>
                <w:highlight w:val="none"/>
              </w:rPr>
            </w:pPr>
            <w:r>
              <w:rPr>
                <w:rFonts w:hint="eastAsia" w:ascii="宋体" w:hAnsi="宋体" w:cs="宋体"/>
                <w:color w:val="auto"/>
                <w:kern w:val="0"/>
                <w:sz w:val="20"/>
                <w:highlight w:val="none"/>
              </w:rPr>
              <w:t>定位方式</w:t>
            </w:r>
            <w:r>
              <w:rPr>
                <w:rFonts w:hint="eastAsia" w:ascii="宋体" w:hAnsi="宋体" w:cs="宋体"/>
                <w:color w:val="auto"/>
                <w:kern w:val="0"/>
                <w:sz w:val="20"/>
                <w:highlight w:val="none"/>
              </w:rPr>
              <w:tab/>
            </w:r>
            <w:r>
              <w:rPr>
                <w:rFonts w:hint="eastAsia" w:ascii="宋体" w:hAnsi="宋体" w:cs="宋体"/>
                <w:color w:val="auto"/>
                <w:kern w:val="0"/>
                <w:sz w:val="20"/>
                <w:highlight w:val="none"/>
              </w:rPr>
              <w:t>北斗定位；</w:t>
            </w:r>
          </w:p>
          <w:p>
            <w:pPr>
              <w:rPr>
                <w:rFonts w:ascii="宋体" w:hAnsi="宋体" w:cs="宋体"/>
                <w:color w:val="auto"/>
                <w:kern w:val="0"/>
                <w:sz w:val="20"/>
                <w:highlight w:val="none"/>
              </w:rPr>
            </w:pPr>
            <w:r>
              <w:rPr>
                <w:rFonts w:hint="eastAsia" w:ascii="宋体" w:hAnsi="宋体" w:cs="宋体"/>
                <w:color w:val="auto"/>
                <w:kern w:val="0"/>
                <w:sz w:val="20"/>
                <w:highlight w:val="none"/>
              </w:rPr>
              <w:t>定位误差</w:t>
            </w:r>
            <w:r>
              <w:rPr>
                <w:rFonts w:hint="eastAsia" w:ascii="宋体" w:hAnsi="宋体" w:cs="宋体"/>
                <w:color w:val="auto"/>
                <w:kern w:val="0"/>
                <w:sz w:val="20"/>
                <w:highlight w:val="none"/>
              </w:rPr>
              <w:tab/>
            </w:r>
            <w:r>
              <w:rPr>
                <w:rFonts w:hint="eastAsia" w:ascii="宋体" w:hAnsi="宋体" w:cs="宋体"/>
                <w:color w:val="auto"/>
                <w:kern w:val="0"/>
                <w:sz w:val="20"/>
                <w:highlight w:val="none"/>
              </w:rPr>
              <w:t>小于10m （此数据受区域地形及时间等因素影响）；</w:t>
            </w:r>
          </w:p>
          <w:p>
            <w:pPr>
              <w:rPr>
                <w:rFonts w:ascii="宋体" w:hAnsi="宋体" w:cs="宋体"/>
                <w:color w:val="auto"/>
                <w:kern w:val="0"/>
                <w:sz w:val="20"/>
                <w:highlight w:val="none"/>
              </w:rPr>
            </w:pPr>
            <w:r>
              <w:rPr>
                <w:rFonts w:hint="eastAsia" w:ascii="宋体" w:hAnsi="宋体" w:cs="宋体"/>
                <w:color w:val="auto"/>
                <w:kern w:val="0"/>
                <w:sz w:val="20"/>
                <w:highlight w:val="none"/>
              </w:rPr>
              <w:t>支持车辆状态检测，点火/熄火状态、违停报警等功能。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80</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园区社会车辆车载终端（免安装）</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工作电压</w:t>
            </w:r>
            <w:r>
              <w:rPr>
                <w:rFonts w:hint="eastAsia" w:ascii="宋体" w:hAnsi="宋体" w:cs="宋体"/>
                <w:color w:val="auto"/>
                <w:kern w:val="0"/>
                <w:sz w:val="20"/>
                <w:highlight w:val="none"/>
              </w:rPr>
              <w:tab/>
            </w:r>
            <w:r>
              <w:rPr>
                <w:rFonts w:hint="eastAsia" w:ascii="宋体" w:hAnsi="宋体" w:cs="宋体"/>
                <w:color w:val="auto"/>
                <w:kern w:val="0"/>
                <w:sz w:val="20"/>
                <w:highlight w:val="none"/>
              </w:rPr>
              <w:t>DC 5V；</w:t>
            </w:r>
          </w:p>
          <w:p>
            <w:pPr>
              <w:rPr>
                <w:rFonts w:ascii="宋体" w:hAnsi="宋体" w:cs="宋体"/>
                <w:color w:val="auto"/>
                <w:kern w:val="0"/>
                <w:sz w:val="20"/>
                <w:highlight w:val="none"/>
              </w:rPr>
            </w:pPr>
            <w:r>
              <w:rPr>
                <w:rFonts w:hint="eastAsia" w:ascii="宋体" w:hAnsi="宋体" w:cs="宋体"/>
                <w:color w:val="auto"/>
                <w:kern w:val="0"/>
                <w:sz w:val="20"/>
                <w:highlight w:val="none"/>
              </w:rPr>
              <w:t>工作电流</w:t>
            </w:r>
            <w:r>
              <w:rPr>
                <w:rFonts w:hint="eastAsia" w:ascii="宋体" w:hAnsi="宋体" w:cs="宋体"/>
                <w:color w:val="auto"/>
                <w:kern w:val="0"/>
                <w:sz w:val="20"/>
                <w:highlight w:val="none"/>
              </w:rPr>
              <w:tab/>
            </w:r>
            <w:r>
              <w:rPr>
                <w:rFonts w:hint="eastAsia" w:ascii="宋体" w:hAnsi="宋体" w:cs="宋体"/>
                <w:color w:val="auto"/>
                <w:kern w:val="0"/>
                <w:sz w:val="20"/>
                <w:highlight w:val="none"/>
              </w:rPr>
              <w:t>运动模式46mA@4V；</w:t>
            </w:r>
          </w:p>
          <w:p>
            <w:pPr>
              <w:rPr>
                <w:rFonts w:ascii="宋体" w:hAnsi="宋体" w:cs="宋体"/>
                <w:color w:val="auto"/>
                <w:kern w:val="0"/>
                <w:sz w:val="20"/>
                <w:highlight w:val="none"/>
              </w:rPr>
            </w:pPr>
            <w:r>
              <w:rPr>
                <w:rFonts w:hint="eastAsia" w:ascii="宋体" w:hAnsi="宋体" w:cs="宋体"/>
                <w:color w:val="auto"/>
                <w:kern w:val="0"/>
                <w:sz w:val="20"/>
                <w:highlight w:val="none"/>
              </w:rPr>
              <w:t>静止电流 6.5mA@4V；</w:t>
            </w:r>
          </w:p>
          <w:p>
            <w:pPr>
              <w:rPr>
                <w:rFonts w:ascii="宋体" w:hAnsi="宋体" w:cs="宋体"/>
                <w:color w:val="auto"/>
                <w:kern w:val="0"/>
                <w:sz w:val="20"/>
                <w:highlight w:val="none"/>
              </w:rPr>
            </w:pPr>
            <w:r>
              <w:rPr>
                <w:rFonts w:hint="eastAsia" w:ascii="宋体" w:hAnsi="宋体" w:cs="宋体"/>
                <w:color w:val="auto"/>
                <w:kern w:val="0"/>
                <w:sz w:val="20"/>
                <w:highlight w:val="none"/>
              </w:rPr>
              <w:t>省电模式 75uA@4V；</w:t>
            </w:r>
          </w:p>
          <w:p>
            <w:pPr>
              <w:rPr>
                <w:rFonts w:ascii="宋体" w:hAnsi="宋体" w:cs="宋体"/>
                <w:color w:val="auto"/>
                <w:kern w:val="0"/>
                <w:sz w:val="20"/>
                <w:highlight w:val="none"/>
              </w:rPr>
            </w:pPr>
            <w:r>
              <w:rPr>
                <w:rFonts w:hint="eastAsia" w:ascii="宋体" w:hAnsi="宋体" w:cs="宋体"/>
                <w:color w:val="auto"/>
                <w:kern w:val="0"/>
                <w:sz w:val="20"/>
                <w:highlight w:val="none"/>
              </w:rPr>
              <w:t>规格尺寸</w:t>
            </w:r>
            <w:r>
              <w:rPr>
                <w:rFonts w:hint="eastAsia" w:ascii="宋体" w:hAnsi="宋体" w:cs="宋体"/>
                <w:color w:val="auto"/>
                <w:kern w:val="0"/>
                <w:sz w:val="20"/>
                <w:highlight w:val="none"/>
              </w:rPr>
              <w:tab/>
            </w:r>
            <w:r>
              <w:rPr>
                <w:rFonts w:hint="eastAsia" w:ascii="宋体" w:hAnsi="宋体" w:cs="宋体"/>
                <w:color w:val="auto"/>
                <w:kern w:val="0"/>
                <w:sz w:val="20"/>
                <w:highlight w:val="none"/>
              </w:rPr>
              <w:t>L86*W62*H30(mm)；</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定位误差</w:t>
            </w:r>
            <w:r>
              <w:rPr>
                <w:rFonts w:hint="eastAsia" w:ascii="宋体" w:hAnsi="宋体" w:cs="宋体"/>
                <w:color w:val="auto"/>
                <w:kern w:val="0"/>
                <w:sz w:val="20"/>
                <w:highlight w:val="none"/>
              </w:rPr>
              <w:tab/>
            </w:r>
            <w:r>
              <w:rPr>
                <w:rFonts w:hint="eastAsia" w:ascii="宋体" w:hAnsi="宋体" w:cs="宋体"/>
                <w:color w:val="auto"/>
                <w:kern w:val="0"/>
                <w:sz w:val="20"/>
                <w:highlight w:val="none"/>
              </w:rPr>
              <w:t>小于10m （此数据受区域地形及时间等因素影响）。</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150</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危化品车辆无死角监控</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200万超星光电动变焦高清网络摄像机</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支持不低于200万像素的CMOS传感器；</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不低于2.8-12mm电动变焦镜头，手动/自动对焦模式可选；</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要求支持H.265/H.264视频编码算法，压缩比高，实现低带宽高画质；</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最大输出分辨率；1920*1080@25fps/30fps，支持三码流传输；</w:t>
            </w:r>
          </w:p>
          <w:p>
            <w:pPr>
              <w:rPr>
                <w:rFonts w:ascii="宋体" w:hAnsi="宋体" w:cs="宋体"/>
                <w:color w:val="auto"/>
                <w:kern w:val="0"/>
                <w:sz w:val="20"/>
                <w:highlight w:val="none"/>
              </w:rPr>
            </w:pPr>
            <w:r>
              <w:rPr>
                <w:rFonts w:hint="eastAsia" w:ascii="宋体" w:hAnsi="宋体" w:cs="宋体"/>
                <w:color w:val="auto"/>
                <w:kern w:val="0"/>
                <w:sz w:val="20"/>
                <w:highlight w:val="none"/>
              </w:rPr>
              <w:t>支持人脸检测、周界入侵、物品遗留/盗移等功能。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50</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200万高清网络球机</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支持不低于200万像素的CMOS传感器，图像清晰，最大分辨率不低于1920x1080；</w:t>
            </w:r>
          </w:p>
          <w:p>
            <w:pPr>
              <w:rPr>
                <w:rFonts w:ascii="宋体" w:hAnsi="宋体" w:cs="宋体"/>
                <w:color w:val="auto"/>
                <w:kern w:val="0"/>
                <w:sz w:val="20"/>
                <w:highlight w:val="none"/>
              </w:rPr>
            </w:pPr>
            <w:r>
              <w:rPr>
                <w:rFonts w:hint="eastAsia" w:ascii="宋体" w:hAnsi="宋体" w:cs="宋体"/>
                <w:color w:val="auto"/>
                <w:kern w:val="0"/>
                <w:sz w:val="20"/>
                <w:highlight w:val="none"/>
              </w:rPr>
              <w:t>支持至少20倍光学变倍，16倍数字变倍；</w:t>
            </w:r>
          </w:p>
          <w:p>
            <w:pPr>
              <w:rPr>
                <w:rFonts w:ascii="宋体" w:hAnsi="宋体" w:cs="宋体"/>
                <w:color w:val="auto"/>
                <w:kern w:val="0"/>
                <w:sz w:val="20"/>
                <w:highlight w:val="none"/>
              </w:rPr>
            </w:pPr>
            <w:r>
              <w:rPr>
                <w:rFonts w:hint="eastAsia" w:ascii="宋体" w:hAnsi="宋体" w:cs="宋体"/>
                <w:color w:val="auto"/>
                <w:kern w:val="0"/>
                <w:sz w:val="20"/>
                <w:highlight w:val="none"/>
              </w:rPr>
              <w:t>支持自动光圈、自动聚焦、自动白平衡、背光补偿；</w:t>
            </w:r>
          </w:p>
          <w:p>
            <w:pPr>
              <w:rPr>
                <w:rFonts w:ascii="宋体" w:hAnsi="宋体" w:cs="宋体"/>
                <w:color w:val="auto"/>
                <w:kern w:val="0"/>
                <w:sz w:val="20"/>
                <w:highlight w:val="none"/>
              </w:rPr>
            </w:pPr>
            <w:r>
              <w:rPr>
                <w:rFonts w:hint="eastAsia" w:ascii="宋体" w:hAnsi="宋体" w:cs="宋体"/>
                <w:color w:val="auto"/>
                <w:kern w:val="0"/>
                <w:sz w:val="20"/>
                <w:highlight w:val="none"/>
              </w:rPr>
              <w:t>支持超低照度，0.05Lux/F1.4(彩色)，0.01Lux/F1.4(黑白)，0 Lux with IR；信噪比≥53.8db,延时≤241ms。</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15</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64路智能高清网络硬盘录像机</w:t>
            </w:r>
          </w:p>
        </w:tc>
        <w:tc>
          <w:tcPr>
            <w:tcW w:w="4011" w:type="dxa"/>
            <w:vAlign w:val="center"/>
          </w:tcPr>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可接驳符合ONVIF、RTSP标准及众多主流厂商的网络摄像机；</w:t>
            </w:r>
          </w:p>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支持VGA、HDMI同步输出， HDMI视频输出分辨率最高不低于4K， VGA视频输出分辨率最高不低于1920*1080，支持双HDMI非同源高清输出；</w:t>
            </w:r>
          </w:p>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支持H.265视频解码，支持H.265、H.264编码前端混合自适应接入；</w:t>
            </w:r>
          </w:p>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支持最高800万像素网络摄像机预览、录像及回放；</w:t>
            </w:r>
          </w:p>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支持8个SATA 硬盘，1个ESATA接口，硬盘容量无限制。</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视频存储硬盘</w:t>
            </w:r>
          </w:p>
        </w:tc>
        <w:tc>
          <w:tcPr>
            <w:tcW w:w="4011" w:type="dxa"/>
            <w:vAlign w:val="center"/>
          </w:tcPr>
          <w:p>
            <w:pPr>
              <w:rPr>
                <w:rFonts w:ascii="宋体" w:hAnsi="宋体" w:cs="宋体"/>
                <w:color w:val="auto"/>
                <w:kern w:val="0"/>
                <w:sz w:val="20"/>
                <w:szCs w:val="22"/>
                <w:highlight w:val="none"/>
              </w:rPr>
            </w:pPr>
            <w:r>
              <w:rPr>
                <w:rFonts w:hint="eastAsia" w:ascii="宋体" w:hAnsi="宋体" w:cs="宋体"/>
                <w:color w:val="auto"/>
                <w:kern w:val="0"/>
                <w:sz w:val="20"/>
                <w:szCs w:val="22"/>
                <w:highlight w:val="none"/>
              </w:rPr>
              <w:t>3.5英寸视频监控专用硬盘，容量不小于6T，SATA接口，硬盘转速不低于7200转。</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hint="eastAsia" w:ascii="宋体" w:hAnsi="宋体" w:cs="宋体"/>
                <w:b/>
                <w:bCs/>
                <w:color w:val="auto"/>
                <w:kern w:val="0"/>
                <w:sz w:val="20"/>
                <w:highlight w:val="none"/>
              </w:rPr>
              <w:t>五、公共联动平台</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业务支撑构建平台</w:t>
            </w:r>
          </w:p>
        </w:tc>
        <w:tc>
          <w:tcPr>
            <w:tcW w:w="4011" w:type="dxa"/>
            <w:vAlign w:val="center"/>
          </w:tcPr>
          <w:p>
            <w:pPr>
              <w:rPr>
                <w:rFonts w:ascii="宋体" w:hAnsi="宋体" w:cs="宋体"/>
                <w:color w:val="auto"/>
                <w:kern w:val="0"/>
                <w:sz w:val="20"/>
                <w:highlight w:val="none"/>
              </w:rPr>
            </w:pPr>
            <w:r>
              <w:rPr>
                <w:rFonts w:ascii="宋体" w:hAnsi="宋体" w:cs="宋体"/>
                <w:color w:val="auto"/>
                <w:kern w:val="0"/>
                <w:sz w:val="20"/>
                <w:highlight w:val="none"/>
              </w:rPr>
              <w:t>业务支撑构建平台由应用服务运行框架和运行于框架之上的公共服务组件和业务服务组件构成。</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508" w:type="dxa"/>
            <w:gridSpan w:val="2"/>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数据集成对接平台</w:t>
            </w:r>
          </w:p>
        </w:tc>
        <w:tc>
          <w:tcPr>
            <w:tcW w:w="2150"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监控数据采集传输系统</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数据采集传输系统包含</w:t>
            </w:r>
            <w:r>
              <w:rPr>
                <w:rFonts w:hint="eastAsia" w:ascii="宋体" w:hAnsi="宋体" w:cs="宋体"/>
                <w:color w:val="auto"/>
                <w:kern w:val="0"/>
                <w:sz w:val="20"/>
                <w:highlight w:val="none"/>
              </w:rPr>
              <w:t>接入管理、转发管理、数据查询、数据接入等功能。</w:t>
            </w:r>
          </w:p>
        </w:tc>
        <w:tc>
          <w:tcPr>
            <w:tcW w:w="595"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bottom"/>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508" w:type="dxa"/>
            <w:gridSpan w:val="2"/>
            <w:vMerge w:val="continue"/>
            <w:vAlign w:val="center"/>
          </w:tcPr>
          <w:p>
            <w:pPr>
              <w:jc w:val="left"/>
              <w:rPr>
                <w:rFonts w:ascii="宋体" w:hAnsi="宋体" w:cs="宋体"/>
                <w:color w:val="auto"/>
                <w:kern w:val="0"/>
                <w:sz w:val="20"/>
                <w:highlight w:val="none"/>
              </w:rPr>
            </w:pPr>
          </w:p>
        </w:tc>
        <w:tc>
          <w:tcPr>
            <w:tcW w:w="2150"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与已有软件系统的集成</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与园区目前现用的软件系统做数据集成</w:t>
            </w:r>
            <w:r>
              <w:rPr>
                <w:rFonts w:hint="eastAsia" w:ascii="宋体" w:hAnsi="宋体" w:cs="宋体"/>
                <w:color w:val="auto"/>
                <w:kern w:val="0"/>
                <w:sz w:val="20"/>
                <w:highlight w:val="none"/>
              </w:rPr>
              <w:t>，包含以下系统：</w:t>
            </w:r>
            <w:r>
              <w:rPr>
                <w:rFonts w:ascii="宋体" w:hAnsi="宋体" w:cs="宋体"/>
                <w:color w:val="auto"/>
                <w:kern w:val="0"/>
                <w:sz w:val="20"/>
                <w:highlight w:val="none"/>
              </w:rPr>
              <w:t>重点污染源环保平台、准格尔旗智慧安监平台、园区视频监控系统平台等。</w:t>
            </w:r>
          </w:p>
        </w:tc>
        <w:tc>
          <w:tcPr>
            <w:tcW w:w="595"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园区“一张图”</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环境、安全和能源地理信息系统整合地理信息数据与环境专题数据，将传统的静态记录变为丰富多样的地图，实现了环境空间信息的可视化显示。通过地图展示可以直观地获得环境要素的空间分布及各环境要素之间的空间关系等信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p>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GIS地图系统   </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结合GIS地图，直观展示园区综合管理、环保、安全、能源、应急等业务信息，从空间、时间、类型等多维度进行分析呈现，为园区管理者综合决策提供依据。</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服务式G</w:t>
            </w:r>
            <w:r>
              <w:rPr>
                <w:rFonts w:ascii="宋体" w:hAnsi="宋体" w:cs="宋体"/>
                <w:color w:val="auto"/>
                <w:kern w:val="0"/>
                <w:sz w:val="20"/>
                <w:highlight w:val="none"/>
              </w:rPr>
              <w:t>IS平台</w:t>
            </w:r>
            <w:r>
              <w:rPr>
                <w:rFonts w:hint="eastAsia" w:ascii="宋体" w:hAnsi="宋体" w:cs="宋体"/>
                <w:color w:val="auto"/>
                <w:kern w:val="0"/>
                <w:sz w:val="20"/>
                <w:highlight w:val="none"/>
              </w:rPr>
              <w:t>+</w:t>
            </w:r>
            <w:r>
              <w:rPr>
                <w:rFonts w:ascii="宋体" w:hAnsi="宋体" w:cs="宋体"/>
                <w:color w:val="auto"/>
                <w:kern w:val="0"/>
                <w:sz w:val="20"/>
                <w:highlight w:val="none"/>
              </w:rPr>
              <w:t>桌面</w:t>
            </w:r>
            <w:r>
              <w:rPr>
                <w:rFonts w:hint="eastAsia" w:ascii="宋体" w:hAnsi="宋体" w:cs="宋体"/>
                <w:color w:val="auto"/>
                <w:kern w:val="0"/>
                <w:sz w:val="20"/>
                <w:highlight w:val="none"/>
              </w:rPr>
              <w:t>G</w:t>
            </w:r>
            <w:r>
              <w:rPr>
                <w:rFonts w:ascii="宋体" w:hAnsi="宋体" w:cs="宋体"/>
                <w:color w:val="auto"/>
                <w:kern w:val="0"/>
                <w:sz w:val="20"/>
                <w:highlight w:val="none"/>
              </w:rPr>
              <w:t>IS平台</w:t>
            </w:r>
            <w:r>
              <w:rPr>
                <w:rFonts w:hint="eastAsia" w:ascii="宋体" w:hAnsi="宋体" w:cs="宋体"/>
                <w:color w:val="auto"/>
                <w:kern w:val="0"/>
                <w:sz w:val="20"/>
                <w:highlight w:val="none"/>
              </w:rPr>
              <w:t>（必须国产）</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地图内容必须包含大路工业园区内全部地图数据；</w:t>
            </w:r>
          </w:p>
          <w:p>
            <w:pPr>
              <w:jc w:val="left"/>
              <w:rPr>
                <w:rFonts w:ascii="宋体" w:hAnsi="宋体" w:cs="宋体"/>
                <w:color w:val="auto"/>
                <w:kern w:val="0"/>
                <w:sz w:val="20"/>
                <w:highlight w:val="none"/>
              </w:rPr>
            </w:pPr>
            <w:r>
              <w:rPr>
                <w:rFonts w:hint="eastAsia" w:ascii="宋体" w:hAnsi="宋体" w:cs="宋体"/>
                <w:color w:val="auto"/>
                <w:kern w:val="0"/>
                <w:sz w:val="20"/>
                <w:highlight w:val="none"/>
              </w:rPr>
              <w:t>比例尺要求：1:</w:t>
            </w:r>
            <w:r>
              <w:rPr>
                <w:rFonts w:ascii="宋体" w:hAnsi="宋体" w:cs="宋体"/>
                <w:color w:val="auto"/>
                <w:kern w:val="0"/>
                <w:sz w:val="20"/>
                <w:highlight w:val="none"/>
              </w:rPr>
              <w:t>2000</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3658" w:type="dxa"/>
            <w:gridSpan w:val="3"/>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一园一档系统</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一园一档包括园区档案、企业档案、消息通知等管理模块，实现园区、企业信息的管理以及消息的上传下达。</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3658" w:type="dxa"/>
            <w:gridSpan w:val="3"/>
            <w:shd w:val="clear" w:color="auto" w:fill="auto"/>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 xml:space="preserve">分级预警管控平台 </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对接所在园区的环境监测系统，根据配置的报警规则和任务规则，生成相应的报警任务。</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3658" w:type="dxa"/>
            <w:gridSpan w:val="3"/>
            <w:shd w:val="clear" w:color="auto" w:fill="auto"/>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 xml:space="preserve">园区视频中心     </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通过视频实时监控污染企业的主要排污口、监测设备、环境质量监测点、危险源以及公共区域等，支持污染物浓度数据叠加。</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658" w:type="dxa"/>
            <w:gridSpan w:val="3"/>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园区数据资源中心</w:t>
            </w:r>
          </w:p>
        </w:tc>
        <w:tc>
          <w:tcPr>
            <w:tcW w:w="4011" w:type="dxa"/>
            <w:vAlign w:val="center"/>
          </w:tcPr>
          <w:p>
            <w:pPr>
              <w:rPr>
                <w:rFonts w:ascii="宋体" w:hAnsi="宋体"/>
                <w:color w:val="auto"/>
                <w:szCs w:val="21"/>
                <w:highlight w:val="none"/>
              </w:rPr>
            </w:pPr>
            <w:r>
              <w:rPr>
                <w:rFonts w:hint="eastAsia" w:ascii="宋体" w:hAnsi="宋体" w:cs="宋体"/>
                <w:color w:val="auto"/>
                <w:kern w:val="0"/>
                <w:sz w:val="20"/>
                <w:highlight w:val="none"/>
              </w:rPr>
              <w:t>建设内容全面、业务广泛、数据规范、组织合理的信息资源体系，为管理、信息公开提供数据服务和信息支撑。</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9</w:t>
            </w:r>
          </w:p>
        </w:tc>
        <w:tc>
          <w:tcPr>
            <w:tcW w:w="3658" w:type="dxa"/>
            <w:gridSpan w:val="3"/>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突发公共事件应急联动系统</w:t>
            </w:r>
            <w:r>
              <w:rPr>
                <w:rFonts w:ascii="宋体" w:hAnsi="宋体" w:cs="宋体"/>
                <w:color w:val="auto"/>
                <w:kern w:val="0"/>
                <w:sz w:val="20"/>
                <w:highlight w:val="none"/>
              </w:rPr>
              <w:t xml:space="preserve"> </w:t>
            </w:r>
          </w:p>
        </w:tc>
        <w:tc>
          <w:tcPr>
            <w:tcW w:w="4011" w:type="dxa"/>
            <w:vAlign w:val="center"/>
          </w:tcPr>
          <w:p>
            <w:pPr>
              <w:rPr>
                <w:rFonts w:ascii="宋体" w:hAnsi="宋体"/>
                <w:color w:val="auto"/>
                <w:szCs w:val="21"/>
                <w:highlight w:val="none"/>
              </w:rPr>
            </w:pPr>
            <w:r>
              <w:rPr>
                <w:rFonts w:hint="eastAsia" w:ascii="宋体" w:hAnsi="宋体" w:cs="宋体"/>
                <w:color w:val="auto"/>
                <w:kern w:val="0"/>
                <w:sz w:val="20"/>
                <w:highlight w:val="none"/>
              </w:rPr>
              <w:t>搭建可视化的应急响应系统，包括应急管理、应急预案、应急指挥、应急监测。日常应用主要实现应急资源、应急预案、应急案例的数字化、可视化、精细化管理。事故发生实现事故联合响应、图上资源分析、风险分析、事故影响分析，一键生成救援处置方案，辅助事故救援。</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10</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大屏展示系统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大屏展示是通过可视化手段对园区信息、环境评价、安全评价、能源评价、综合评价等信息进行集中展示，简洁明了的介绍清楚智慧园区的建设成果。</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11</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企业信用评价体系</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企业信用评价平台为园区管理者提供量化、直观的管理抓手，通过配置差异化、有针对性的评价方案，对园区企业进行全方位的、周期性的评价。</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12</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智慧党建</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智慧党建平台的建设内容包含：数据+平台+移动端。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b/>
                <w:bCs/>
                <w:color w:val="auto"/>
                <w:kern w:val="0"/>
                <w:sz w:val="20"/>
                <w:highlight w:val="none"/>
              </w:rPr>
            </w:pPr>
            <w:r>
              <w:rPr>
                <w:rFonts w:hint="eastAsia" w:ascii="宋体" w:hAnsi="宋体" w:cs="宋体"/>
                <w:b/>
                <w:bCs/>
                <w:color w:val="auto"/>
                <w:kern w:val="0"/>
                <w:sz w:val="20"/>
                <w:highlight w:val="none"/>
              </w:rPr>
              <w:t>六、监控指挥中心建设</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大屏显示系统</w:t>
            </w: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LED大屏</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LED像素间距：不大于1.575mm</w:t>
            </w:r>
          </w:p>
          <w:p>
            <w:pPr>
              <w:rPr>
                <w:rFonts w:ascii="宋体" w:hAnsi="宋体" w:cs="宋体"/>
                <w:color w:val="auto"/>
                <w:kern w:val="0"/>
                <w:sz w:val="20"/>
                <w:highlight w:val="none"/>
              </w:rPr>
            </w:pPr>
            <w:r>
              <w:rPr>
                <w:rFonts w:hint="eastAsia" w:ascii="宋体" w:hAnsi="宋体" w:cs="宋体"/>
                <w:color w:val="auto"/>
                <w:kern w:val="0"/>
                <w:sz w:val="20"/>
                <w:highlight w:val="none"/>
              </w:rPr>
              <w:t>模组尺寸：不低于302.4*170.1(mm)</w:t>
            </w:r>
          </w:p>
          <w:p>
            <w:pPr>
              <w:rPr>
                <w:rFonts w:ascii="宋体" w:hAnsi="宋体" w:cs="宋体"/>
                <w:color w:val="auto"/>
                <w:kern w:val="0"/>
                <w:sz w:val="20"/>
                <w:highlight w:val="none"/>
              </w:rPr>
            </w:pPr>
            <w:r>
              <w:rPr>
                <w:rFonts w:hint="eastAsia" w:ascii="宋体" w:hAnsi="宋体" w:cs="宋体"/>
                <w:color w:val="auto"/>
                <w:kern w:val="0"/>
                <w:sz w:val="20"/>
                <w:highlight w:val="none"/>
              </w:rPr>
              <w:t>模组分辨率：不低于1920*1080</w:t>
            </w:r>
          </w:p>
          <w:p>
            <w:pPr>
              <w:rPr>
                <w:rFonts w:ascii="宋体" w:hAnsi="宋体" w:cs="宋体"/>
                <w:color w:val="auto"/>
                <w:kern w:val="0"/>
                <w:sz w:val="20"/>
                <w:highlight w:val="none"/>
              </w:rPr>
            </w:pPr>
            <w:r>
              <w:rPr>
                <w:rFonts w:hint="eastAsia" w:ascii="宋体" w:hAnsi="宋体" w:cs="宋体"/>
                <w:color w:val="auto"/>
                <w:kern w:val="0"/>
                <w:sz w:val="20"/>
                <w:highlight w:val="none"/>
              </w:rPr>
              <w:t>箱体尺寸：不大于604.8*340.2(mm)</w:t>
            </w:r>
          </w:p>
          <w:p>
            <w:pPr>
              <w:rPr>
                <w:rFonts w:ascii="宋体" w:hAnsi="宋体" w:cs="宋体"/>
                <w:color w:val="auto"/>
                <w:kern w:val="0"/>
                <w:sz w:val="20"/>
                <w:highlight w:val="none"/>
              </w:rPr>
            </w:pPr>
            <w:r>
              <w:rPr>
                <w:rFonts w:hint="eastAsia" w:ascii="宋体" w:hAnsi="宋体" w:cs="宋体"/>
                <w:color w:val="auto"/>
                <w:kern w:val="0"/>
                <w:sz w:val="20"/>
                <w:highlight w:val="none"/>
              </w:rPr>
              <w:t>箱体分辨率：不低于384*216</w:t>
            </w:r>
          </w:p>
          <w:p>
            <w:pPr>
              <w:rPr>
                <w:rFonts w:ascii="宋体" w:hAnsi="宋体" w:cs="宋体"/>
                <w:color w:val="auto"/>
                <w:kern w:val="0"/>
                <w:sz w:val="20"/>
                <w:highlight w:val="none"/>
              </w:rPr>
            </w:pPr>
            <w:r>
              <w:rPr>
                <w:rFonts w:hint="eastAsia" w:ascii="宋体" w:hAnsi="宋体" w:cs="宋体"/>
                <w:color w:val="auto"/>
                <w:kern w:val="0"/>
                <w:sz w:val="20"/>
                <w:highlight w:val="none"/>
              </w:rPr>
              <w:t>显示尺寸：不低于7.2576m*4.0824m</w:t>
            </w:r>
          </w:p>
          <w:p>
            <w:pPr>
              <w:rPr>
                <w:rFonts w:ascii="宋体" w:hAnsi="宋体" w:cs="宋体"/>
                <w:color w:val="auto"/>
                <w:kern w:val="0"/>
                <w:sz w:val="20"/>
                <w:highlight w:val="none"/>
              </w:rPr>
            </w:pPr>
            <w:r>
              <w:rPr>
                <w:rFonts w:hint="eastAsia" w:ascii="宋体" w:hAnsi="宋体" w:cs="宋体"/>
                <w:color w:val="auto"/>
                <w:kern w:val="0"/>
                <w:sz w:val="20"/>
                <w:highlight w:val="none"/>
              </w:rPr>
              <w:t>显示分辨率：不低于4608 点*2592 点</w:t>
            </w:r>
          </w:p>
          <w:p>
            <w:pPr>
              <w:rPr>
                <w:rFonts w:ascii="宋体" w:hAnsi="宋体" w:cs="宋体"/>
                <w:color w:val="auto"/>
                <w:kern w:val="0"/>
                <w:sz w:val="20"/>
                <w:highlight w:val="none"/>
              </w:rPr>
            </w:pPr>
            <w:r>
              <w:rPr>
                <w:rFonts w:hint="eastAsia" w:ascii="宋体" w:hAnsi="宋体" w:cs="宋体"/>
                <w:color w:val="auto"/>
                <w:kern w:val="0"/>
                <w:sz w:val="20"/>
                <w:highlight w:val="none"/>
              </w:rPr>
              <w:t>含边框尺寸为7.3576m*4.1824m=30.7724 ㎡</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m</w:t>
            </w:r>
            <w:r>
              <w:rPr>
                <w:rFonts w:hint="eastAsia" w:ascii="宋体" w:hAnsi="宋体" w:cs="宋体"/>
                <w:color w:val="auto"/>
                <w:kern w:val="0"/>
                <w:sz w:val="20"/>
                <w:highlight w:val="none"/>
                <w:vertAlign w:val="superscript"/>
              </w:rPr>
              <w:t>2</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29.628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配套软件</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一套节目制作、播放的软件；使用方便,简单易学、性能稳定、可靠性高。</w:t>
            </w:r>
          </w:p>
        </w:tc>
        <w:tc>
          <w:tcPr>
            <w:tcW w:w="595" w:type="dxa"/>
            <w:vAlign w:val="center"/>
          </w:tcPr>
          <w:p>
            <w:pPr>
              <w:pStyle w:val="67"/>
              <w:rPr>
                <w:rFonts w:ascii="宋体" w:hAnsi="宋体"/>
                <w:color w:val="auto"/>
                <w:sz w:val="20"/>
                <w:highlight w:val="none"/>
              </w:rPr>
            </w:pPr>
            <w:r>
              <w:rPr>
                <w:rFonts w:hint="eastAsia" w:ascii="宋体" w:hAnsi="宋体"/>
                <w:color w:val="auto"/>
                <w:highlight w:val="none"/>
              </w:rPr>
              <w:t>套</w:t>
            </w:r>
          </w:p>
        </w:tc>
        <w:tc>
          <w:tcPr>
            <w:tcW w:w="606" w:type="dxa"/>
            <w:vAlign w:val="center"/>
          </w:tcPr>
          <w:p>
            <w:pPr>
              <w:jc w:val="center"/>
              <w:rPr>
                <w:color w:val="auto"/>
                <w:sz w:val="22"/>
                <w:highlight w:val="none"/>
              </w:rPr>
            </w:pPr>
            <w:r>
              <w:rPr>
                <w:rFonts w:hint="eastAsia"/>
                <w:color w:val="auto"/>
                <w:sz w:val="22"/>
                <w:highlight w:val="none"/>
              </w:rPr>
              <w:t>1</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控制系统</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标准 1u 机箱设计，独立供电；</w:t>
            </w:r>
          </w:p>
          <w:p>
            <w:pPr>
              <w:rPr>
                <w:rFonts w:ascii="宋体" w:hAnsi="宋体" w:cs="宋体"/>
                <w:color w:val="auto"/>
                <w:kern w:val="0"/>
                <w:sz w:val="20"/>
                <w:highlight w:val="none"/>
              </w:rPr>
            </w:pPr>
            <w:r>
              <w:rPr>
                <w:rFonts w:hint="eastAsia" w:ascii="宋体" w:hAnsi="宋体" w:cs="宋体"/>
                <w:color w:val="auto"/>
                <w:kern w:val="0"/>
                <w:sz w:val="20"/>
                <w:highlight w:val="none"/>
              </w:rPr>
              <w:t>高位阶视频源带载能力：不低于1440×900。支持视频格式：RGB，YCrCb4:2:2，YCrCb4:4:4。</w:t>
            </w:r>
          </w:p>
          <w:p>
            <w:pPr>
              <w:rPr>
                <w:rFonts w:ascii="宋体" w:hAnsi="宋体" w:cs="宋体"/>
                <w:color w:val="auto"/>
                <w:kern w:val="0"/>
                <w:sz w:val="20"/>
                <w:highlight w:val="none"/>
              </w:rPr>
            </w:pPr>
            <w:r>
              <w:rPr>
                <w:rFonts w:hint="eastAsia" w:ascii="宋体" w:hAnsi="宋体" w:cs="宋体"/>
                <w:color w:val="auto"/>
                <w:kern w:val="0"/>
                <w:sz w:val="20"/>
                <w:highlight w:val="none"/>
              </w:rPr>
              <w:t>支持高位阶视频输入，12bit/10bit/8bit 灰阶处理与显示。</w:t>
            </w:r>
          </w:p>
        </w:tc>
        <w:tc>
          <w:tcPr>
            <w:tcW w:w="595" w:type="dxa"/>
            <w:vAlign w:val="center"/>
          </w:tcPr>
          <w:p>
            <w:pPr>
              <w:pStyle w:val="67"/>
              <w:rPr>
                <w:rFonts w:ascii="宋体" w:hAnsi="宋体"/>
                <w:color w:val="auto"/>
                <w:sz w:val="20"/>
                <w:highlight w:val="none"/>
              </w:rPr>
            </w:pPr>
            <w:r>
              <w:rPr>
                <w:rFonts w:hint="eastAsia" w:ascii="宋体" w:hAnsi="宋体"/>
                <w:color w:val="auto"/>
                <w:highlight w:val="none"/>
              </w:rPr>
              <w:t>套</w:t>
            </w:r>
          </w:p>
        </w:tc>
        <w:tc>
          <w:tcPr>
            <w:tcW w:w="606" w:type="dxa"/>
            <w:vAlign w:val="center"/>
          </w:tcPr>
          <w:p>
            <w:pPr>
              <w:jc w:val="center"/>
              <w:rPr>
                <w:color w:val="auto"/>
                <w:sz w:val="22"/>
                <w:highlight w:val="none"/>
              </w:rPr>
            </w:pPr>
            <w:r>
              <w:rPr>
                <w:rFonts w:hint="eastAsia"/>
                <w:color w:val="auto"/>
                <w:sz w:val="22"/>
                <w:highlight w:val="none"/>
              </w:rPr>
              <w:t>10</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拼接控制器</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支持DVI、HDMI、SDI、DP、YPbPr、VGA、CVBS、4K HDMI、HDBaseT、4K HDBaseT、等常见输出信号；模块化设计，包括输入卡、输出卡、切换卡、控制卡、风扇、电源等都是模块化的设计，支持热插拔，更换时不影响其他模块的正常运行，方便以后升级维护等。</w:t>
            </w:r>
          </w:p>
        </w:tc>
        <w:tc>
          <w:tcPr>
            <w:tcW w:w="595" w:type="dxa"/>
            <w:vAlign w:val="center"/>
          </w:tcPr>
          <w:p>
            <w:pPr>
              <w:pStyle w:val="67"/>
              <w:rPr>
                <w:rFonts w:ascii="宋体" w:hAnsi="宋体"/>
                <w:color w:val="auto"/>
                <w:sz w:val="20"/>
                <w:highlight w:val="none"/>
              </w:rPr>
            </w:pPr>
            <w:r>
              <w:rPr>
                <w:rFonts w:hint="eastAsia" w:ascii="宋体" w:hAnsi="宋体"/>
                <w:color w:val="auto"/>
                <w:highlight w:val="none"/>
              </w:rPr>
              <w:t>台</w:t>
            </w:r>
          </w:p>
        </w:tc>
        <w:tc>
          <w:tcPr>
            <w:tcW w:w="606" w:type="dxa"/>
            <w:vAlign w:val="center"/>
          </w:tcPr>
          <w:p>
            <w:pPr>
              <w:jc w:val="center"/>
              <w:rPr>
                <w:color w:val="auto"/>
                <w:sz w:val="22"/>
                <w:highlight w:val="none"/>
              </w:rPr>
            </w:pPr>
            <w:r>
              <w:rPr>
                <w:rFonts w:hint="eastAsia"/>
                <w:color w:val="auto"/>
                <w:sz w:val="22"/>
                <w:highlight w:val="none"/>
              </w:rPr>
              <w:t>1</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钢结构</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现场定制+型材/含施工、含调试；钢结构关键连接部分采用高强镙栓结构；需要符合国家标准。定制尺寸不低于：30.7724 ㎡</w:t>
            </w:r>
          </w:p>
        </w:tc>
        <w:tc>
          <w:tcPr>
            <w:tcW w:w="595" w:type="dxa"/>
            <w:vAlign w:val="center"/>
          </w:tcPr>
          <w:p>
            <w:pPr>
              <w:pStyle w:val="67"/>
              <w:rPr>
                <w:rFonts w:ascii="宋体" w:hAnsi="宋体"/>
                <w:color w:val="auto"/>
                <w:sz w:val="20"/>
                <w:highlight w:val="none"/>
              </w:rPr>
            </w:pPr>
            <w:r>
              <w:rPr>
                <w:rFonts w:hint="eastAsia" w:ascii="宋体" w:hAnsi="宋体"/>
                <w:color w:val="auto"/>
                <w:sz w:val="20"/>
                <w:highlight w:val="none"/>
              </w:rPr>
              <w:t>m</w:t>
            </w:r>
            <w:r>
              <w:rPr>
                <w:rFonts w:hint="eastAsia" w:ascii="宋体" w:hAnsi="宋体"/>
                <w:color w:val="auto"/>
                <w:sz w:val="20"/>
                <w:highlight w:val="none"/>
                <w:vertAlign w:val="superscript"/>
              </w:rPr>
              <w:t>2</w:t>
            </w:r>
          </w:p>
        </w:tc>
        <w:tc>
          <w:tcPr>
            <w:tcW w:w="606" w:type="dxa"/>
            <w:vAlign w:val="center"/>
          </w:tcPr>
          <w:p>
            <w:pPr>
              <w:jc w:val="center"/>
              <w:rPr>
                <w:color w:val="auto"/>
                <w:sz w:val="22"/>
                <w:highlight w:val="none"/>
              </w:rPr>
            </w:pPr>
            <w:r>
              <w:rPr>
                <w:rFonts w:hint="eastAsia"/>
                <w:color w:val="auto"/>
                <w:sz w:val="22"/>
                <w:highlight w:val="none"/>
              </w:rPr>
              <w:t>30.772</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配电系统</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具有保护措施、智能编程、智能操控、智能化控制等功能。</w:t>
            </w:r>
          </w:p>
        </w:tc>
        <w:tc>
          <w:tcPr>
            <w:tcW w:w="595" w:type="dxa"/>
            <w:vAlign w:val="center"/>
          </w:tcPr>
          <w:p>
            <w:pPr>
              <w:pStyle w:val="67"/>
              <w:rPr>
                <w:rFonts w:ascii="宋体" w:hAnsi="宋体"/>
                <w:color w:val="auto"/>
                <w:sz w:val="20"/>
                <w:highlight w:val="none"/>
              </w:rPr>
            </w:pPr>
            <w:r>
              <w:rPr>
                <w:rFonts w:hint="eastAsia" w:ascii="宋体" w:hAnsi="宋体"/>
                <w:color w:val="auto"/>
                <w:highlight w:val="none"/>
              </w:rPr>
              <w:t>套</w:t>
            </w:r>
          </w:p>
        </w:tc>
        <w:tc>
          <w:tcPr>
            <w:tcW w:w="606" w:type="dxa"/>
            <w:vAlign w:val="center"/>
          </w:tcPr>
          <w:p>
            <w:pPr>
              <w:jc w:val="center"/>
              <w:rPr>
                <w:color w:val="auto"/>
                <w:sz w:val="22"/>
                <w:highlight w:val="none"/>
              </w:rPr>
            </w:pPr>
            <w:r>
              <w:rPr>
                <w:rFonts w:hint="eastAsia"/>
                <w:color w:val="auto"/>
                <w:sz w:val="22"/>
                <w:highlight w:val="none"/>
              </w:rPr>
              <w:t>1</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线缆辅料</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符合国标。</w:t>
            </w:r>
          </w:p>
        </w:tc>
        <w:tc>
          <w:tcPr>
            <w:tcW w:w="595" w:type="dxa"/>
            <w:vAlign w:val="center"/>
          </w:tcPr>
          <w:p>
            <w:pPr>
              <w:pStyle w:val="67"/>
              <w:rPr>
                <w:rFonts w:ascii="宋体" w:hAnsi="宋体"/>
                <w:color w:val="auto"/>
                <w:sz w:val="20"/>
                <w:highlight w:val="none"/>
              </w:rPr>
            </w:pPr>
            <w:r>
              <w:rPr>
                <w:rFonts w:hint="eastAsia" w:ascii="宋体" w:hAnsi="宋体"/>
                <w:color w:val="auto"/>
                <w:highlight w:val="none"/>
              </w:rPr>
              <w:t>批</w:t>
            </w:r>
          </w:p>
        </w:tc>
        <w:tc>
          <w:tcPr>
            <w:tcW w:w="606" w:type="dxa"/>
            <w:vAlign w:val="center"/>
          </w:tcPr>
          <w:p>
            <w:pPr>
              <w:jc w:val="center"/>
              <w:rPr>
                <w:color w:val="auto"/>
                <w:sz w:val="22"/>
                <w:highlight w:val="none"/>
              </w:rPr>
            </w:pPr>
            <w:r>
              <w:rPr>
                <w:rFonts w:hint="eastAsia"/>
                <w:color w:val="auto"/>
                <w:sz w:val="22"/>
                <w:highlight w:val="none"/>
              </w:rPr>
              <w:t>1</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pStyle w:val="67"/>
              <w:rPr>
                <w:rFonts w:ascii="宋体" w:hAnsi="宋体"/>
                <w:color w:val="auto"/>
                <w:sz w:val="20"/>
                <w:highlight w:val="none"/>
              </w:rPr>
            </w:pPr>
            <w:r>
              <w:rPr>
                <w:rFonts w:hint="eastAsia" w:ascii="宋体" w:hAnsi="宋体"/>
                <w:color w:val="auto"/>
                <w:highlight w:val="none"/>
              </w:rPr>
              <w:t>0.5㎡屏幕备品备件</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19"/>
                <w:szCs w:val="19"/>
                <w:highlight w:val="none"/>
                <w:lang w:bidi="ar"/>
              </w:rPr>
              <w:t>0.5 ㎡屏幕；同厂同批次备品模组、电源、IC、管芯、专用工具等。</w:t>
            </w:r>
          </w:p>
        </w:tc>
        <w:tc>
          <w:tcPr>
            <w:tcW w:w="595" w:type="dxa"/>
            <w:vAlign w:val="center"/>
          </w:tcPr>
          <w:p>
            <w:pPr>
              <w:pStyle w:val="67"/>
              <w:rPr>
                <w:rFonts w:ascii="宋体" w:hAnsi="宋体"/>
                <w:color w:val="auto"/>
                <w:sz w:val="20"/>
                <w:highlight w:val="none"/>
              </w:rPr>
            </w:pPr>
            <w:r>
              <w:rPr>
                <w:rFonts w:hint="eastAsia" w:ascii="宋体" w:hAnsi="宋体"/>
                <w:color w:val="auto"/>
                <w:sz w:val="20"/>
                <w:highlight w:val="none"/>
              </w:rPr>
              <w:t>套</w:t>
            </w:r>
          </w:p>
        </w:tc>
        <w:tc>
          <w:tcPr>
            <w:tcW w:w="606" w:type="dxa"/>
            <w:vAlign w:val="center"/>
          </w:tcPr>
          <w:p>
            <w:pPr>
              <w:jc w:val="center"/>
              <w:rPr>
                <w:color w:val="auto"/>
                <w:sz w:val="22"/>
                <w:highlight w:val="none"/>
              </w:rPr>
            </w:pPr>
            <w:r>
              <w:rPr>
                <w:rFonts w:hint="eastAsia"/>
                <w:color w:val="auto"/>
                <w:sz w:val="22"/>
                <w:highlight w:val="none"/>
              </w:rPr>
              <w:t>1</w:t>
            </w:r>
          </w:p>
        </w:tc>
        <w:tc>
          <w:tcPr>
            <w:tcW w:w="308" w:type="dxa"/>
          </w:tcPr>
          <w:p>
            <w:pP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12</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服务器</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数据库服务器</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不低于至强16核，不低于DDR4 64GB，不低于2T SAS 10K rpm，SAS/SATA，支持RAID0,1，机架式机箱。</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应用服务器</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不低于至强16核，不低于DDR4 64GB，不低于2T SAS 10K rpm，SAS/SATA，支持RAID0,1，机架式机箱。</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10</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平台接入引擎服务器</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不低于至强16核，不低于DDR4 64GB，不低于2T SAS 10K rpm，SAS/SATA，支持RAID0,1，机架式机箱。</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15</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网络及安全设备</w:t>
            </w:r>
          </w:p>
        </w:tc>
        <w:tc>
          <w:tcPr>
            <w:tcW w:w="2176" w:type="dxa"/>
            <w:gridSpan w:val="2"/>
            <w:shd w:val="clear" w:color="auto" w:fill="auto"/>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核心交换机</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24口千兆全网管二层交换机，机架式，24个千兆电口,4个千兆光口,支持通过console口管理</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shd w:val="clear" w:color="auto" w:fill="auto"/>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节点交换机</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24口千兆全网管二层交换机，机架式，24个千兆电口,4个千兆光口,支持通过console口管理</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17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△外网防火墙</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不低于1U机箱，配置不少于6个10/100/1000BASE-T接口，1个可插拨的扩展槽，标配模块化电源；防火墙吞吐率：4Gbps 应用层吞吐率（FW+APP）：2.5Gbps 并发连接数：160万。</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△WEB应用防火墙</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要求设备为1U机架式结构，最大配置为24个接口；本次配置不低于2个可插拨扩展槽及6个10/100/1000Base-T端口和2个SFP槽。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△内网入侵防御系统</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要求设备不低于1U标准机箱，配置不少于6个10/100/1000Base-T端口，至少1个console口，2个USB，配置至少3年规则特征库升级许可；整机吞吐率：不低于3Gbps，最大并发连接数：不低于150万，IPS吞吐率：1.2Gbps。</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△外网网闸</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21</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△内网防火墙</w:t>
            </w:r>
          </w:p>
        </w:tc>
        <w:tc>
          <w:tcPr>
            <w:tcW w:w="4011" w:type="dxa"/>
            <w:vAlign w:val="bottom"/>
          </w:tcPr>
          <w:p>
            <w:pPr>
              <w:rPr>
                <w:rFonts w:ascii="宋体" w:hAnsi="宋体" w:cs="宋体"/>
                <w:color w:val="auto"/>
                <w:kern w:val="0"/>
                <w:sz w:val="20"/>
                <w:highlight w:val="none"/>
              </w:rPr>
            </w:pPr>
            <w:r>
              <w:rPr>
                <w:rFonts w:hint="eastAsia" w:ascii="宋体" w:hAnsi="宋体" w:cs="宋体"/>
                <w:color w:val="auto"/>
                <w:kern w:val="0"/>
                <w:sz w:val="20"/>
                <w:highlight w:val="none"/>
              </w:rPr>
              <w:t>不低于1U机箱，配置不少于6个10/100/1000BASE-T接口，标配模块化电源；防火墙吞吐率：不低于2Gbps 应用层吞吐率（FW+APP）：1.2Gbps 并发连接数：120万。</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△内网网闸</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r>
              <w:rPr>
                <w:rFonts w:ascii="宋体" w:hAnsi="宋体" w:cs="宋体"/>
                <w:color w:val="auto"/>
                <w:kern w:val="0"/>
                <w:sz w:val="20"/>
                <w:highlight w:val="none"/>
              </w:rPr>
              <w:t>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存储备份一体机</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不低于1*XEON E3-1230 V5（2.4G/6核12线程），配置至少支持4个硬盘槽位配置4T企业级SATA。1*240GSSD用于系统安装，不少于8GB RAM，最大可扩容64GB，不少于2个千兆网络端口，网络端口都可用且可分配不同的备份任务；支持Windows、Linux、UNIX、AIX、Solaris、 HP-UX等主流操作系统，基于linux的备份存储专用系统，支持https方式登录，确保登录安全。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杀毒软件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客户端默认支持WindowsXP/VISTA/WIN7/WIN8/WIN10，含三年升级许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r>
              <w:rPr>
                <w:rFonts w:ascii="宋体" w:hAnsi="宋体" w:cs="宋体"/>
                <w:color w:val="auto"/>
                <w:kern w:val="0"/>
                <w:sz w:val="20"/>
                <w:highlight w:val="none"/>
              </w:rPr>
              <w:t>5</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25</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 xml:space="preserve">人工智能在线监测平台      </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环保人工智能监测系统</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应用软件系统，可实现数据采集、运行状况判定、设备参数分析、异常报警、数据查询、运行统计、远程控制、基础设置、视频回放等功能。</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园区安全人工智能监测系统</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通过对人和物体的特征检测、提取、描述和分析，以及对场景环境的分析，理解识别人和物体的行为，在实时监控的基础上，对突发事件进行实时预警。</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AI视频分析模型</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包括人脸识别模型、姿态识别模型、烟火检测模型、人员入侵模型、绊线检测模型等内容。</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人工智能服务集成平台</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包括视频前端接入控制和管理子模块、视频流编解码子模块、视频流服务子模块、数据存储服务子模块、GPU调度子模块、样本采集和处理子模块、资源监控子模块等内容。</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29</w:t>
            </w:r>
          </w:p>
        </w:tc>
        <w:tc>
          <w:tcPr>
            <w:tcW w:w="1482" w:type="dxa"/>
            <w:vMerge w:val="restart"/>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人工智能监测系统硬件配置</w:t>
            </w:r>
          </w:p>
        </w:tc>
        <w:tc>
          <w:tcPr>
            <w:tcW w:w="2176" w:type="dxa"/>
            <w:gridSpan w:val="2"/>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视频接入和解码/数据接入行为分析/WEB平台服务器</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2U机架式；</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配置2颗Intel Xeon E5-2620六核处理器（2.0GHz）；</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当前配置不低于16GB（8*2G） DDR3内存，最大支持8块3.5英寸硬盘/16块2.5英寸硬盘；</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Intel四端口千兆网卡/双端口万兆网卡；</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当前配置≥16个内存插槽，最大可扩展至64个内存插槽，最大支持≥3TB内存。</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30</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服务器操作系统(要求正版）</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CentOS 7.6。</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31</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数据库软件(要求正版）</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Redis。</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32</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交换机</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千兆以太网交换机；</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传输速率 10/100/1000Mbps ；</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背板带宽 256Gbps 。</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33</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KVM切换器</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17"LCD KVM切换器；</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接口数：8口；</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输出接口：HDB15。</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网闸</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内外网数据交换安全隔离网闸（含全部功能模块），2U机架式，6个10/100/1000M自适应电口，内外网具有独立的管理口、HA口（热备口）。</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视频AI、GPU服务器</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CPU： Intel i7 7800x及以上；</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GPU： GTX1070*2及以上；</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硬盘：不小于500GBSSD+2TB*2 SAS；</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专用机箱；</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专用散热器；</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1610W电源。</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200万红外高清半球型网络摄像机</w:t>
            </w:r>
          </w:p>
        </w:tc>
        <w:tc>
          <w:tcPr>
            <w:tcW w:w="4011" w:type="dxa"/>
            <w:vAlign w:val="center"/>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采用不低于200万像素CMOS传感器；</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支持不低于2.8-12mm电动变焦镜头；</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支持H.265/H.264视频编码算法；</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最大输出分辨率不低于1920*1080@25fps 30fps，支持三码流传输；</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支持真实宽动态，动态范围120dB，适合逆光环境；</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支持数字水印加密，防止数据被篡改；</w:t>
            </w:r>
          </w:p>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支持IR_CUT（红外滤片式自动切换）。</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37</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基础支撑软件（要求正版）</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服务器操作系统</w:t>
            </w:r>
          </w:p>
        </w:tc>
        <w:tc>
          <w:tcPr>
            <w:tcW w:w="4011" w:type="dxa"/>
            <w:vAlign w:val="bottom"/>
          </w:tcPr>
          <w:p>
            <w:pPr>
              <w:jc w:val="left"/>
              <w:rPr>
                <w:rFonts w:ascii="宋体" w:hAnsi="宋体" w:cs="宋体"/>
                <w:color w:val="auto"/>
                <w:kern w:val="0"/>
                <w:sz w:val="20"/>
                <w:szCs w:val="22"/>
                <w:highlight w:val="none"/>
              </w:rPr>
            </w:pPr>
            <w:r>
              <w:rPr>
                <w:rFonts w:hint="eastAsia" w:ascii="宋体" w:hAnsi="宋体" w:cs="宋体"/>
                <w:color w:val="auto"/>
                <w:kern w:val="0"/>
                <w:sz w:val="20"/>
                <w:szCs w:val="22"/>
                <w:highlight w:val="none"/>
              </w:rPr>
              <w:t>Windows Server或其它与平台配套的系统。</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14</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数据库软件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支持</w:t>
            </w:r>
            <w:r>
              <w:rPr>
                <w:rFonts w:ascii="宋体" w:hAnsi="宋体" w:cs="宋体"/>
                <w:color w:val="auto"/>
                <w:kern w:val="0"/>
                <w:sz w:val="20"/>
                <w:highlight w:val="none"/>
              </w:rPr>
              <w:t xml:space="preserve">PostgreSQL </w:t>
            </w:r>
            <w:r>
              <w:rPr>
                <w:rFonts w:hint="eastAsia" w:ascii="宋体" w:hAnsi="宋体" w:cs="宋体"/>
                <w:color w:val="auto"/>
                <w:kern w:val="0"/>
                <w:sz w:val="20"/>
                <w:highlight w:val="none"/>
              </w:rPr>
              <w:t>、SQL Server 2014或其它与平台配套的数据库。</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双机热备软件</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基于共享存储的高可用集群产品，实时监测应用资源运行状态，实现资源故障时自动切换，解决软、硬件的单点故障，从而保障业务系统连续运营。</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40</w:t>
            </w:r>
          </w:p>
        </w:tc>
        <w:tc>
          <w:tcPr>
            <w:tcW w:w="1482" w:type="dxa"/>
            <w:vMerge w:val="restart"/>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视频会议</w:t>
            </w:r>
          </w:p>
        </w:tc>
        <w:tc>
          <w:tcPr>
            <w:tcW w:w="2176" w:type="dxa"/>
            <w:gridSpan w:val="2"/>
            <w:shd w:val="clear" w:color="auto" w:fill="FFFFFF" w:themeFill="background1"/>
            <w:vAlign w:val="center"/>
          </w:tcPr>
          <w:p>
            <w:pPr>
              <w:pStyle w:val="67"/>
              <w:rPr>
                <w:rStyle w:val="76"/>
                <w:rFonts w:hint="default"/>
                <w:color w:val="auto"/>
                <w:szCs w:val="21"/>
                <w:highlight w:val="none"/>
              </w:rPr>
            </w:pPr>
            <w:r>
              <w:rPr>
                <w:rStyle w:val="76"/>
                <w:rFonts w:hint="default"/>
                <w:color w:val="auto"/>
                <w:szCs w:val="21"/>
                <w:highlight w:val="none"/>
              </w:rPr>
              <w:t>MCU多点控制单元</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1</w:t>
            </w:r>
            <w:r>
              <w:rPr>
                <w:rFonts w:hint="eastAsia" w:ascii="宋体" w:hAnsi="宋体" w:cs="宋体"/>
                <w:color w:val="auto"/>
                <w:kern w:val="0"/>
                <w:sz w:val="20"/>
                <w:highlight w:val="none"/>
              </w:rPr>
              <w:t>.</w:t>
            </w:r>
            <w:r>
              <w:rPr>
                <w:rFonts w:ascii="宋体" w:hAnsi="宋体" w:cs="宋体"/>
                <w:color w:val="auto"/>
                <w:kern w:val="0"/>
                <w:sz w:val="20"/>
                <w:highlight w:val="none"/>
              </w:rPr>
              <w:t xml:space="preserve"> MCU要求符合标准的H.323、H320、SIP协议。能够和符合国际标准的产品互通。设备需与现网的视频会议终端兼容对接，并能接入现有的视频会议管理系统</w:t>
            </w:r>
            <w:r>
              <w:rPr>
                <w:rFonts w:hint="eastAsia" w:ascii="宋体" w:hAnsi="宋体" w:cs="宋体"/>
                <w:color w:val="auto"/>
                <w:kern w:val="0"/>
                <w:sz w:val="20"/>
                <w:highlight w:val="none"/>
              </w:rPr>
              <w:t>；</w:t>
            </w:r>
          </w:p>
          <w:p>
            <w:pPr>
              <w:jc w:val="left"/>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w:t>
            </w:r>
            <w:r>
              <w:rPr>
                <w:rFonts w:ascii="宋体" w:hAnsi="宋体" w:cs="宋体"/>
                <w:color w:val="auto"/>
                <w:kern w:val="0"/>
                <w:sz w:val="20"/>
                <w:highlight w:val="none"/>
              </w:rPr>
              <w:t xml:space="preserve"> 支持视频会议录播功能</w:t>
            </w:r>
            <w:r>
              <w:rPr>
                <w:rFonts w:hint="eastAsia" w:ascii="宋体" w:hAnsi="宋体" w:cs="宋体"/>
                <w:color w:val="auto"/>
                <w:kern w:val="0"/>
                <w:sz w:val="20"/>
                <w:highlight w:val="none"/>
              </w:rPr>
              <w:t>；</w:t>
            </w:r>
          </w:p>
          <w:p>
            <w:pPr>
              <w:jc w:val="left"/>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w:t>
            </w:r>
            <w:r>
              <w:rPr>
                <w:rFonts w:ascii="宋体" w:hAnsi="宋体" w:cs="宋体"/>
                <w:color w:val="auto"/>
                <w:kern w:val="0"/>
                <w:sz w:val="20"/>
                <w:highlight w:val="none"/>
              </w:rPr>
              <w:t xml:space="preserve"> 嵌入式一体化设计，电信级机架式MCU，电源风扇1＋1备份配置</w:t>
            </w:r>
            <w:r>
              <w:rPr>
                <w:rFonts w:hint="eastAsia" w:ascii="宋体" w:hAnsi="宋体" w:cs="宋体"/>
                <w:color w:val="auto"/>
                <w:kern w:val="0"/>
                <w:sz w:val="20"/>
                <w:highlight w:val="none"/>
              </w:rPr>
              <w:t>；</w:t>
            </w:r>
          </w:p>
          <w:p>
            <w:pPr>
              <w:jc w:val="left"/>
              <w:rPr>
                <w:rFonts w:ascii="宋体" w:hAnsi="宋体" w:cs="宋体"/>
                <w:color w:val="auto"/>
                <w:kern w:val="0"/>
                <w:sz w:val="20"/>
                <w:highlight w:val="none"/>
              </w:rPr>
            </w:pPr>
            <w:r>
              <w:rPr>
                <w:rFonts w:ascii="宋体" w:hAnsi="宋体" w:cs="宋体"/>
                <w:color w:val="auto"/>
                <w:kern w:val="0"/>
                <w:sz w:val="20"/>
                <w:highlight w:val="none"/>
              </w:rPr>
              <w:t>4</w:t>
            </w:r>
            <w:r>
              <w:rPr>
                <w:rFonts w:hint="eastAsia" w:ascii="宋体" w:hAnsi="宋体" w:cs="宋体"/>
                <w:color w:val="auto"/>
                <w:kern w:val="0"/>
                <w:sz w:val="20"/>
                <w:highlight w:val="none"/>
              </w:rPr>
              <w:t>.</w:t>
            </w:r>
            <w:r>
              <w:rPr>
                <w:rFonts w:ascii="宋体" w:hAnsi="宋体" w:cs="宋体"/>
                <w:color w:val="auto"/>
                <w:kern w:val="0"/>
                <w:sz w:val="20"/>
                <w:highlight w:val="none"/>
              </w:rPr>
              <w:t xml:space="preserve"> MCU必须采用嵌入式操作系统</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41</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pStyle w:val="67"/>
              <w:rPr>
                <w:rStyle w:val="76"/>
                <w:rFonts w:hint="default"/>
                <w:color w:val="auto"/>
                <w:szCs w:val="21"/>
                <w:highlight w:val="none"/>
              </w:rPr>
            </w:pPr>
            <w:r>
              <w:rPr>
                <w:rStyle w:val="76"/>
                <w:rFonts w:hint="default"/>
                <w:color w:val="auto"/>
                <w:szCs w:val="21"/>
                <w:highlight w:val="none"/>
              </w:rPr>
              <w:t xml:space="preserve">音视频会议系统终端  </w:t>
            </w:r>
          </w:p>
        </w:tc>
        <w:tc>
          <w:tcPr>
            <w:tcW w:w="4011" w:type="dxa"/>
            <w:vAlign w:val="center"/>
          </w:tcPr>
          <w:p>
            <w:pPr>
              <w:pStyle w:val="67"/>
              <w:rPr>
                <w:rStyle w:val="76"/>
                <w:rFonts w:hint="default"/>
                <w:color w:val="auto"/>
                <w:szCs w:val="21"/>
                <w:highlight w:val="none"/>
              </w:rPr>
            </w:pPr>
            <w:r>
              <w:rPr>
                <w:rStyle w:val="76"/>
                <w:rFonts w:hint="default"/>
                <w:color w:val="auto"/>
                <w:szCs w:val="21"/>
                <w:highlight w:val="none"/>
              </w:rPr>
              <w:t>1、分体式硬件架构，嵌入式操作系统；</w:t>
            </w:r>
          </w:p>
          <w:p>
            <w:pPr>
              <w:pStyle w:val="67"/>
              <w:rPr>
                <w:rFonts w:ascii="宋体" w:hAnsi="宋体"/>
                <w:color w:val="auto"/>
                <w:sz w:val="20"/>
                <w:szCs w:val="21"/>
                <w:highlight w:val="none"/>
              </w:rPr>
            </w:pPr>
            <w:r>
              <w:rPr>
                <w:rStyle w:val="76"/>
                <w:rFonts w:hint="default"/>
                <w:color w:val="auto"/>
                <w:szCs w:val="21"/>
                <w:highlight w:val="none"/>
              </w:rPr>
              <w:t>2、支持H.323协议和SIP协议，并支持同时运行H.323和SIP协议；无需第三方协议网关即可与主流视频会议厂商设备进行互联互通。</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42</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全向麦克风/八爪鱼</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三个或以上高灵敏度的内置麦克风</w:t>
            </w:r>
            <w:r>
              <w:rPr>
                <w:rFonts w:hint="eastAsia" w:ascii="宋体" w:hAnsi="宋体" w:cs="宋体"/>
                <w:color w:val="auto"/>
                <w:kern w:val="0"/>
                <w:sz w:val="20"/>
                <w:highlight w:val="none"/>
              </w:rPr>
              <w:t>，</w:t>
            </w:r>
            <w:r>
              <w:rPr>
                <w:rFonts w:ascii="宋体" w:hAnsi="宋体" w:cs="宋体"/>
                <w:color w:val="auto"/>
                <w:kern w:val="0"/>
                <w:sz w:val="20"/>
                <w:highlight w:val="none"/>
              </w:rPr>
              <w:t>拾音半径不小于</w:t>
            </w:r>
            <w:r>
              <w:rPr>
                <w:rFonts w:hint="eastAsia" w:ascii="宋体" w:hAnsi="宋体" w:cs="宋体"/>
                <w:color w:val="auto"/>
                <w:kern w:val="0"/>
                <w:sz w:val="20"/>
                <w:highlight w:val="none"/>
              </w:rPr>
              <w:t>2</w:t>
            </w:r>
            <w:r>
              <w:rPr>
                <w:rFonts w:ascii="宋体" w:hAnsi="宋体" w:cs="宋体"/>
                <w:color w:val="auto"/>
                <w:kern w:val="0"/>
                <w:sz w:val="20"/>
                <w:highlight w:val="none"/>
              </w:rPr>
              <w:t>.5米</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43</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高清摄像头</w:t>
            </w:r>
          </w:p>
        </w:tc>
        <w:tc>
          <w:tcPr>
            <w:tcW w:w="4011" w:type="dxa"/>
            <w:vAlign w:val="center"/>
          </w:tcPr>
          <w:p>
            <w:pPr>
              <w:pStyle w:val="67"/>
              <w:jc w:val="left"/>
              <w:rPr>
                <w:rFonts w:ascii="宋体" w:hAnsi="宋体"/>
                <w:color w:val="auto"/>
                <w:sz w:val="20"/>
                <w:szCs w:val="21"/>
                <w:highlight w:val="none"/>
              </w:rPr>
            </w:pPr>
            <w:r>
              <w:rPr>
                <w:rStyle w:val="76"/>
                <w:rFonts w:hint="default"/>
                <w:color w:val="auto"/>
                <w:szCs w:val="21"/>
                <w:highlight w:val="none"/>
              </w:rPr>
              <w:t>采用不低于200万CMOS传感器，支持全高清1080p/60fps到标清的多格式视频输出，支持SDI, DVI-I等高清视频输出接口。</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44</w:t>
            </w:r>
          </w:p>
        </w:tc>
        <w:tc>
          <w:tcPr>
            <w:tcW w:w="1482" w:type="dxa"/>
            <w:vMerge w:val="restart"/>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广播系统</w:t>
            </w: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音箱</w:t>
            </w:r>
          </w:p>
        </w:tc>
        <w:tc>
          <w:tcPr>
            <w:tcW w:w="4011" w:type="dxa"/>
            <w:vAlign w:val="center"/>
          </w:tcPr>
          <w:p>
            <w:pPr>
              <w:jc w:val="left"/>
              <w:rPr>
                <w:rFonts w:ascii="宋体" w:hAnsi="宋体" w:cs="宋体"/>
                <w:color w:val="auto"/>
                <w:kern w:val="0"/>
                <w:sz w:val="20"/>
                <w:highlight w:val="none"/>
              </w:rPr>
            </w:pPr>
            <w:r>
              <w:rPr>
                <w:rStyle w:val="76"/>
                <w:rFonts w:hint="default"/>
                <w:color w:val="auto"/>
                <w:szCs w:val="21"/>
                <w:highlight w:val="none"/>
              </w:rPr>
              <w:t>6寸低音高音挂墙式音箱 40W/8欧 白色。</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45</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功率放大器</w:t>
            </w:r>
          </w:p>
        </w:tc>
        <w:tc>
          <w:tcPr>
            <w:tcW w:w="4011" w:type="dxa"/>
            <w:vAlign w:val="center"/>
          </w:tcPr>
          <w:p>
            <w:pPr>
              <w:pStyle w:val="67"/>
              <w:rPr>
                <w:rFonts w:ascii="宋体" w:hAnsi="宋体"/>
                <w:color w:val="auto"/>
                <w:sz w:val="20"/>
                <w:szCs w:val="21"/>
                <w:highlight w:val="none"/>
              </w:rPr>
            </w:pPr>
            <w:r>
              <w:rPr>
                <w:rStyle w:val="76"/>
                <w:rFonts w:hint="default"/>
                <w:color w:val="auto"/>
                <w:szCs w:val="21"/>
                <w:highlight w:val="none"/>
              </w:rPr>
              <w:t>数字功放，功率：输出功率/Power8Ω 350W×2，输出功率/Power4Ω 475W×2，D类功率放大器。</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个</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46</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数字调音台</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8路输入调音台。</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47</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数字音频处理器</w:t>
            </w:r>
          </w:p>
        </w:tc>
        <w:tc>
          <w:tcPr>
            <w:tcW w:w="4011" w:type="dxa"/>
            <w:vAlign w:val="center"/>
          </w:tcPr>
          <w:p>
            <w:pPr>
              <w:jc w:val="left"/>
              <w:rPr>
                <w:rFonts w:ascii="宋体" w:hAnsi="宋体" w:cs="宋体"/>
                <w:color w:val="auto"/>
                <w:kern w:val="0"/>
                <w:sz w:val="20"/>
                <w:highlight w:val="none"/>
              </w:rPr>
            </w:pPr>
            <w:r>
              <w:rPr>
                <w:rStyle w:val="76"/>
                <w:rFonts w:hint="default"/>
                <w:color w:val="auto"/>
                <w:szCs w:val="21"/>
                <w:highlight w:val="none"/>
              </w:rPr>
              <w:t>2进4出数字音箱处理器，每个通道都有独立的相位控制，每通道设6个参量均衡器，采用64比特浮点运算器，采用96KHz采样频率，可储存30种预设模式，通过PC实现远程控制。</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48</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蓝光DVD</w:t>
            </w:r>
          </w:p>
        </w:tc>
        <w:tc>
          <w:tcPr>
            <w:tcW w:w="4011" w:type="dxa"/>
            <w:vAlign w:val="center"/>
          </w:tcPr>
          <w:p>
            <w:pPr>
              <w:pStyle w:val="67"/>
              <w:rPr>
                <w:rStyle w:val="76"/>
                <w:rFonts w:hint="default"/>
                <w:color w:val="auto"/>
                <w:szCs w:val="21"/>
                <w:highlight w:val="none"/>
              </w:rPr>
            </w:pPr>
            <w:r>
              <w:rPr>
                <w:rStyle w:val="76"/>
                <w:rFonts w:hint="default"/>
                <w:color w:val="auto"/>
                <w:szCs w:val="21"/>
                <w:highlight w:val="none"/>
              </w:rPr>
              <w:t>蓝光DVD播放机影碟机 ,兼容CD/DVD/MP3等。</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49</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双手持无线话筒</w:t>
            </w:r>
          </w:p>
        </w:tc>
        <w:tc>
          <w:tcPr>
            <w:tcW w:w="4011" w:type="dxa"/>
            <w:vAlign w:val="center"/>
          </w:tcPr>
          <w:p>
            <w:pPr>
              <w:pStyle w:val="67"/>
              <w:rPr>
                <w:rStyle w:val="76"/>
                <w:rFonts w:hint="default"/>
                <w:color w:val="auto"/>
                <w:szCs w:val="21"/>
                <w:highlight w:val="none"/>
              </w:rPr>
            </w:pPr>
            <w:r>
              <w:rPr>
                <w:rStyle w:val="76"/>
                <w:rFonts w:hint="default"/>
                <w:color w:val="auto"/>
                <w:szCs w:val="21"/>
                <w:highlight w:val="none"/>
              </w:rPr>
              <w:t>采用23级电子音量控制,简约搭配</w:t>
            </w:r>
          </w:p>
          <w:p>
            <w:pPr>
              <w:pStyle w:val="67"/>
              <w:rPr>
                <w:rStyle w:val="76"/>
                <w:rFonts w:hint="default"/>
                <w:color w:val="auto"/>
                <w:szCs w:val="21"/>
                <w:highlight w:val="none"/>
              </w:rPr>
            </w:pPr>
            <w:r>
              <w:rPr>
                <w:rStyle w:val="76"/>
                <w:rFonts w:hint="default"/>
                <w:color w:val="auto"/>
                <w:szCs w:val="21"/>
                <w:highlight w:val="none"/>
              </w:rPr>
              <w:t>采用真分集接收技术，空阔最大使用距离300米。</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50</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有线鹅颈话筒</w:t>
            </w:r>
          </w:p>
        </w:tc>
        <w:tc>
          <w:tcPr>
            <w:tcW w:w="4011" w:type="dxa"/>
            <w:vAlign w:val="center"/>
          </w:tcPr>
          <w:p>
            <w:pPr>
              <w:pStyle w:val="67"/>
              <w:rPr>
                <w:rStyle w:val="76"/>
                <w:rFonts w:hint="default"/>
                <w:color w:val="auto"/>
                <w:szCs w:val="21"/>
                <w:highlight w:val="none"/>
              </w:rPr>
            </w:pPr>
            <w:r>
              <w:rPr>
                <w:rStyle w:val="76"/>
                <w:rFonts w:hint="default"/>
                <w:color w:val="auto"/>
                <w:szCs w:val="21"/>
                <w:highlight w:val="none"/>
              </w:rPr>
              <w:t>换能方式：电容式，频率响应：30Hz-20KHz</w:t>
            </w:r>
          </w:p>
          <w:p>
            <w:pPr>
              <w:pStyle w:val="67"/>
              <w:rPr>
                <w:rStyle w:val="76"/>
                <w:rFonts w:hint="default"/>
                <w:color w:val="auto"/>
                <w:szCs w:val="21"/>
                <w:highlight w:val="none"/>
              </w:rPr>
            </w:pPr>
            <w:r>
              <w:rPr>
                <w:rStyle w:val="76"/>
                <w:rFonts w:hint="default"/>
                <w:color w:val="auto"/>
                <w:szCs w:val="21"/>
                <w:highlight w:val="none"/>
              </w:rPr>
              <w:t>指向性：单指向性，输出阻抗（欧姆）：75Ω</w:t>
            </w:r>
          </w:p>
          <w:p>
            <w:pPr>
              <w:pStyle w:val="67"/>
              <w:rPr>
                <w:rFonts w:ascii="宋体" w:hAnsi="宋体"/>
                <w:color w:val="auto"/>
                <w:sz w:val="20"/>
                <w:szCs w:val="21"/>
                <w:highlight w:val="none"/>
              </w:rPr>
            </w:pPr>
            <w:r>
              <w:rPr>
                <w:rStyle w:val="76"/>
                <w:rFonts w:hint="default"/>
                <w:color w:val="auto"/>
                <w:szCs w:val="21"/>
                <w:highlight w:val="none"/>
              </w:rPr>
              <w:t>灵敏度：-45dB</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shd w:val="clear" w:color="auto" w:fill="FFFFFF" w:themeFill="background1"/>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51</w:t>
            </w:r>
          </w:p>
        </w:tc>
        <w:tc>
          <w:tcPr>
            <w:tcW w:w="1482" w:type="dxa"/>
            <w:vMerge w:val="continue"/>
            <w:shd w:val="clear" w:color="auto" w:fill="FFFFFF" w:themeFill="background1"/>
            <w:vAlign w:val="center"/>
          </w:tcPr>
          <w:p>
            <w:pPr>
              <w:jc w:val="left"/>
              <w:rPr>
                <w:rFonts w:ascii="宋体" w:hAnsi="宋体" w:cs="宋体"/>
                <w:color w:val="auto"/>
                <w:kern w:val="0"/>
                <w:sz w:val="20"/>
                <w:highlight w:val="none"/>
              </w:rPr>
            </w:pPr>
          </w:p>
        </w:tc>
        <w:tc>
          <w:tcPr>
            <w:tcW w:w="2176" w:type="dxa"/>
            <w:gridSpan w:val="2"/>
            <w:shd w:val="clear" w:color="auto" w:fill="FFFFFF" w:themeFill="background1"/>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8路净化电源时序器</w:t>
            </w:r>
          </w:p>
        </w:tc>
        <w:tc>
          <w:tcPr>
            <w:tcW w:w="4011" w:type="dxa"/>
            <w:vAlign w:val="center"/>
          </w:tcPr>
          <w:p>
            <w:pPr>
              <w:pStyle w:val="67"/>
              <w:rPr>
                <w:rStyle w:val="76"/>
                <w:rFonts w:hint="default"/>
                <w:color w:val="auto"/>
                <w:szCs w:val="21"/>
                <w:highlight w:val="none"/>
              </w:rPr>
            </w:pPr>
            <w:r>
              <w:rPr>
                <w:rStyle w:val="76"/>
                <w:rFonts w:hint="default"/>
                <w:color w:val="auto"/>
                <w:szCs w:val="21"/>
                <w:highlight w:val="none"/>
              </w:rPr>
              <w:t>额定输出电压:交流220V.50Hz-60Hz，大功率线路，满足较大功率用电系统使用。</w:t>
            </w:r>
          </w:p>
          <w:p>
            <w:pPr>
              <w:pStyle w:val="67"/>
              <w:rPr>
                <w:rFonts w:ascii="宋体" w:hAnsi="宋体"/>
                <w:color w:val="auto"/>
                <w:sz w:val="20"/>
                <w:szCs w:val="21"/>
                <w:highlight w:val="none"/>
              </w:rPr>
            </w:pPr>
            <w:r>
              <w:rPr>
                <w:rStyle w:val="76"/>
                <w:rFonts w:hint="default"/>
                <w:color w:val="auto"/>
                <w:szCs w:val="21"/>
                <w:highlight w:val="none"/>
              </w:rPr>
              <w:t>芯片控制,使电路更加稳定可靠。万能插座，适合各种类型插头使用。可控制电源：8路</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52</w:t>
            </w:r>
          </w:p>
        </w:tc>
        <w:tc>
          <w:tcPr>
            <w:tcW w:w="1482" w:type="dxa"/>
            <w:vMerge w:val="continue"/>
            <w:shd w:val="clear" w:color="auto" w:fill="FFFF00"/>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设备机柜</w:t>
            </w:r>
          </w:p>
        </w:tc>
        <w:tc>
          <w:tcPr>
            <w:tcW w:w="4011" w:type="dxa"/>
            <w:vAlign w:val="center"/>
          </w:tcPr>
          <w:p>
            <w:pPr>
              <w:jc w:val="left"/>
              <w:rPr>
                <w:rFonts w:ascii="宋体" w:hAnsi="宋体" w:cs="宋体"/>
                <w:color w:val="auto"/>
                <w:kern w:val="0"/>
                <w:sz w:val="20"/>
                <w:highlight w:val="none"/>
              </w:rPr>
            </w:pPr>
            <w:r>
              <w:rPr>
                <w:rStyle w:val="76"/>
                <w:rFonts w:hint="default"/>
                <w:color w:val="auto"/>
                <w:szCs w:val="21"/>
                <w:highlight w:val="none"/>
              </w:rPr>
              <w:t>钢化机柜，带门带风扇，42U，颜色黑色。</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53</w:t>
            </w:r>
          </w:p>
        </w:tc>
        <w:tc>
          <w:tcPr>
            <w:tcW w:w="1482" w:type="dxa"/>
            <w:vMerge w:val="restart"/>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其他</w:t>
            </w: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短信租赁服务</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一年10万条</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套</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54</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操作员电脑</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英特尔酷睿i</w:t>
            </w:r>
            <w:r>
              <w:rPr>
                <w:rFonts w:hint="eastAsia" w:ascii="宋体" w:hAnsi="宋体" w:cs="宋体"/>
                <w:color w:val="auto"/>
                <w:kern w:val="0"/>
                <w:sz w:val="20"/>
                <w:highlight w:val="none"/>
              </w:rPr>
              <w:t>7 8代CPU</w:t>
            </w:r>
            <w:r>
              <w:rPr>
                <w:rFonts w:ascii="宋体" w:hAnsi="宋体" w:cs="宋体"/>
                <w:color w:val="auto"/>
                <w:kern w:val="0"/>
                <w:sz w:val="20"/>
                <w:highlight w:val="none"/>
              </w:rPr>
              <w:t>商用办公台式电脑整机</w:t>
            </w:r>
            <w:r>
              <w:rPr>
                <w:rFonts w:hint="eastAsia" w:ascii="宋体" w:hAnsi="宋体" w:cs="宋体"/>
                <w:color w:val="auto"/>
                <w:kern w:val="0"/>
                <w:sz w:val="20"/>
                <w:highlight w:val="none"/>
              </w:rPr>
              <w:t>，</w:t>
            </w:r>
            <w:r>
              <w:rPr>
                <w:rFonts w:ascii="宋体" w:hAnsi="宋体" w:cs="宋体"/>
                <w:color w:val="auto"/>
                <w:kern w:val="0"/>
                <w:sz w:val="20"/>
                <w:highlight w:val="none"/>
              </w:rPr>
              <w:t>23英寸微边框</w:t>
            </w:r>
            <w:r>
              <w:rPr>
                <w:rFonts w:hint="eastAsia" w:ascii="宋体" w:hAnsi="宋体" w:cs="宋体"/>
                <w:color w:val="auto"/>
                <w:kern w:val="0"/>
                <w:sz w:val="20"/>
                <w:highlight w:val="none"/>
              </w:rPr>
              <w:t>，</w:t>
            </w:r>
            <w:r>
              <w:rPr>
                <w:rFonts w:ascii="宋体" w:hAnsi="宋体" w:cs="宋体"/>
                <w:color w:val="auto"/>
                <w:kern w:val="0"/>
                <w:sz w:val="20"/>
                <w:highlight w:val="none"/>
              </w:rPr>
              <w:t>双屏显示器</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55</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操作台</w:t>
            </w:r>
          </w:p>
        </w:tc>
        <w:tc>
          <w:tcPr>
            <w:tcW w:w="4011" w:type="dxa"/>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可放置</w:t>
            </w:r>
            <w:r>
              <w:rPr>
                <w:rFonts w:hint="eastAsia" w:ascii="宋体" w:hAnsi="宋体" w:cs="宋体"/>
                <w:color w:val="auto"/>
                <w:kern w:val="0"/>
                <w:sz w:val="20"/>
                <w:highlight w:val="none"/>
              </w:rPr>
              <w:t>4台2</w:t>
            </w:r>
            <w:r>
              <w:rPr>
                <w:rFonts w:ascii="宋体" w:hAnsi="宋体" w:cs="宋体"/>
                <w:color w:val="auto"/>
                <w:kern w:val="0"/>
                <w:sz w:val="20"/>
                <w:highlight w:val="none"/>
              </w:rPr>
              <w:t>3英寸双屏显示器操作员电脑</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排</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r>
              <w:rPr>
                <w:rFonts w:ascii="宋体" w:hAnsi="宋体" w:cs="宋体"/>
                <w:color w:val="auto"/>
                <w:kern w:val="0"/>
                <w:sz w:val="20"/>
                <w:highlight w:val="none"/>
              </w:rPr>
              <w:t>6</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UPS</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UPS电源/高频机/10KVA/2小时延时/AC220V 主机/10KVA/配置1套 电池型；号:NTB/12V65AH/配置16节 定制电池柜1个。</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57</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精密空调</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空调柜机家用220伏4匹变频节能静音商用立柜式KFRd-100LW/52BAC23 白色。</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58</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KVM</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17"LCD KVM切换器；8口；HDB15。</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59</w:t>
            </w:r>
          </w:p>
        </w:tc>
        <w:tc>
          <w:tcPr>
            <w:tcW w:w="1482" w:type="dxa"/>
            <w:vMerge w:val="continue"/>
            <w:vAlign w:val="center"/>
          </w:tcPr>
          <w:p>
            <w:pPr>
              <w:jc w:val="left"/>
              <w:rPr>
                <w:rFonts w:ascii="宋体" w:hAnsi="宋体" w:cs="宋体"/>
                <w:color w:val="auto"/>
                <w:kern w:val="0"/>
                <w:sz w:val="20"/>
                <w:highlight w:val="none"/>
              </w:rPr>
            </w:pPr>
          </w:p>
        </w:tc>
        <w:tc>
          <w:tcPr>
            <w:tcW w:w="2176" w:type="dxa"/>
            <w:gridSpan w:val="2"/>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机柜</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4</w:t>
            </w:r>
            <w:r>
              <w:rPr>
                <w:rFonts w:ascii="宋体" w:hAnsi="宋体" w:cs="宋体"/>
                <w:color w:val="auto"/>
                <w:kern w:val="0"/>
                <w:sz w:val="20"/>
                <w:highlight w:val="none"/>
              </w:rPr>
              <w:t>2U网络机柜</w:t>
            </w:r>
            <w:r>
              <w:rPr>
                <w:rFonts w:hint="eastAsia" w:ascii="宋体" w:hAnsi="宋体" w:cs="宋体"/>
                <w:color w:val="auto"/>
                <w:kern w:val="0"/>
                <w:sz w:val="20"/>
                <w:highlight w:val="none"/>
              </w:rPr>
              <w:t>，</w:t>
            </w:r>
            <w:r>
              <w:rPr>
                <w:rFonts w:ascii="宋体" w:hAnsi="宋体" w:cs="宋体"/>
                <w:color w:val="auto"/>
                <w:kern w:val="0"/>
                <w:sz w:val="20"/>
                <w:highlight w:val="none"/>
              </w:rPr>
              <w:t>颜色黑色</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台</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hint="eastAsia" w:ascii="宋体" w:hAnsi="宋体" w:cs="宋体"/>
                <w:b/>
                <w:bCs/>
                <w:color w:val="auto"/>
                <w:kern w:val="0"/>
                <w:sz w:val="20"/>
                <w:highlight w:val="none"/>
              </w:rPr>
              <w:t>七、项目安装实施</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1</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敏感区域超级站建设</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站房吊装，内部设备安装调试</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2</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有毒有害多气体监测仪安装</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立杆、混凝土基础、供配电、防雷接地工程。</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r>
              <w:rPr>
                <w:rFonts w:ascii="宋体" w:hAnsi="宋体" w:cs="宋体"/>
                <w:color w:val="auto"/>
                <w:kern w:val="0"/>
                <w:sz w:val="20"/>
                <w:highlight w:val="none"/>
              </w:rPr>
              <w:t>6</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3</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高空瞭望视频监控设备安装</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供配电、安装固定、防雷接地工程。</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4</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园区智慧能源采集设备安装</w:t>
            </w:r>
          </w:p>
        </w:tc>
        <w:tc>
          <w:tcPr>
            <w:tcW w:w="4011" w:type="dxa"/>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线缆、表箱、辅材、施工、安装调试。</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0"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5</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园区道路车辆监管平台</w:t>
            </w:r>
          </w:p>
        </w:tc>
        <w:tc>
          <w:tcPr>
            <w:tcW w:w="4011" w:type="dxa"/>
            <w:vAlign w:val="center"/>
          </w:tcPr>
          <w:p>
            <w:pPr>
              <w:rPr>
                <w:rFonts w:ascii="宋体" w:hAnsi="宋体" w:cs="宋体"/>
                <w:color w:val="auto"/>
                <w:kern w:val="0"/>
                <w:sz w:val="20"/>
                <w:highlight w:val="none"/>
              </w:rPr>
            </w:pPr>
            <w:r>
              <w:rPr>
                <w:rFonts w:hint="eastAsia" w:ascii="宋体" w:hAnsi="宋体" w:cs="宋体"/>
                <w:color w:val="auto"/>
                <w:kern w:val="0"/>
                <w:sz w:val="20"/>
                <w:highlight w:val="none"/>
              </w:rPr>
              <w:t>车载定位终端安装、</w:t>
            </w:r>
            <w:r>
              <w:rPr>
                <w:rFonts w:ascii="宋体" w:hAnsi="宋体" w:cs="宋体"/>
                <w:color w:val="auto"/>
                <w:kern w:val="0"/>
                <w:sz w:val="20"/>
                <w:highlight w:val="none"/>
              </w:rPr>
              <w:t>线缆</w:t>
            </w:r>
            <w:r>
              <w:rPr>
                <w:rFonts w:hint="eastAsia" w:ascii="宋体" w:hAnsi="宋体" w:cs="宋体"/>
                <w:color w:val="auto"/>
                <w:kern w:val="0"/>
                <w:sz w:val="20"/>
                <w:highlight w:val="none"/>
              </w:rPr>
              <w:t>、辅材、施工、安装调试。</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80</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6</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危化品车辆停车场监控安装</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机房及监控中心装修：隔断工程，墙面处理，机房装修等配套工作；</w:t>
            </w:r>
            <w:r>
              <w:rPr>
                <w:rFonts w:ascii="宋体" w:hAnsi="宋体" w:cs="宋体"/>
                <w:color w:val="auto"/>
                <w:kern w:val="0"/>
                <w:sz w:val="20"/>
                <w:highlight w:val="none"/>
              </w:rPr>
              <w:t>综合布线</w:t>
            </w:r>
            <w:r>
              <w:rPr>
                <w:rFonts w:hint="eastAsia" w:ascii="宋体" w:hAnsi="宋体" w:cs="宋体"/>
                <w:color w:val="auto"/>
                <w:kern w:val="0"/>
                <w:sz w:val="20"/>
                <w:highlight w:val="none"/>
              </w:rPr>
              <w:t>：网络布线、视频布线、音频布线、供配电布线)。</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7</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园区监控中心建设</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机房及监控中心装修：隔断工程，墙面处理，机房装修等配套工作；</w:t>
            </w:r>
            <w:r>
              <w:rPr>
                <w:rFonts w:ascii="宋体" w:hAnsi="宋体" w:cs="宋体"/>
                <w:color w:val="auto"/>
                <w:kern w:val="0"/>
                <w:sz w:val="20"/>
                <w:highlight w:val="none"/>
              </w:rPr>
              <w:t>综合布线</w:t>
            </w:r>
            <w:r>
              <w:rPr>
                <w:rFonts w:hint="eastAsia" w:ascii="宋体" w:hAnsi="宋体" w:cs="宋体"/>
                <w:color w:val="auto"/>
                <w:kern w:val="0"/>
                <w:sz w:val="20"/>
                <w:highlight w:val="none"/>
              </w:rPr>
              <w:t>：网络布线、视频布线、音频布线、供配电布线)。</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658" w:type="dxa"/>
            <w:gridSpan w:val="3"/>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I</w:t>
            </w:r>
            <w:r>
              <w:rPr>
                <w:rFonts w:ascii="宋体" w:hAnsi="宋体" w:cs="宋体"/>
                <w:color w:val="auto"/>
                <w:kern w:val="0"/>
                <w:sz w:val="20"/>
                <w:highlight w:val="none"/>
              </w:rPr>
              <w:t>T设备系统集成</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新购置的</w:t>
            </w:r>
            <w:r>
              <w:rPr>
                <w:rFonts w:hint="eastAsia" w:ascii="宋体" w:hAnsi="宋体" w:cs="宋体"/>
                <w:color w:val="auto"/>
                <w:kern w:val="0"/>
                <w:sz w:val="20"/>
                <w:highlight w:val="none"/>
              </w:rPr>
              <w:t>I</w:t>
            </w:r>
            <w:r>
              <w:rPr>
                <w:rFonts w:ascii="宋体" w:hAnsi="宋体" w:cs="宋体"/>
                <w:color w:val="auto"/>
                <w:kern w:val="0"/>
                <w:sz w:val="20"/>
                <w:highlight w:val="none"/>
              </w:rPr>
              <w:t>T硬件设备的系统集成服务</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hint="eastAsia" w:ascii="宋体" w:hAnsi="宋体" w:cs="宋体"/>
                <w:b/>
                <w:bCs/>
                <w:color w:val="auto"/>
                <w:kern w:val="0"/>
                <w:sz w:val="20"/>
                <w:highlight w:val="none"/>
              </w:rPr>
              <w:t>八、运维及链路费用</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hint="eastAsia" w:ascii="宋体" w:hAnsi="宋体" w:cs="宋体"/>
                <w:b/>
                <w:bCs/>
                <w:color w:val="auto"/>
                <w:kern w:val="0"/>
                <w:sz w:val="20"/>
                <w:highlight w:val="none"/>
              </w:rPr>
              <w:t>1</w:t>
            </w:r>
            <w:r>
              <w:rPr>
                <w:rFonts w:ascii="宋体" w:hAnsi="宋体" w:cs="宋体"/>
                <w:b/>
                <w:bCs/>
                <w:color w:val="auto"/>
                <w:kern w:val="0"/>
                <w:sz w:val="20"/>
                <w:highlight w:val="none"/>
              </w:rPr>
              <w:t>.</w:t>
            </w:r>
            <w:r>
              <w:rPr>
                <w:rFonts w:hint="eastAsia" w:ascii="宋体" w:hAnsi="宋体" w:cs="宋体"/>
                <w:b/>
                <w:bCs/>
                <w:color w:val="auto"/>
                <w:kern w:val="0"/>
                <w:sz w:val="20"/>
                <w:highlight w:val="none"/>
              </w:rPr>
              <w:t>人员费用</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658" w:type="dxa"/>
            <w:gridSpan w:val="3"/>
            <w:vAlign w:val="center"/>
          </w:tcPr>
          <w:p>
            <w:pPr>
              <w:jc w:val="left"/>
              <w:rPr>
                <w:rFonts w:eastAsiaTheme="majorEastAsia"/>
                <w:color w:val="auto"/>
                <w:kern w:val="0"/>
                <w:sz w:val="20"/>
                <w:highlight w:val="none"/>
              </w:rPr>
            </w:pPr>
            <w:r>
              <w:rPr>
                <w:rFonts w:eastAsiaTheme="majorEastAsia"/>
                <w:color w:val="auto"/>
                <w:kern w:val="0"/>
                <w:sz w:val="20"/>
                <w:highlight w:val="none"/>
              </w:rPr>
              <w:t>人工费</w:t>
            </w:r>
            <w:r>
              <w:rPr>
                <w:rFonts w:hint="eastAsia" w:eastAsiaTheme="majorEastAsia"/>
                <w:color w:val="auto"/>
                <w:kern w:val="0"/>
                <w:sz w:val="20"/>
                <w:highlight w:val="none"/>
              </w:rPr>
              <w:t>（含人员工资、车辆等费用）</w:t>
            </w:r>
          </w:p>
        </w:tc>
        <w:tc>
          <w:tcPr>
            <w:tcW w:w="4011" w:type="dxa"/>
            <w:vAlign w:val="center"/>
          </w:tcPr>
          <w:p>
            <w:pPr>
              <w:jc w:val="left"/>
              <w:rPr>
                <w:rFonts w:eastAsiaTheme="majorEastAsia"/>
                <w:color w:val="auto"/>
                <w:kern w:val="0"/>
                <w:sz w:val="20"/>
                <w:highlight w:val="none"/>
              </w:rPr>
            </w:pPr>
            <w:r>
              <w:rPr>
                <w:rFonts w:hint="eastAsia" w:eastAsiaTheme="majorEastAsia"/>
                <w:color w:val="auto"/>
                <w:kern w:val="0"/>
                <w:sz w:val="20"/>
                <w:highlight w:val="none"/>
              </w:rPr>
              <w:t>4</w:t>
            </w:r>
            <w:r>
              <w:rPr>
                <w:rFonts w:eastAsiaTheme="majorEastAsia"/>
                <w:color w:val="auto"/>
                <w:kern w:val="0"/>
                <w:sz w:val="20"/>
                <w:highlight w:val="none"/>
              </w:rPr>
              <w:t>名专业技术支持工程师驻点服务</w:t>
            </w:r>
            <w:r>
              <w:rPr>
                <w:rFonts w:hint="eastAsia" w:eastAsiaTheme="majorEastAsia"/>
                <w:color w:val="auto"/>
                <w:kern w:val="0"/>
                <w:sz w:val="20"/>
                <w:highlight w:val="none"/>
              </w:rPr>
              <w:t>。</w:t>
            </w:r>
          </w:p>
        </w:tc>
        <w:tc>
          <w:tcPr>
            <w:tcW w:w="595" w:type="dxa"/>
            <w:vAlign w:val="center"/>
          </w:tcPr>
          <w:p>
            <w:pPr>
              <w:jc w:val="center"/>
              <w:rPr>
                <w:rFonts w:eastAsiaTheme="majorEastAsia"/>
                <w:color w:val="auto"/>
                <w:kern w:val="0"/>
                <w:sz w:val="20"/>
                <w:highlight w:val="none"/>
              </w:rPr>
            </w:pPr>
            <w:r>
              <w:rPr>
                <w:rFonts w:eastAsiaTheme="majorEastAsia"/>
                <w:color w:val="auto"/>
                <w:kern w:val="0"/>
                <w:sz w:val="20"/>
                <w:highlight w:val="none"/>
              </w:rPr>
              <w:t>年</w:t>
            </w:r>
          </w:p>
        </w:tc>
        <w:tc>
          <w:tcPr>
            <w:tcW w:w="606" w:type="dxa"/>
            <w:vAlign w:val="center"/>
          </w:tcPr>
          <w:p>
            <w:pPr>
              <w:jc w:val="center"/>
              <w:rPr>
                <w:rFonts w:eastAsiaTheme="majorEastAsia"/>
                <w:color w:val="auto"/>
                <w:kern w:val="0"/>
                <w:sz w:val="20"/>
                <w:highlight w:val="none"/>
              </w:rPr>
            </w:pPr>
            <w:r>
              <w:rPr>
                <w:rFonts w:hint="eastAsia" w:eastAsiaTheme="majorEastAsia"/>
                <w:color w:val="auto"/>
                <w:kern w:val="0"/>
                <w:sz w:val="20"/>
                <w:highlight w:val="none"/>
              </w:rPr>
              <w:t>1</w:t>
            </w:r>
          </w:p>
        </w:tc>
        <w:tc>
          <w:tcPr>
            <w:tcW w:w="308" w:type="dxa"/>
          </w:tcPr>
          <w:p>
            <w:pPr>
              <w:jc w:val="center"/>
              <w:rPr>
                <w:rFonts w:eastAsiaTheme="majorEastAsia"/>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ascii="宋体" w:hAnsi="宋体" w:cs="宋体"/>
                <w:b/>
                <w:bCs/>
                <w:color w:val="auto"/>
                <w:kern w:val="0"/>
                <w:sz w:val="20"/>
                <w:highlight w:val="none"/>
              </w:rPr>
              <w:t>2.</w:t>
            </w:r>
            <w:r>
              <w:rPr>
                <w:rFonts w:hint="eastAsia" w:ascii="宋体" w:hAnsi="宋体" w:cs="宋体"/>
                <w:b/>
                <w:bCs/>
                <w:color w:val="auto"/>
                <w:kern w:val="0"/>
                <w:sz w:val="20"/>
                <w:highlight w:val="none"/>
              </w:rPr>
              <w:t>数据传输通讯费</w:t>
            </w:r>
          </w:p>
        </w:tc>
        <w:tc>
          <w:tcPr>
            <w:tcW w:w="606" w:type="dxa"/>
          </w:tcPr>
          <w:p>
            <w:pPr>
              <w:jc w:val="left"/>
              <w:rPr>
                <w:rFonts w:ascii="宋体" w:hAnsi="宋体" w:cs="宋体"/>
                <w:b/>
                <w:bCs/>
                <w:color w:val="auto"/>
                <w:kern w:val="0"/>
                <w:sz w:val="20"/>
                <w:highlight w:val="none"/>
              </w:rPr>
            </w:pPr>
          </w:p>
        </w:tc>
        <w:tc>
          <w:tcPr>
            <w:tcW w:w="308" w:type="dxa"/>
          </w:tcPr>
          <w:p>
            <w:pPr>
              <w:jc w:val="left"/>
              <w:rPr>
                <w:rFonts w:ascii="宋体" w:hAnsi="宋体" w:cs="宋体"/>
                <w:b/>
                <w:bCs/>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658" w:type="dxa"/>
            <w:gridSpan w:val="3"/>
            <w:vAlign w:val="center"/>
          </w:tcPr>
          <w:p>
            <w:pPr>
              <w:jc w:val="left"/>
              <w:rPr>
                <w:rFonts w:ascii="宋体" w:hAnsi="宋体" w:cs="宋体"/>
                <w:color w:val="auto"/>
                <w:kern w:val="0"/>
                <w:sz w:val="20"/>
                <w:highlight w:val="none"/>
              </w:rPr>
            </w:pPr>
            <w:r>
              <w:rPr>
                <w:rFonts w:ascii="宋体" w:hAnsi="宋体" w:cs="宋体"/>
                <w:color w:val="auto"/>
                <w:kern w:val="0"/>
                <w:sz w:val="20"/>
                <w:highlight w:val="none"/>
              </w:rPr>
              <w:t>企业至园区数据采集链路</w:t>
            </w:r>
            <w:r>
              <w:rPr>
                <w:rFonts w:hint="eastAsia" w:ascii="宋体" w:hAnsi="宋体" w:cs="宋体"/>
                <w:color w:val="auto"/>
                <w:kern w:val="0"/>
                <w:sz w:val="20"/>
                <w:highlight w:val="none"/>
              </w:rPr>
              <w:t>（每年）</w:t>
            </w:r>
          </w:p>
        </w:tc>
        <w:tc>
          <w:tcPr>
            <w:tcW w:w="4011" w:type="dxa"/>
            <w:vAlign w:val="bottom"/>
          </w:tcPr>
          <w:p>
            <w:pPr>
              <w:jc w:val="left"/>
              <w:rPr>
                <w:rFonts w:ascii="宋体" w:hAnsi="宋体" w:cs="宋体" w:eastAsiaTheme="majorEastAsia"/>
                <w:color w:val="auto"/>
                <w:kern w:val="0"/>
                <w:sz w:val="20"/>
                <w:highlight w:val="none"/>
              </w:rPr>
            </w:pPr>
            <w:r>
              <w:rPr>
                <w:rFonts w:eastAsiaTheme="majorEastAsia"/>
                <w:color w:val="auto"/>
                <w:kern w:val="0"/>
                <w:sz w:val="20"/>
                <w:highlight w:val="none"/>
              </w:rPr>
              <w:t>原有网络扩容（10M，供园区新增环保、安监、能源等数据传输）</w:t>
            </w:r>
            <w:r>
              <w:rPr>
                <w:rFonts w:hint="eastAsia" w:eastAsiaTheme="majorEastAsia"/>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家</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8</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p>
        </w:tc>
        <w:tc>
          <w:tcPr>
            <w:tcW w:w="3658" w:type="dxa"/>
            <w:gridSpan w:val="3"/>
            <w:vAlign w:val="center"/>
          </w:tcPr>
          <w:p>
            <w:pPr>
              <w:jc w:val="left"/>
              <w:rPr>
                <w:rFonts w:ascii="宋体" w:hAnsi="宋体" w:cs="宋体"/>
                <w:color w:val="auto"/>
                <w:kern w:val="0"/>
                <w:sz w:val="20"/>
                <w:highlight w:val="none"/>
              </w:rPr>
            </w:pPr>
            <w:r>
              <w:rPr>
                <w:rFonts w:eastAsiaTheme="majorEastAsia"/>
                <w:color w:val="auto"/>
                <w:kern w:val="0"/>
                <w:sz w:val="20"/>
                <w:highlight w:val="none"/>
              </w:rPr>
              <w:t>厂界预警在线监测系统链路</w:t>
            </w:r>
            <w:r>
              <w:rPr>
                <w:rFonts w:hint="eastAsia" w:eastAsiaTheme="majorEastAsia"/>
                <w:color w:val="auto"/>
                <w:kern w:val="0"/>
                <w:sz w:val="20"/>
                <w:highlight w:val="none"/>
              </w:rPr>
              <w:t>（每年）</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2G/3G/4G运营商无线传输</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2</w:t>
            </w:r>
            <w:r>
              <w:rPr>
                <w:rFonts w:ascii="宋体" w:hAnsi="宋体" w:cs="宋体"/>
                <w:color w:val="auto"/>
                <w:kern w:val="0"/>
                <w:sz w:val="20"/>
                <w:highlight w:val="none"/>
              </w:rPr>
              <w:t>6</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3</w:t>
            </w:r>
          </w:p>
        </w:tc>
        <w:tc>
          <w:tcPr>
            <w:tcW w:w="3658" w:type="dxa"/>
            <w:gridSpan w:val="3"/>
            <w:vAlign w:val="center"/>
          </w:tcPr>
          <w:p>
            <w:pPr>
              <w:jc w:val="left"/>
              <w:rPr>
                <w:rFonts w:ascii="宋体" w:hAnsi="宋体" w:cs="宋体"/>
                <w:color w:val="auto"/>
                <w:kern w:val="0"/>
                <w:sz w:val="20"/>
                <w:highlight w:val="none"/>
              </w:rPr>
            </w:pPr>
            <w:r>
              <w:rPr>
                <w:rFonts w:eastAsiaTheme="majorEastAsia"/>
                <w:color w:val="auto"/>
                <w:kern w:val="0"/>
                <w:sz w:val="20"/>
                <w:highlight w:val="none"/>
              </w:rPr>
              <w:t>敏感区空气质量监控超级站链路</w:t>
            </w:r>
            <w:r>
              <w:rPr>
                <w:rFonts w:hint="eastAsia" w:eastAsiaTheme="majorEastAsia"/>
                <w:color w:val="auto"/>
                <w:kern w:val="0"/>
                <w:sz w:val="20"/>
                <w:highlight w:val="none"/>
              </w:rPr>
              <w:t>（每年）</w:t>
            </w:r>
          </w:p>
        </w:tc>
        <w:tc>
          <w:tcPr>
            <w:tcW w:w="4011" w:type="dxa"/>
            <w:vAlign w:val="bottom"/>
          </w:tcPr>
          <w:p>
            <w:pPr>
              <w:jc w:val="left"/>
              <w:rPr>
                <w:rFonts w:ascii="宋体" w:hAnsi="宋体" w:cs="宋体"/>
                <w:color w:val="auto"/>
                <w:kern w:val="0"/>
                <w:sz w:val="20"/>
                <w:highlight w:val="none"/>
              </w:rPr>
            </w:pPr>
            <w:r>
              <w:rPr>
                <w:rFonts w:hint="eastAsia" w:ascii="宋体" w:hAnsi="宋体" w:cs="宋体"/>
                <w:color w:val="auto"/>
                <w:kern w:val="0"/>
                <w:sz w:val="20"/>
                <w:highlight w:val="none"/>
              </w:rPr>
              <w:t>1</w:t>
            </w:r>
            <w:r>
              <w:rPr>
                <w:rFonts w:ascii="宋体" w:hAnsi="宋体" w:cs="宋体"/>
                <w:color w:val="auto"/>
                <w:kern w:val="0"/>
                <w:sz w:val="20"/>
                <w:highlight w:val="none"/>
              </w:rPr>
              <w:t>0M光纤接入</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4</w:t>
            </w:r>
          </w:p>
        </w:tc>
        <w:tc>
          <w:tcPr>
            <w:tcW w:w="3658" w:type="dxa"/>
            <w:gridSpan w:val="3"/>
            <w:vAlign w:val="center"/>
          </w:tcPr>
          <w:p>
            <w:pPr>
              <w:jc w:val="left"/>
              <w:rPr>
                <w:rFonts w:ascii="宋体" w:hAnsi="宋体" w:cs="宋体"/>
                <w:color w:val="auto"/>
                <w:kern w:val="0"/>
                <w:sz w:val="20"/>
                <w:highlight w:val="none"/>
              </w:rPr>
            </w:pPr>
            <w:r>
              <w:rPr>
                <w:rFonts w:eastAsiaTheme="majorEastAsia"/>
                <w:color w:val="auto"/>
                <w:kern w:val="0"/>
                <w:sz w:val="20"/>
                <w:highlight w:val="none"/>
              </w:rPr>
              <w:t>高空瞭望链路</w:t>
            </w:r>
            <w:r>
              <w:rPr>
                <w:rFonts w:hint="eastAsia" w:eastAsiaTheme="majorEastAsia"/>
                <w:color w:val="auto"/>
                <w:kern w:val="0"/>
                <w:sz w:val="20"/>
                <w:highlight w:val="none"/>
              </w:rPr>
              <w:t>（每年）</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10M光纤接入</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ascii="宋体" w:hAnsi="宋体" w:cs="宋体"/>
                <w:color w:val="auto"/>
                <w:kern w:val="0"/>
                <w:sz w:val="20"/>
                <w:highlight w:val="none"/>
              </w:rPr>
              <w:t>2</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5</w:t>
            </w:r>
          </w:p>
        </w:tc>
        <w:tc>
          <w:tcPr>
            <w:tcW w:w="3658" w:type="dxa"/>
            <w:gridSpan w:val="3"/>
            <w:vAlign w:val="center"/>
          </w:tcPr>
          <w:p>
            <w:pPr>
              <w:jc w:val="left"/>
              <w:rPr>
                <w:rFonts w:ascii="宋体" w:hAnsi="宋体" w:cs="宋体"/>
                <w:color w:val="auto"/>
                <w:kern w:val="0"/>
                <w:sz w:val="20"/>
                <w:highlight w:val="none"/>
              </w:rPr>
            </w:pPr>
            <w:r>
              <w:rPr>
                <w:rFonts w:eastAsiaTheme="majorEastAsia"/>
                <w:color w:val="auto"/>
                <w:kern w:val="0"/>
                <w:sz w:val="20"/>
                <w:highlight w:val="none"/>
              </w:rPr>
              <w:t>中心端链路</w:t>
            </w:r>
            <w:r>
              <w:rPr>
                <w:rFonts w:hint="eastAsia" w:eastAsiaTheme="majorEastAsia"/>
                <w:color w:val="auto"/>
                <w:kern w:val="0"/>
                <w:sz w:val="20"/>
                <w:highlight w:val="none"/>
              </w:rPr>
              <w:t>（每年）</w:t>
            </w:r>
          </w:p>
        </w:tc>
        <w:tc>
          <w:tcPr>
            <w:tcW w:w="4011" w:type="dxa"/>
            <w:vAlign w:val="bottom"/>
          </w:tcPr>
          <w:p>
            <w:pPr>
              <w:jc w:val="left"/>
              <w:rPr>
                <w:rFonts w:ascii="宋体" w:hAnsi="宋体" w:cs="宋体"/>
                <w:color w:val="auto"/>
                <w:kern w:val="0"/>
                <w:sz w:val="20"/>
                <w:highlight w:val="none"/>
              </w:rPr>
            </w:pPr>
            <w:r>
              <w:rPr>
                <w:rFonts w:ascii="宋体" w:hAnsi="宋体" w:cs="宋体"/>
                <w:color w:val="auto"/>
                <w:kern w:val="0"/>
                <w:sz w:val="20"/>
                <w:highlight w:val="none"/>
              </w:rPr>
              <w:t>100M光纤接入</w:t>
            </w:r>
            <w:r>
              <w:rPr>
                <w:rFonts w:hint="eastAsia" w:ascii="宋体" w:hAnsi="宋体" w:cs="宋体"/>
                <w:color w:val="auto"/>
                <w:kern w:val="0"/>
                <w:sz w:val="20"/>
                <w:highlight w:val="none"/>
              </w:rPr>
              <w:t>。</w:t>
            </w:r>
          </w:p>
        </w:tc>
        <w:tc>
          <w:tcPr>
            <w:tcW w:w="595"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项</w:t>
            </w:r>
          </w:p>
        </w:tc>
        <w:tc>
          <w:tcPr>
            <w:tcW w:w="606" w:type="dxa"/>
            <w:vAlign w:val="center"/>
          </w:tcPr>
          <w:p>
            <w:pPr>
              <w:jc w:val="center"/>
              <w:rPr>
                <w:rFonts w:ascii="宋体" w:hAnsi="宋体" w:cs="宋体"/>
                <w:color w:val="auto"/>
                <w:kern w:val="0"/>
                <w:sz w:val="20"/>
                <w:highlight w:val="none"/>
              </w:rPr>
            </w:pPr>
            <w:r>
              <w:rPr>
                <w:rFonts w:hint="eastAsia" w:ascii="宋体" w:hAnsi="宋体" w:cs="宋体"/>
                <w:color w:val="auto"/>
                <w:kern w:val="0"/>
                <w:sz w:val="20"/>
                <w:highlight w:val="none"/>
              </w:rPr>
              <w:t>1</w:t>
            </w:r>
          </w:p>
        </w:tc>
        <w:tc>
          <w:tcPr>
            <w:tcW w:w="308" w:type="dxa"/>
          </w:tcPr>
          <w:p>
            <w:pPr>
              <w:jc w:val="center"/>
              <w:rPr>
                <w:rFonts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6"/>
            <w:vAlign w:val="center"/>
          </w:tcPr>
          <w:p>
            <w:pPr>
              <w:jc w:val="left"/>
              <w:rPr>
                <w:rFonts w:ascii="宋体" w:hAnsi="宋体" w:cs="宋体"/>
                <w:color w:val="auto"/>
                <w:kern w:val="0"/>
                <w:sz w:val="20"/>
                <w:highlight w:val="none"/>
              </w:rPr>
            </w:pPr>
            <w:r>
              <w:rPr>
                <w:rFonts w:hint="eastAsia" w:ascii="宋体" w:hAnsi="宋体" w:cs="宋体"/>
                <w:color w:val="auto"/>
                <w:kern w:val="0"/>
                <w:sz w:val="20"/>
                <w:highlight w:val="none"/>
              </w:rPr>
              <w:t>注：标“Δ”表示此设备或系统为核心产品。</w:t>
            </w:r>
          </w:p>
        </w:tc>
        <w:tc>
          <w:tcPr>
            <w:tcW w:w="606" w:type="dxa"/>
          </w:tcPr>
          <w:p>
            <w:pPr>
              <w:jc w:val="left"/>
              <w:rPr>
                <w:rFonts w:ascii="宋体" w:hAnsi="宋体" w:cs="宋体"/>
                <w:color w:val="auto"/>
                <w:kern w:val="0"/>
                <w:sz w:val="20"/>
                <w:highlight w:val="none"/>
              </w:rPr>
            </w:pPr>
          </w:p>
        </w:tc>
        <w:tc>
          <w:tcPr>
            <w:tcW w:w="308" w:type="dxa"/>
          </w:tcPr>
          <w:p>
            <w:pPr>
              <w:jc w:val="left"/>
              <w:rPr>
                <w:rFonts w:ascii="宋体" w:hAnsi="宋体" w:cs="宋体"/>
                <w:color w:val="auto"/>
                <w:kern w:val="0"/>
                <w:sz w:val="20"/>
                <w:highlight w:val="none"/>
              </w:rPr>
            </w:pPr>
          </w:p>
        </w:tc>
      </w:tr>
    </w:tbl>
    <w:p>
      <w:pPr>
        <w:numPr>
          <w:ilvl w:val="0"/>
          <w:numId w:val="3"/>
        </w:numPr>
        <w:spacing w:line="360" w:lineRule="auto"/>
        <w:ind w:right="57"/>
        <w:rPr>
          <w:rFonts w:ascii="宋体" w:hAnsi="宋体" w:cs="宋体"/>
          <w:color w:val="auto"/>
          <w:sz w:val="24"/>
          <w:szCs w:val="24"/>
          <w:highlight w:val="none"/>
        </w:rPr>
      </w:pPr>
      <w:r>
        <w:rPr>
          <w:rFonts w:hint="eastAsia" w:ascii="宋体" w:hAnsi="宋体" w:cs="宋体"/>
          <w:color w:val="auto"/>
          <w:sz w:val="24"/>
          <w:szCs w:val="24"/>
          <w:highlight w:val="none"/>
        </w:rPr>
        <w:t>技术要求如下：</w:t>
      </w:r>
    </w:p>
    <w:p>
      <w:pPr>
        <w:spacing w:line="360" w:lineRule="auto"/>
        <w:ind w:right="57"/>
        <w:rPr>
          <w:rFonts w:ascii="宋体" w:hAnsi="宋体" w:cs="宋体"/>
          <w:color w:val="auto"/>
          <w:sz w:val="24"/>
          <w:szCs w:val="24"/>
          <w:highlight w:val="none"/>
        </w:rPr>
      </w:pPr>
      <w:r>
        <w:rPr>
          <w:rFonts w:hint="eastAsia" w:ascii="宋体" w:hAnsi="宋体" w:cs="宋体"/>
          <w:color w:val="auto"/>
          <w:kern w:val="0"/>
          <w:sz w:val="20"/>
          <w:highlight w:val="none"/>
        </w:rPr>
        <w:t xml:space="preserve">  </w:t>
      </w:r>
      <w:r>
        <w:rPr>
          <w:rFonts w:hint="eastAsia" w:ascii="宋体" w:hAnsi="宋体"/>
          <w:color w:val="auto"/>
          <w:sz w:val="21"/>
          <w:szCs w:val="21"/>
          <w:highlight w:val="none"/>
        </w:rPr>
        <w:t xml:space="preserve">  标“*”表示为主要技术参数。</w:t>
      </w:r>
    </w:p>
    <w:p>
      <w:pPr>
        <w:pStyle w:val="2"/>
        <w:rPr>
          <w:color w:val="auto"/>
          <w:highlight w:val="none"/>
        </w:rPr>
      </w:pPr>
      <w:r>
        <w:rPr>
          <w:rFonts w:hint="eastAsia"/>
          <w:color w:val="auto"/>
          <w:highlight w:val="none"/>
        </w:rPr>
        <w:t>环保监管</w:t>
      </w:r>
    </w:p>
    <w:p>
      <w:pPr>
        <w:pStyle w:val="3"/>
        <w:rPr>
          <w:color w:val="auto"/>
          <w:highlight w:val="none"/>
        </w:rPr>
      </w:pPr>
      <w:r>
        <w:rPr>
          <w:rFonts w:hint="eastAsia"/>
          <w:color w:val="auto"/>
          <w:highlight w:val="none"/>
        </w:rPr>
        <w:t>园区环境污染监控网</w:t>
      </w:r>
    </w:p>
    <w:p>
      <w:pPr>
        <w:pStyle w:val="4"/>
        <w:rPr>
          <w:color w:val="auto"/>
          <w:highlight w:val="none"/>
        </w:rPr>
      </w:pPr>
      <w:r>
        <w:rPr>
          <w:rFonts w:hint="eastAsia"/>
          <w:color w:val="auto"/>
          <w:highlight w:val="none"/>
        </w:rPr>
        <w:t>厂界有毒有害气体监测预警系统</w:t>
      </w:r>
    </w:p>
    <w:p>
      <w:pPr>
        <w:pStyle w:val="5"/>
        <w:rPr>
          <w:color w:val="auto"/>
          <w:highlight w:val="none"/>
        </w:rPr>
      </w:pPr>
      <w:r>
        <w:rPr>
          <w:rFonts w:hint="eastAsia"/>
          <w:color w:val="auto"/>
          <w:highlight w:val="none"/>
        </w:rPr>
        <w:t>有毒有害多气体监测仪</w:t>
      </w:r>
    </w:p>
    <w:p>
      <w:pPr>
        <w:pStyle w:val="6"/>
        <w:rPr>
          <w:color w:val="auto"/>
          <w:highlight w:val="none"/>
        </w:rPr>
      </w:pPr>
      <w:r>
        <w:rPr>
          <w:rFonts w:hint="eastAsia"/>
          <w:color w:val="auto"/>
          <w:highlight w:val="none"/>
        </w:rPr>
        <w:t>有毒有害多气体监测仪主机</w:t>
      </w:r>
    </w:p>
    <w:p>
      <w:pPr>
        <w:pStyle w:val="64"/>
        <w:numPr>
          <w:ilvl w:val="0"/>
          <w:numId w:val="4"/>
        </w:numPr>
        <w:ind w:firstLineChars="0"/>
        <w:rPr>
          <w:rFonts w:ascii="宋体" w:hAnsi="宋体"/>
          <w:b/>
          <w:bCs/>
          <w:color w:val="auto"/>
          <w:sz w:val="24"/>
          <w:szCs w:val="18"/>
          <w:highlight w:val="none"/>
        </w:rPr>
      </w:pPr>
      <w:r>
        <w:rPr>
          <w:rFonts w:hint="eastAsia" w:ascii="宋体" w:hAnsi="宋体"/>
          <w:b/>
          <w:bCs/>
          <w:color w:val="auto"/>
          <w:highlight w:val="none"/>
        </w:rPr>
        <w:t>性能要求</w:t>
      </w:r>
      <w:r>
        <w:rPr>
          <w:rFonts w:ascii="宋体" w:hAnsi="宋体"/>
          <w:b/>
          <w:bCs/>
          <w:color w:val="auto"/>
          <w:sz w:val="24"/>
          <w:szCs w:val="18"/>
          <w:highlight w:val="none"/>
        </w:rPr>
        <w:t xml:space="preserve"> </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12"/>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bookmarkStart w:id="16" w:name="_Toc483696102"/>
            <w:r>
              <w:rPr>
                <w:rFonts w:hint="eastAsia" w:ascii="宋体" w:hAnsi="宋体"/>
                <w:b/>
                <w:bCs/>
                <w:color w:val="auto"/>
                <w:sz w:val="21"/>
                <w:szCs w:val="21"/>
                <w:highlight w:val="none"/>
              </w:rPr>
              <w:t>序号</w:t>
            </w:r>
            <w:bookmarkEnd w:id="16"/>
          </w:p>
        </w:tc>
        <w:tc>
          <w:tcPr>
            <w:tcW w:w="1512"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气体探测器</w:t>
            </w:r>
          </w:p>
        </w:tc>
        <w:tc>
          <w:tcPr>
            <w:tcW w:w="7323"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类别</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采用数字式气体探测器，具有对气体探测器自动识别的能力，可灵活变更检测因子，同时传感器支持热插拔，维护简便快捷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检测原理</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支持多种检测原理（ECD、PID等），适用于有毒有害(H2S、</w:t>
            </w:r>
            <w:r>
              <w:rPr>
                <w:rFonts w:ascii="宋体" w:hAnsi="宋体"/>
                <w:color w:val="auto"/>
                <w:sz w:val="21"/>
                <w:szCs w:val="21"/>
                <w:highlight w:val="none"/>
              </w:rPr>
              <w:t>NH3</w:t>
            </w:r>
            <w:r>
              <w:rPr>
                <w:rFonts w:hint="eastAsia" w:ascii="宋体" w:hAnsi="宋体"/>
                <w:color w:val="auto"/>
                <w:sz w:val="21"/>
                <w:szCs w:val="21"/>
                <w:highlight w:val="none"/>
              </w:rPr>
              <w:t>、H</w:t>
            </w:r>
            <w:r>
              <w:rPr>
                <w:rFonts w:ascii="宋体" w:hAnsi="宋体"/>
                <w:color w:val="auto"/>
                <w:sz w:val="21"/>
                <w:szCs w:val="21"/>
                <w:highlight w:val="none"/>
              </w:rPr>
              <w:t>CL</w:t>
            </w:r>
            <w:r>
              <w:rPr>
                <w:rFonts w:hint="eastAsia" w:ascii="宋体" w:hAnsi="宋体"/>
                <w:color w:val="auto"/>
                <w:sz w:val="21"/>
                <w:szCs w:val="21"/>
                <w:highlight w:val="none"/>
              </w:rPr>
              <w:t>、C</w:t>
            </w:r>
            <w:r>
              <w:rPr>
                <w:rFonts w:ascii="宋体" w:hAnsi="宋体"/>
                <w:color w:val="auto"/>
                <w:sz w:val="21"/>
                <w:szCs w:val="21"/>
                <w:highlight w:val="none"/>
              </w:rPr>
              <w:t>L2</w:t>
            </w:r>
            <w:r>
              <w:rPr>
                <w:rFonts w:hint="eastAsia" w:ascii="宋体" w:hAnsi="宋体"/>
                <w:color w:val="auto"/>
                <w:sz w:val="21"/>
                <w:szCs w:val="21"/>
                <w:highlight w:val="none"/>
              </w:rPr>
              <w:t>)及VOC的无组织排放源的在线监测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微型隔膜泵</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磁力式，供电电压24VDC，真空度450mbar， EPDM膜片，工作寿命不小于2万小时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传感器</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采用精细过滤、恒流采样及自动清洗等预处理技术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温度</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整机具备温度自动调节功能，低温自动开启箱体防爆电伴热模块，高温自动启动风扇进行降温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气口</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设备检测气体管路分为常规样气和高湿样气两路进气口，可根据样气的湿度情况自动切换检测气路，保障传感器的有效运行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防水防雷</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监测仪采用防水、防雷设计技术，电路检测单元采用隔爆箱体设计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8</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响应时间</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要求VOCs气体的响应时间不得大于20s，H2S气体的响应时间不得大于30s。（提供市级及市级以上质量技术监督检测机构出具的检测报告）</w:t>
            </w:r>
          </w:p>
        </w:tc>
      </w:tr>
    </w:tbl>
    <w:p>
      <w:pPr>
        <w:ind w:firstLine="482"/>
        <w:rPr>
          <w:rFonts w:ascii="宋体" w:hAnsi="宋体"/>
          <w:b/>
          <w:bCs/>
          <w:color w:val="auto"/>
          <w:szCs w:val="28"/>
          <w:highlight w:val="none"/>
        </w:rPr>
      </w:pPr>
      <w:r>
        <w:rPr>
          <w:rFonts w:hint="eastAsia" w:ascii="宋体" w:hAnsi="宋体"/>
          <w:b/>
          <w:bCs/>
          <w:color w:val="auto"/>
          <w:highlight w:val="none"/>
        </w:rPr>
        <w:t>2、技术指标</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170"/>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highlight w:val="none"/>
              </w:rPr>
            </w:pPr>
            <w:r>
              <w:rPr>
                <w:rFonts w:hint="eastAsia" w:ascii="宋体" w:hAnsi="宋体"/>
                <w:b/>
                <w:bCs/>
                <w:color w:val="auto"/>
                <w:sz w:val="21"/>
                <w:szCs w:val="21"/>
                <w:highlight w:val="none"/>
              </w:rPr>
              <w:t>序号</w:t>
            </w:r>
          </w:p>
        </w:tc>
        <w:tc>
          <w:tcPr>
            <w:tcW w:w="217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技术指标</w:t>
            </w:r>
          </w:p>
        </w:tc>
        <w:tc>
          <w:tcPr>
            <w:tcW w:w="6303"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规格指标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测量气体</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可测量H2S、</w:t>
            </w:r>
            <w:r>
              <w:rPr>
                <w:rFonts w:ascii="宋体" w:hAnsi="宋体"/>
                <w:color w:val="auto"/>
                <w:sz w:val="21"/>
                <w:szCs w:val="21"/>
                <w:highlight w:val="none"/>
              </w:rPr>
              <w:t>NH3</w:t>
            </w:r>
            <w:r>
              <w:rPr>
                <w:rFonts w:hint="eastAsia" w:ascii="宋体" w:hAnsi="宋体"/>
                <w:color w:val="auto"/>
                <w:sz w:val="21"/>
                <w:szCs w:val="21"/>
                <w:highlight w:val="none"/>
              </w:rPr>
              <w:t>、H</w:t>
            </w:r>
            <w:r>
              <w:rPr>
                <w:rFonts w:ascii="宋体" w:hAnsi="宋体"/>
                <w:color w:val="auto"/>
                <w:sz w:val="21"/>
                <w:szCs w:val="21"/>
                <w:highlight w:val="none"/>
              </w:rPr>
              <w:t>CL</w:t>
            </w:r>
            <w:r>
              <w:rPr>
                <w:rFonts w:hint="eastAsia" w:ascii="宋体" w:hAnsi="宋体"/>
                <w:color w:val="auto"/>
                <w:sz w:val="21"/>
                <w:szCs w:val="21"/>
                <w:highlight w:val="none"/>
              </w:rPr>
              <w:t>、C</w:t>
            </w:r>
            <w:r>
              <w:rPr>
                <w:rFonts w:ascii="宋体" w:hAnsi="宋体"/>
                <w:color w:val="auto"/>
                <w:sz w:val="21"/>
                <w:szCs w:val="21"/>
                <w:highlight w:val="none"/>
              </w:rPr>
              <w:t>L2</w:t>
            </w:r>
            <w:r>
              <w:rPr>
                <w:rFonts w:hint="eastAsia" w:ascii="宋体" w:hAnsi="宋体"/>
                <w:color w:val="auto"/>
                <w:sz w:val="21"/>
                <w:szCs w:val="21"/>
                <w:highlight w:val="none"/>
              </w:rPr>
              <w: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测量原理</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传感器法（电化学ECD、光离子PID等）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采样方式</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泵吸式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除湿方式</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热电制冷除湿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工作电源</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220VAC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功耗</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人机界面</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LCD显示屏、磁按键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输出接口</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4路(4～20) mA、1路RS485、1路GPRS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工作温度</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3</w:t>
            </w:r>
            <w:r>
              <w:rPr>
                <w:rFonts w:hint="eastAsia" w:ascii="宋体" w:hAnsi="宋体"/>
                <w:color w:val="auto"/>
                <w:sz w:val="21"/>
                <w:szCs w:val="21"/>
                <w:highlight w:val="none"/>
              </w:rPr>
              <w:t>0～5</w:t>
            </w:r>
            <w:r>
              <w:rPr>
                <w:rFonts w:ascii="宋体" w:hAnsi="宋体"/>
                <w:color w:val="auto"/>
                <w:sz w:val="21"/>
                <w:szCs w:val="21"/>
                <w:highlight w:val="none"/>
              </w:rPr>
              <w:t>5</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防护等级</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 xml:space="preserve">IP55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安装方式</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壁挂或者立杆安装</w:t>
            </w:r>
          </w:p>
        </w:tc>
      </w:tr>
    </w:tbl>
    <w:p>
      <w:pPr>
        <w:pStyle w:val="6"/>
        <w:rPr>
          <w:color w:val="auto"/>
          <w:highlight w:val="none"/>
        </w:rPr>
      </w:pPr>
      <w:r>
        <w:rPr>
          <w:rFonts w:hint="eastAsia"/>
          <w:color w:val="auto"/>
          <w:highlight w:val="none"/>
        </w:rPr>
        <w:t>有毒有害多气体监测仪传感器</w:t>
      </w:r>
    </w:p>
    <w:p>
      <w:pPr>
        <w:ind w:firstLine="482"/>
        <w:rPr>
          <w:rFonts w:ascii="宋体" w:hAnsi="宋体"/>
          <w:b/>
          <w:bCs/>
          <w:color w:val="auto"/>
          <w:szCs w:val="28"/>
          <w:highlight w:val="none"/>
        </w:rPr>
      </w:pPr>
      <w:r>
        <w:rPr>
          <w:rFonts w:hint="eastAsia" w:ascii="宋体" w:hAnsi="宋体"/>
          <w:b/>
          <w:bCs/>
          <w:color w:val="auto"/>
          <w:highlight w:val="none"/>
        </w:rPr>
        <w:t>3、气体探测器检测性能</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549"/>
        <w:gridCol w:w="1928"/>
        <w:gridCol w:w="2086"/>
        <w:gridCol w:w="1597"/>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highlight w:val="none"/>
              </w:rPr>
            </w:pPr>
            <w:r>
              <w:rPr>
                <w:rFonts w:hint="eastAsia" w:ascii="宋体" w:hAnsi="宋体"/>
                <w:b/>
                <w:bCs/>
                <w:color w:val="auto"/>
                <w:sz w:val="21"/>
                <w:szCs w:val="21"/>
                <w:highlight w:val="none"/>
              </w:rPr>
              <w:t>序号</w:t>
            </w:r>
          </w:p>
        </w:tc>
        <w:tc>
          <w:tcPr>
            <w:tcW w:w="1549" w:type="dxa"/>
            <w:tcBorders>
              <w:top w:val="single" w:color="auto" w:sz="4" w:space="0"/>
              <w:left w:val="nil"/>
              <w:bottom w:val="single" w:color="auto" w:sz="4" w:space="0"/>
              <w:right w:val="single" w:color="auto" w:sz="4" w:space="0"/>
            </w:tcBorders>
            <w:shd w:val="clear" w:color="auto" w:fill="FFFFFF"/>
            <w:vAlign w:val="center"/>
          </w:tcPr>
          <w:p>
            <w:pPr>
              <w:pStyle w:val="66"/>
              <w:jc w:val="center"/>
              <w:rPr>
                <w:rFonts w:ascii="宋体" w:hAnsi="宋体"/>
                <w:b/>
                <w:bCs/>
                <w:color w:val="auto"/>
                <w:highlight w:val="none"/>
              </w:rPr>
            </w:pPr>
            <w:r>
              <w:rPr>
                <w:rFonts w:hint="eastAsia" w:ascii="宋体" w:hAnsi="宋体"/>
                <w:b/>
                <w:bCs/>
                <w:color w:val="auto"/>
                <w:highlight w:val="none"/>
              </w:rPr>
              <w:t>气体类型</w:t>
            </w:r>
          </w:p>
        </w:tc>
        <w:tc>
          <w:tcPr>
            <w:tcW w:w="1928" w:type="dxa"/>
            <w:tcBorders>
              <w:top w:val="single" w:color="auto" w:sz="4" w:space="0"/>
              <w:left w:val="nil"/>
              <w:bottom w:val="single" w:color="auto" w:sz="4" w:space="0"/>
              <w:right w:val="single" w:color="auto" w:sz="4" w:space="0"/>
            </w:tcBorders>
            <w:shd w:val="clear" w:color="auto" w:fill="FFFFFF"/>
            <w:vAlign w:val="center"/>
          </w:tcPr>
          <w:p>
            <w:pPr>
              <w:pStyle w:val="66"/>
              <w:jc w:val="center"/>
              <w:rPr>
                <w:rFonts w:ascii="宋体" w:hAnsi="宋体"/>
                <w:b/>
                <w:bCs/>
                <w:color w:val="auto"/>
                <w:highlight w:val="none"/>
              </w:rPr>
            </w:pPr>
            <w:r>
              <w:rPr>
                <w:rFonts w:hint="eastAsia" w:ascii="宋体" w:hAnsi="宋体"/>
                <w:b/>
                <w:bCs/>
                <w:color w:val="auto"/>
                <w:highlight w:val="none"/>
              </w:rPr>
              <w:t>量程</w:t>
            </w:r>
          </w:p>
        </w:tc>
        <w:tc>
          <w:tcPr>
            <w:tcW w:w="2086" w:type="dxa"/>
            <w:tcBorders>
              <w:top w:val="single" w:color="auto" w:sz="4" w:space="0"/>
              <w:left w:val="nil"/>
              <w:bottom w:val="single" w:color="auto" w:sz="4" w:space="0"/>
              <w:right w:val="single" w:color="auto" w:sz="4" w:space="0"/>
            </w:tcBorders>
            <w:shd w:val="clear" w:color="auto" w:fill="FFFFFF"/>
            <w:vAlign w:val="center"/>
          </w:tcPr>
          <w:p>
            <w:pPr>
              <w:pStyle w:val="66"/>
              <w:jc w:val="center"/>
              <w:rPr>
                <w:rFonts w:ascii="宋体" w:hAnsi="宋体"/>
                <w:b/>
                <w:bCs/>
                <w:color w:val="auto"/>
                <w:highlight w:val="none"/>
              </w:rPr>
            </w:pPr>
            <w:r>
              <w:rPr>
                <w:rFonts w:hint="eastAsia" w:ascii="宋体" w:hAnsi="宋体"/>
                <w:b/>
                <w:bCs/>
                <w:color w:val="auto"/>
                <w:highlight w:val="none"/>
              </w:rPr>
              <w:t>检出限</w:t>
            </w:r>
          </w:p>
        </w:tc>
        <w:tc>
          <w:tcPr>
            <w:tcW w:w="1597" w:type="dxa"/>
            <w:tcBorders>
              <w:top w:val="single" w:color="auto" w:sz="4" w:space="0"/>
              <w:left w:val="nil"/>
              <w:bottom w:val="single" w:color="auto" w:sz="4" w:space="0"/>
              <w:right w:val="single" w:color="auto" w:sz="4" w:space="0"/>
            </w:tcBorders>
            <w:shd w:val="clear" w:color="auto" w:fill="FFFFFF"/>
            <w:vAlign w:val="center"/>
          </w:tcPr>
          <w:p>
            <w:pPr>
              <w:pStyle w:val="66"/>
              <w:jc w:val="center"/>
              <w:rPr>
                <w:rFonts w:ascii="宋体" w:hAnsi="宋体"/>
                <w:b/>
                <w:bCs/>
                <w:color w:val="auto"/>
                <w:highlight w:val="none"/>
              </w:rPr>
            </w:pPr>
            <w:r>
              <w:rPr>
                <w:rFonts w:hint="eastAsia" w:ascii="宋体" w:hAnsi="宋体"/>
                <w:b/>
                <w:bCs/>
                <w:color w:val="auto"/>
                <w:highlight w:val="none"/>
              </w:rPr>
              <w:t>检测误差</w:t>
            </w:r>
          </w:p>
        </w:tc>
        <w:tc>
          <w:tcPr>
            <w:tcW w:w="157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5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H2S</w:t>
            </w:r>
          </w:p>
        </w:tc>
        <w:tc>
          <w:tcPr>
            <w:tcW w:w="192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（0～50）ppm</w:t>
            </w:r>
          </w:p>
        </w:tc>
        <w:tc>
          <w:tcPr>
            <w:tcW w:w="208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10ppb</w:t>
            </w:r>
          </w:p>
        </w:tc>
        <w:tc>
          <w:tcPr>
            <w:tcW w:w="159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±5%FS</w:t>
            </w:r>
          </w:p>
        </w:tc>
        <w:tc>
          <w:tcPr>
            <w:tcW w:w="15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5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NH3</w:t>
            </w:r>
          </w:p>
        </w:tc>
        <w:tc>
          <w:tcPr>
            <w:tcW w:w="192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（0～100）ppm</w:t>
            </w:r>
          </w:p>
        </w:tc>
        <w:tc>
          <w:tcPr>
            <w:tcW w:w="208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10ppb</w:t>
            </w:r>
          </w:p>
        </w:tc>
        <w:tc>
          <w:tcPr>
            <w:tcW w:w="159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±5%FS</w:t>
            </w:r>
          </w:p>
        </w:tc>
        <w:tc>
          <w:tcPr>
            <w:tcW w:w="15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5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HCL</w:t>
            </w:r>
          </w:p>
        </w:tc>
        <w:tc>
          <w:tcPr>
            <w:tcW w:w="192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（0～20）ppm</w:t>
            </w:r>
          </w:p>
        </w:tc>
        <w:tc>
          <w:tcPr>
            <w:tcW w:w="208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10ppb</w:t>
            </w:r>
          </w:p>
        </w:tc>
        <w:tc>
          <w:tcPr>
            <w:tcW w:w="159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±10%FS</w:t>
            </w:r>
          </w:p>
        </w:tc>
        <w:tc>
          <w:tcPr>
            <w:tcW w:w="15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5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CL2</w:t>
            </w:r>
          </w:p>
        </w:tc>
        <w:tc>
          <w:tcPr>
            <w:tcW w:w="192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（0～20）ppm</w:t>
            </w:r>
          </w:p>
        </w:tc>
        <w:tc>
          <w:tcPr>
            <w:tcW w:w="208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10ppb</w:t>
            </w:r>
          </w:p>
        </w:tc>
        <w:tc>
          <w:tcPr>
            <w:tcW w:w="159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±5%FS</w:t>
            </w:r>
          </w:p>
        </w:tc>
        <w:tc>
          <w:tcPr>
            <w:tcW w:w="15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5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VOC</w:t>
            </w:r>
          </w:p>
        </w:tc>
        <w:tc>
          <w:tcPr>
            <w:tcW w:w="192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（0～50）ppm</w:t>
            </w:r>
          </w:p>
        </w:tc>
        <w:tc>
          <w:tcPr>
            <w:tcW w:w="208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10ppb</w:t>
            </w:r>
          </w:p>
        </w:tc>
        <w:tc>
          <w:tcPr>
            <w:tcW w:w="159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±5%FS</w:t>
            </w:r>
          </w:p>
        </w:tc>
        <w:tc>
          <w:tcPr>
            <w:tcW w:w="15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20S</w:t>
            </w:r>
          </w:p>
        </w:tc>
      </w:tr>
    </w:tbl>
    <w:p>
      <w:pPr>
        <w:pStyle w:val="4"/>
        <w:tabs>
          <w:tab w:val="clear" w:pos="420"/>
        </w:tabs>
        <w:rPr>
          <w:color w:val="auto"/>
          <w:highlight w:val="none"/>
        </w:rPr>
      </w:pPr>
      <w:r>
        <w:rPr>
          <w:rFonts w:hint="eastAsia"/>
          <w:color w:val="auto"/>
          <w:highlight w:val="none"/>
        </w:rPr>
        <w:t>敏感区空气质量超级站</w:t>
      </w:r>
    </w:p>
    <w:p>
      <w:pPr>
        <w:pStyle w:val="3"/>
        <w:rPr>
          <w:color w:val="auto"/>
          <w:highlight w:val="none"/>
        </w:rPr>
      </w:pPr>
      <w:r>
        <w:rPr>
          <w:rFonts w:hint="eastAsia"/>
          <w:color w:val="auto"/>
          <w:highlight w:val="none"/>
        </w:rPr>
        <w:t>配置清单</w:t>
      </w:r>
    </w:p>
    <w:tbl>
      <w:tblPr>
        <w:tblStyle w:val="22"/>
        <w:tblW w:w="13478" w:type="dxa"/>
        <w:tblInd w:w="0" w:type="dxa"/>
        <w:tblLayout w:type="fixed"/>
        <w:tblCellMar>
          <w:top w:w="0" w:type="dxa"/>
          <w:left w:w="108" w:type="dxa"/>
          <w:bottom w:w="0" w:type="dxa"/>
          <w:right w:w="108" w:type="dxa"/>
        </w:tblCellMar>
      </w:tblPr>
      <w:tblGrid>
        <w:gridCol w:w="767"/>
        <w:gridCol w:w="2067"/>
        <w:gridCol w:w="5069"/>
        <w:gridCol w:w="971"/>
        <w:gridCol w:w="754"/>
        <w:gridCol w:w="1925"/>
        <w:gridCol w:w="1925"/>
      </w:tblGrid>
      <w:tr>
        <w:tblPrEx>
          <w:tblCellMar>
            <w:top w:w="0" w:type="dxa"/>
            <w:left w:w="108" w:type="dxa"/>
            <w:bottom w:w="0" w:type="dxa"/>
            <w:right w:w="108" w:type="dxa"/>
          </w:tblCellMar>
        </w:tblPrEx>
        <w:trPr>
          <w:gridAfter w:val="2"/>
          <w:wAfter w:w="3850" w:type="dxa"/>
          <w:trHeight w:val="280" w:hRule="atLeast"/>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序号</w:t>
            </w:r>
          </w:p>
        </w:tc>
        <w:tc>
          <w:tcPr>
            <w:tcW w:w="7136" w:type="dxa"/>
            <w:gridSpan w:val="2"/>
            <w:tcBorders>
              <w:top w:val="single" w:color="auto" w:sz="4" w:space="0"/>
              <w:left w:val="nil"/>
              <w:bottom w:val="single" w:color="000000" w:sz="4" w:space="0"/>
              <w:right w:val="single" w:color="000000" w:sz="4" w:space="0"/>
            </w:tcBorders>
            <w:vAlign w:val="center"/>
          </w:tcPr>
          <w:p>
            <w:pPr>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建设内容</w:t>
            </w:r>
          </w:p>
        </w:tc>
        <w:tc>
          <w:tcPr>
            <w:tcW w:w="97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数量</w:t>
            </w:r>
          </w:p>
        </w:tc>
        <w:tc>
          <w:tcPr>
            <w:tcW w:w="754"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单位</w:t>
            </w:r>
          </w:p>
        </w:tc>
      </w:tr>
      <w:tr>
        <w:tblPrEx>
          <w:tblCellMar>
            <w:top w:w="0" w:type="dxa"/>
            <w:left w:w="108" w:type="dxa"/>
            <w:bottom w:w="0" w:type="dxa"/>
            <w:right w:w="108" w:type="dxa"/>
          </w:tblCellMar>
        </w:tblPrEx>
        <w:trPr>
          <w:gridAfter w:val="2"/>
          <w:wAfter w:w="3850" w:type="dxa"/>
          <w:trHeight w:val="28" w:hRule="atLeast"/>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2067" w:type="dxa"/>
            <w:vMerge w:val="restart"/>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仪器配置(无机）</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 xml:space="preserve">H2S/SO2分析仪 </w:t>
            </w:r>
          </w:p>
        </w:tc>
        <w:tc>
          <w:tcPr>
            <w:tcW w:w="971"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NOx分析仪</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NH3分析仪</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4</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气象五参数</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5</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动态校准仪（含臭氧模块）</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6</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渗透炉校准仪</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7</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零气发生器</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8</w:t>
            </w:r>
          </w:p>
        </w:tc>
        <w:tc>
          <w:tcPr>
            <w:tcW w:w="2067" w:type="dxa"/>
            <w:vMerge w:val="restart"/>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仪器配置(有机）</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甲烷/非甲烷总烃在线分析仪</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9</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VOCs在线监测仪(GC-FID/MS)</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10</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动态校准仪（VOC版）</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11</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全惰性化精密动态校准仪</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12</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氢气发生器</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13</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零气发生器（用于GC-MS）</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14</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氦气(含减压阀）</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15</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氮气（含减压阀）</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431"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16</w:t>
            </w:r>
          </w:p>
        </w:tc>
        <w:tc>
          <w:tcPr>
            <w:tcW w:w="2067" w:type="dxa"/>
            <w:vMerge w:val="restart"/>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标气系统</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SO2标气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417"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17</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NO标气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trHeight w:val="251"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18</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H2S标气</w:t>
            </w:r>
          </w:p>
        </w:tc>
        <w:tc>
          <w:tcPr>
            <w:tcW w:w="971" w:type="dxa"/>
            <w:tcBorders>
              <w:top w:val="nil"/>
              <w:left w:val="nil"/>
              <w:bottom w:val="single" w:color="auto" w:sz="4" w:space="0"/>
              <w:right w:val="single" w:color="auto" w:sz="4" w:space="0"/>
            </w:tcBorders>
            <w:shd w:val="clear" w:color="auto" w:fill="auto"/>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shd w:val="clear" w:color="auto" w:fill="auto"/>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c>
          <w:tcPr>
            <w:tcW w:w="1925" w:type="dxa"/>
            <w:vAlign w:val="center"/>
          </w:tcPr>
          <w:p>
            <w:pPr>
              <w:jc w:val="center"/>
              <w:rPr>
                <w:color w:val="auto"/>
                <w:highlight w:val="none"/>
              </w:rPr>
            </w:pPr>
          </w:p>
        </w:tc>
        <w:tc>
          <w:tcPr>
            <w:tcW w:w="1925" w:type="dxa"/>
          </w:tcPr>
          <w:p>
            <w:pPr>
              <w:jc w:val="center"/>
              <w:rPr>
                <w:color w:val="auto"/>
                <w:highlight w:val="none"/>
              </w:rPr>
            </w:pP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19</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NH3标气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20</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甲烷、丙烷标气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21</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PAMS标气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瓶</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22</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TO-15标气</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瓶</w:t>
            </w:r>
          </w:p>
        </w:tc>
      </w:tr>
      <w:tr>
        <w:tblPrEx>
          <w:tblCellMar>
            <w:top w:w="0" w:type="dxa"/>
            <w:left w:w="108" w:type="dxa"/>
            <w:bottom w:w="0" w:type="dxa"/>
            <w:right w:w="108" w:type="dxa"/>
          </w:tblCellMar>
        </w:tblPrEx>
        <w:trPr>
          <w:gridAfter w:val="1"/>
          <w:wAfter w:w="1925" w:type="dxa"/>
          <w:trHeight w:val="449"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23</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olor w:val="auto"/>
                <w:kern w:val="0"/>
                <w:sz w:val="21"/>
                <w:szCs w:val="21"/>
                <w:highlight w:val="none"/>
              </w:rPr>
            </w:pPr>
            <w:r>
              <w:rPr>
                <w:rFonts w:hint="eastAsia" w:ascii="宋体" w:hAnsi="宋体" w:cs="宋体"/>
                <w:color w:val="auto"/>
                <w:kern w:val="0"/>
                <w:sz w:val="20"/>
                <w:highlight w:val="none"/>
              </w:rPr>
              <w:t>OVOC标气</w:t>
            </w:r>
          </w:p>
        </w:tc>
        <w:tc>
          <w:tcPr>
            <w:tcW w:w="971" w:type="dxa"/>
            <w:tcBorders>
              <w:top w:val="nil"/>
              <w:left w:val="nil"/>
              <w:bottom w:val="single" w:color="auto" w:sz="4" w:space="0"/>
              <w:right w:val="single" w:color="auto" w:sz="4" w:space="0"/>
            </w:tcBorders>
            <w:shd w:val="clear" w:color="auto" w:fill="auto"/>
            <w:vAlign w:val="center"/>
          </w:tcPr>
          <w:p>
            <w:pPr>
              <w:jc w:val="center"/>
              <w:rPr>
                <w:rFonts w:ascii="宋体" w:hAnsi="宋体"/>
                <w:color w:val="auto"/>
                <w:kern w:val="0"/>
                <w:sz w:val="21"/>
                <w:szCs w:val="21"/>
                <w:highlight w:val="none"/>
              </w:rPr>
            </w:pPr>
            <w:r>
              <w:rPr>
                <w:rFonts w:hint="eastAsia" w:ascii="宋体" w:hAnsi="宋体" w:cs="宋体"/>
                <w:color w:val="auto"/>
                <w:kern w:val="0"/>
                <w:sz w:val="20"/>
                <w:highlight w:val="none"/>
              </w:rPr>
              <w:t>1</w:t>
            </w:r>
          </w:p>
        </w:tc>
        <w:tc>
          <w:tcPr>
            <w:tcW w:w="754" w:type="dxa"/>
            <w:tcBorders>
              <w:top w:val="nil"/>
              <w:left w:val="nil"/>
              <w:bottom w:val="single" w:color="auto" w:sz="4" w:space="0"/>
              <w:right w:val="single" w:color="auto" w:sz="4" w:space="0"/>
            </w:tcBorders>
            <w:shd w:val="clear" w:color="auto" w:fill="auto"/>
            <w:vAlign w:val="center"/>
          </w:tcPr>
          <w:p>
            <w:pPr>
              <w:jc w:val="center"/>
              <w:rPr>
                <w:rFonts w:ascii="宋体" w:hAnsi="宋体"/>
                <w:color w:val="auto"/>
                <w:kern w:val="0"/>
                <w:sz w:val="21"/>
                <w:szCs w:val="21"/>
                <w:highlight w:val="none"/>
              </w:rPr>
            </w:pPr>
            <w:r>
              <w:rPr>
                <w:rFonts w:hint="eastAsia" w:ascii="宋体" w:hAnsi="宋体" w:cs="宋体"/>
                <w:color w:val="auto"/>
                <w:kern w:val="0"/>
                <w:sz w:val="20"/>
                <w:highlight w:val="none"/>
              </w:rPr>
              <w:t>瓶</w:t>
            </w:r>
          </w:p>
        </w:tc>
        <w:tc>
          <w:tcPr>
            <w:tcW w:w="1925" w:type="dxa"/>
            <w:vAlign w:val="center"/>
          </w:tcPr>
          <w:p>
            <w:pPr>
              <w:jc w:val="center"/>
              <w:rPr>
                <w:color w:val="auto"/>
                <w:highlight w:val="none"/>
              </w:rPr>
            </w:pP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24</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进口不锈钢减压阀（与PAMS、TO15和VOVC钢瓶配套）</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个</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25</w:t>
            </w:r>
          </w:p>
        </w:tc>
        <w:tc>
          <w:tcPr>
            <w:tcW w:w="2067" w:type="dxa"/>
            <w:vMerge w:val="restart"/>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配套采样系统、机柜、稳压电源、UPS电源等辅助设施</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采样系统</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26</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 xml:space="preserve">机柜   </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27</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 xml:space="preserve">稳压电源 </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28</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 xml:space="preserve">UPS电源（6KVA，延时2小时） </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29</w:t>
            </w:r>
          </w:p>
        </w:tc>
        <w:tc>
          <w:tcPr>
            <w:tcW w:w="2067" w:type="dxa"/>
            <w:vMerge w:val="restart"/>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数据传输与网络化</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 xml:space="preserve">数据采集及传输软件 </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30</w:t>
            </w:r>
          </w:p>
        </w:tc>
        <w:tc>
          <w:tcPr>
            <w:tcW w:w="206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kern w:val="0"/>
                <w:sz w:val="21"/>
                <w:szCs w:val="21"/>
                <w:highlight w:val="none"/>
              </w:rPr>
            </w:pP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子站工控机</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台</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31</w:t>
            </w:r>
          </w:p>
        </w:tc>
        <w:tc>
          <w:tcPr>
            <w:tcW w:w="2067" w:type="dxa"/>
            <w:tcBorders>
              <w:top w:val="nil"/>
              <w:left w:val="nil"/>
              <w:bottom w:val="single" w:color="000000" w:sz="4" w:space="0"/>
              <w:right w:val="single" w:color="auto"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0"/>
                <w:highlight w:val="none"/>
              </w:rPr>
              <w:t>生物多模态识别门禁</w:t>
            </w:r>
          </w:p>
        </w:tc>
        <w:tc>
          <w:tcPr>
            <w:tcW w:w="5069" w:type="dxa"/>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0"/>
                <w:highlight w:val="none"/>
              </w:rPr>
              <w:t>人脸+虹膜识别门禁设备</w:t>
            </w:r>
          </w:p>
        </w:tc>
        <w:tc>
          <w:tcPr>
            <w:tcW w:w="971" w:type="dxa"/>
            <w:tcBorders>
              <w:top w:val="nil"/>
              <w:left w:val="nil"/>
              <w:bottom w:val="single" w:color="auto" w:sz="4" w:space="0"/>
              <w:right w:val="single" w:color="auto" w:sz="4" w:space="0"/>
            </w:tcBorders>
            <w:vAlign w:val="bottom"/>
          </w:tcPr>
          <w:p>
            <w:pPr>
              <w:jc w:val="center"/>
              <w:rPr>
                <w:rFonts w:ascii="宋体" w:hAnsi="宋体"/>
                <w:color w:val="auto"/>
                <w:kern w:val="0"/>
                <w:sz w:val="21"/>
                <w:szCs w:val="21"/>
                <w:highlight w:val="none"/>
              </w:rPr>
            </w:pPr>
            <w:r>
              <w:rPr>
                <w:rFonts w:hint="eastAsia" w:ascii="宋体" w:hAnsi="宋体"/>
                <w:color w:val="auto"/>
                <w:kern w:val="0"/>
                <w:sz w:val="20"/>
                <w:highlight w:val="none"/>
              </w:rPr>
              <w:t>1</w:t>
            </w:r>
          </w:p>
        </w:tc>
        <w:tc>
          <w:tcPr>
            <w:tcW w:w="754" w:type="dxa"/>
            <w:tcBorders>
              <w:top w:val="nil"/>
              <w:left w:val="nil"/>
              <w:bottom w:val="single" w:color="auto" w:sz="4" w:space="0"/>
              <w:right w:val="single" w:color="auto" w:sz="4" w:space="0"/>
            </w:tcBorders>
            <w:vAlign w:val="bottom"/>
          </w:tcPr>
          <w:p>
            <w:pPr>
              <w:jc w:val="center"/>
              <w:rPr>
                <w:rFonts w:ascii="宋体" w:hAnsi="宋体"/>
                <w:color w:val="auto"/>
                <w:kern w:val="0"/>
                <w:sz w:val="21"/>
                <w:szCs w:val="21"/>
                <w:highlight w:val="none"/>
              </w:rPr>
            </w:pPr>
            <w:r>
              <w:rPr>
                <w:rFonts w:hint="eastAsia" w:ascii="宋体" w:hAnsi="宋体"/>
                <w:color w:val="auto"/>
                <w:kern w:val="0"/>
                <w:sz w:val="20"/>
                <w:highlight w:val="none"/>
              </w:rPr>
              <w:t>套</w:t>
            </w:r>
          </w:p>
        </w:tc>
      </w:tr>
      <w:tr>
        <w:tblPrEx>
          <w:tblCellMar>
            <w:top w:w="0" w:type="dxa"/>
            <w:left w:w="108" w:type="dxa"/>
            <w:bottom w:w="0" w:type="dxa"/>
            <w:right w:w="108" w:type="dxa"/>
          </w:tblCellMar>
        </w:tblPrEx>
        <w:trPr>
          <w:gridAfter w:val="2"/>
          <w:wAfter w:w="3850" w:type="dxa"/>
          <w:trHeight w:val="28" w:hRule="atLeast"/>
        </w:trPr>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32</w:t>
            </w:r>
          </w:p>
        </w:tc>
        <w:tc>
          <w:tcPr>
            <w:tcW w:w="7136" w:type="dxa"/>
            <w:gridSpan w:val="2"/>
            <w:tcBorders>
              <w:top w:val="single" w:color="auto" w:sz="4" w:space="0"/>
              <w:left w:val="nil"/>
              <w:bottom w:val="single" w:color="auto" w:sz="4" w:space="0"/>
              <w:right w:val="single" w:color="000000" w:sz="4" w:space="0"/>
            </w:tcBorders>
            <w:vAlign w:val="center"/>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彩钢板站房（含空调、灭火器等站房配套设施）5*3*2.5m</w:t>
            </w:r>
          </w:p>
        </w:tc>
        <w:tc>
          <w:tcPr>
            <w:tcW w:w="971"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754" w:type="dxa"/>
            <w:tcBorders>
              <w:top w:val="nil"/>
              <w:left w:val="nil"/>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套</w:t>
            </w:r>
          </w:p>
        </w:tc>
      </w:tr>
    </w:tbl>
    <w:p>
      <w:pPr>
        <w:pStyle w:val="4"/>
        <w:rPr>
          <w:color w:val="auto"/>
          <w:highlight w:val="none"/>
        </w:rPr>
      </w:pPr>
      <w:r>
        <w:rPr>
          <w:rFonts w:hint="eastAsia"/>
          <w:color w:val="auto"/>
          <w:highlight w:val="none"/>
        </w:rPr>
        <w:t>设备参数要求</w:t>
      </w:r>
    </w:p>
    <w:p>
      <w:pPr>
        <w:pStyle w:val="5"/>
        <w:rPr>
          <w:color w:val="auto"/>
          <w:highlight w:val="none"/>
        </w:rPr>
      </w:pPr>
      <w:r>
        <w:rPr>
          <w:rFonts w:hint="eastAsia"/>
          <w:color w:val="auto"/>
          <w:highlight w:val="none"/>
        </w:rPr>
        <w:t>H2S/SO2</w:t>
      </w:r>
      <w:r>
        <w:rPr>
          <w:rFonts w:hint="eastAsia" w:ascii="黑体" w:hAnsi="黑体"/>
          <w:color w:val="auto"/>
          <w:highlight w:val="none"/>
        </w:rPr>
        <w:t>分析仪</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522"/>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1522"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技术指标</w:t>
            </w:r>
          </w:p>
        </w:tc>
        <w:tc>
          <w:tcPr>
            <w:tcW w:w="724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监测方法</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紫外荧光法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量程</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H2S：最小0～50ppb，最大0～10ppm；SO2：0-20ppm（可选，独立量程和自动量程设置）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单位</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ppb, ppm, 或 µg/m3, mg/m3（用户可选）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4</w:t>
            </w:r>
          </w:p>
        </w:tc>
        <w:tc>
          <w:tcPr>
            <w:tcW w:w="152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零点噪声</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≤0.2 ppb（RMS）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5</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跨度噪声</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50ppb以上&lt;0.5%度数(RMS)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6</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最低检测限</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0.4ppb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7</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零点漂移</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&lt;0.5ppb/24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8</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跨度漂移</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&lt;0.5%F.S/24小时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9</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滞后时间</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10</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响应时间</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&lt;120秒（达到95%）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11</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线性</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12</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精度</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50ppb以上读数的0.5%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13</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采样流量</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650 cm3/min±10%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14</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电源</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100V-120V，220V-240V,50/60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15</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模拟输出</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10V，5V，1V，0.1V（可选）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16</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通信规格</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1路以太网：10/100BASE-T；2路RS232(300-115,200波特)；2路USB设备端口；8路光电隔离数字量输出；6路光电隔离数字量输入；4路模拟量输出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17</w:t>
            </w:r>
          </w:p>
        </w:tc>
        <w:tc>
          <w:tcPr>
            <w:tcW w:w="152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工作温度</w:t>
            </w:r>
          </w:p>
        </w:tc>
        <w:tc>
          <w:tcPr>
            <w:tcW w:w="72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5-40℃</w:t>
            </w:r>
          </w:p>
        </w:tc>
      </w:tr>
    </w:tbl>
    <w:p>
      <w:pPr>
        <w:pStyle w:val="5"/>
        <w:rPr>
          <w:color w:val="auto"/>
          <w:szCs w:val="24"/>
          <w:highlight w:val="none"/>
        </w:rPr>
      </w:pPr>
      <w:r>
        <w:rPr>
          <w:rFonts w:hint="eastAsia"/>
          <w:color w:val="auto"/>
          <w:highlight w:val="none"/>
        </w:rPr>
        <w:t>NOx</w:t>
      </w:r>
      <w:r>
        <w:rPr>
          <w:rFonts w:hint="eastAsia" w:ascii="黑体" w:hAnsi="黑体"/>
          <w:color w:val="auto"/>
          <w:highlight w:val="none"/>
        </w:rPr>
        <w:t>分析仪</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035"/>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203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技术指标</w:t>
            </w:r>
          </w:p>
        </w:tc>
        <w:tc>
          <w:tcPr>
            <w:tcW w:w="6493"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分析方法</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量程范围</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0-500ppb到0-20ppm（可选双量程和自动量程）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浓度单位</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ppb, ppm, 或 µg/m3, mg/m3（用户可选）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4</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零点噪声</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&lt;0.2 ppb（RMS）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5</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量程噪声</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&lt;0.5%(50ppb以上)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6</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检测下限</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0.4ppb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7</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零点漂移</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&lt;0.5ppb/24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8</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量程漂移</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&lt;1%F.S./24h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9</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线性度</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10</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重复性</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11</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响应时间</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T90&lt;60s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12</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样气流量</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（500±50）sccm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13</w:t>
            </w:r>
          </w:p>
        </w:tc>
        <w:tc>
          <w:tcPr>
            <w:tcW w:w="20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流量稳定</w:t>
            </w:r>
          </w:p>
        </w:tc>
        <w:tc>
          <w:tcPr>
            <w:tcW w:w="64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≤±0.1%</w:t>
            </w:r>
          </w:p>
        </w:tc>
      </w:tr>
    </w:tbl>
    <w:p>
      <w:pPr>
        <w:pStyle w:val="5"/>
        <w:rPr>
          <w:color w:val="auto"/>
          <w:szCs w:val="24"/>
          <w:highlight w:val="none"/>
        </w:rPr>
      </w:pPr>
      <w:r>
        <w:rPr>
          <w:rFonts w:hint="eastAsia"/>
          <w:color w:val="auto"/>
          <w:highlight w:val="none"/>
        </w:rPr>
        <w:t>NH3</w:t>
      </w:r>
      <w:r>
        <w:rPr>
          <w:rFonts w:hint="eastAsia" w:ascii="黑体" w:hAnsi="黑体"/>
          <w:color w:val="auto"/>
          <w:highlight w:val="none"/>
        </w:rPr>
        <w:t>分析仪</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303"/>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2303"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633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2303" w:type="dxa"/>
            <w:tcBorders>
              <w:top w:val="single" w:color="auto" w:sz="4" w:space="0"/>
              <w:left w:val="nil"/>
              <w:bottom w:val="single" w:color="auto" w:sz="4" w:space="0"/>
              <w:right w:val="single" w:color="auto" w:sz="4" w:space="0"/>
            </w:tcBorders>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测量原理</w:t>
            </w:r>
          </w:p>
        </w:tc>
        <w:tc>
          <w:tcPr>
            <w:tcW w:w="6337" w:type="dxa"/>
            <w:tcBorders>
              <w:top w:val="single" w:color="auto" w:sz="4" w:space="0"/>
              <w:left w:val="nil"/>
              <w:bottom w:val="single" w:color="auto" w:sz="4" w:space="0"/>
              <w:right w:val="single" w:color="auto" w:sz="4" w:space="0"/>
            </w:tcBorders>
          </w:tcPr>
          <w:p>
            <w:pPr>
              <w:jc w:val="left"/>
              <w:rPr>
                <w:rFonts w:ascii="宋体" w:hAnsi="宋体"/>
                <w:color w:val="auto"/>
                <w:kern w:val="0"/>
                <w:sz w:val="21"/>
                <w:szCs w:val="21"/>
                <w:highlight w:val="none"/>
              </w:rPr>
            </w:pPr>
            <w:r>
              <w:rPr>
                <w:rFonts w:hint="eastAsia" w:ascii="宋体" w:hAnsi="宋体"/>
                <w:color w:val="auto"/>
                <w:kern w:val="0"/>
                <w:sz w:val="21"/>
                <w:szCs w:val="21"/>
                <w:highlight w:val="none"/>
              </w:rPr>
              <w:t>可调制半导体激光吸收光谱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零点漂移（24h）</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线性误差</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4</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重复性误差</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5</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检测限</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ppb（1倍标准偏差）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6</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量程范围</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 ～ 20ppm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7</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预热时间</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60min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8</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响应时间（T90）</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≤300s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9</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数字通讯</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RS 232（RS 485可定制）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10</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电源</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（200-240）V AC/(48-63)Hz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11</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防护等级</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12</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过滤要求</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无尘、无水、无油（过滤精度5μm）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13</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样气温度</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-20～50 )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14</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样气压力</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0.9～1.1bar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15</w:t>
            </w:r>
          </w:p>
        </w:tc>
        <w:tc>
          <w:tcPr>
            <w:tcW w:w="230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工作环境温度</w:t>
            </w:r>
          </w:p>
        </w:tc>
        <w:tc>
          <w:tcPr>
            <w:tcW w:w="633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5～40℃</w:t>
            </w:r>
          </w:p>
        </w:tc>
      </w:tr>
    </w:tbl>
    <w:p>
      <w:pPr>
        <w:pStyle w:val="5"/>
        <w:rPr>
          <w:color w:val="auto"/>
          <w:szCs w:val="24"/>
          <w:highlight w:val="none"/>
        </w:rPr>
      </w:pPr>
      <w:r>
        <w:rPr>
          <w:rFonts w:hint="eastAsia"/>
          <w:color w:val="auto"/>
          <w:highlight w:val="none"/>
        </w:rPr>
        <w:t>甲烷</w:t>
      </w:r>
      <w:r>
        <w:rPr>
          <w:rFonts w:hint="eastAsia"/>
          <w:color w:val="auto"/>
          <w:highlight w:val="none"/>
          <w:lang w:eastAsia="zh-CN"/>
        </w:rPr>
        <w:t>/</w:t>
      </w:r>
      <w:r>
        <w:rPr>
          <w:rFonts w:hint="eastAsia"/>
          <w:color w:val="auto"/>
          <w:highlight w:val="none"/>
        </w:rPr>
        <w:t>非甲烷总烃</w:t>
      </w:r>
      <w:r>
        <w:rPr>
          <w:rFonts w:hint="eastAsia"/>
          <w:color w:val="auto"/>
          <w:highlight w:val="none"/>
          <w:lang w:eastAsia="zh-CN"/>
        </w:rPr>
        <w:t>在线</w:t>
      </w:r>
      <w:r>
        <w:rPr>
          <w:rFonts w:hint="eastAsia"/>
          <w:color w:val="auto"/>
          <w:highlight w:val="none"/>
        </w:rPr>
        <w:t>分析仪</w:t>
      </w:r>
    </w:p>
    <w:p>
      <w:pPr>
        <w:ind w:firstLine="482"/>
        <w:rPr>
          <w:rFonts w:ascii="宋体" w:hAnsi="宋体"/>
          <w:b/>
          <w:bCs/>
          <w:color w:val="auto"/>
          <w:highlight w:val="none"/>
        </w:rPr>
      </w:pPr>
      <w:r>
        <w:rPr>
          <w:rFonts w:hint="eastAsia" w:ascii="宋体" w:hAnsi="宋体"/>
          <w:b/>
          <w:bCs/>
          <w:color w:val="auto"/>
          <w:highlight w:val="none"/>
        </w:rPr>
        <w:t>1、基本要求</w:t>
      </w:r>
    </w:p>
    <w:tbl>
      <w:tblPr>
        <w:tblStyle w:val="22"/>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1134"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422"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113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监测项目</w:t>
            </w:r>
          </w:p>
        </w:tc>
        <w:tc>
          <w:tcPr>
            <w:tcW w:w="742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空气VOCs（甲烷，总烃，非甲烷总烃）在线监测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kern w:val="0"/>
                <w:sz w:val="21"/>
                <w:szCs w:val="21"/>
                <w:highlight w:val="none"/>
              </w:rPr>
              <w:t>2</w:t>
            </w:r>
          </w:p>
        </w:tc>
        <w:tc>
          <w:tcPr>
            <w:tcW w:w="113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检测报告</w:t>
            </w:r>
          </w:p>
        </w:tc>
        <w:tc>
          <w:tcPr>
            <w:tcW w:w="7422" w:type="dxa"/>
            <w:tcBorders>
              <w:top w:val="single" w:color="auto" w:sz="4" w:space="0"/>
              <w:left w:val="nil"/>
              <w:bottom w:val="single" w:color="auto" w:sz="4" w:space="0"/>
              <w:right w:val="single" w:color="auto" w:sz="4" w:space="0"/>
            </w:tcBorders>
          </w:tcPr>
          <w:p>
            <w:pPr>
              <w:rPr>
                <w:color w:val="auto"/>
                <w:highlight w:val="none"/>
              </w:rPr>
            </w:pPr>
            <w:r>
              <w:rPr>
                <w:rFonts w:hint="eastAsia" w:ascii="宋体" w:hAnsi="宋体"/>
                <w:color w:val="auto"/>
                <w:sz w:val="21"/>
                <w:szCs w:val="21"/>
                <w:highlight w:val="none"/>
              </w:rPr>
              <w:t>分析仪应具有中华人民共和国计量器具型式批准证书，产品类型应为在线式气相色谱仪，检测器应为氢火焰离子化检测器（FID）(提供型式批准证书复印件)。应具有</w:t>
            </w:r>
            <w:r>
              <w:rPr>
                <w:rFonts w:hint="eastAsia" w:ascii="宋体" w:hAnsi="宋体"/>
                <w:color w:val="auto"/>
                <w:sz w:val="24"/>
                <w:szCs w:val="24"/>
                <w:highlight w:val="none"/>
              </w:rPr>
              <w:t>中国环境保护产品认证证书及省级以上环境类质量监督检验机构出具的检测报告（提供中国环境保护产品认证证书及检测报告复印件）。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113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分析方法</w:t>
            </w:r>
          </w:p>
        </w:tc>
        <w:tc>
          <w:tcPr>
            <w:tcW w:w="742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气相色谱法</w:t>
            </w:r>
          </w:p>
        </w:tc>
      </w:tr>
    </w:tbl>
    <w:p>
      <w:pPr>
        <w:ind w:firstLine="482"/>
        <w:rPr>
          <w:rFonts w:ascii="宋体" w:hAnsi="宋体"/>
          <w:b/>
          <w:bCs/>
          <w:color w:val="auto"/>
          <w:szCs w:val="28"/>
          <w:highlight w:val="none"/>
        </w:rPr>
      </w:pPr>
      <w:r>
        <w:rPr>
          <w:rFonts w:hint="eastAsia" w:ascii="宋体" w:hAnsi="宋体"/>
          <w:b/>
          <w:bCs/>
          <w:color w:val="auto"/>
          <w:highlight w:val="none"/>
        </w:rPr>
        <w:t>2、技术要求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1"/>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1681"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04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示值误差</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非甲烷总烃，≤±7%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量程</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甲烷：≥0-50mg/m³或0-10ppm ；非甲烷总烃：≥0-50mg/m³或0-500ppm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最低检出限</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≤0.04mg/m³或0.05ppm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压力/流量控制</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全路电子流量控制（EPC），稳定可靠.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重复性</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非甲烷总烃，≤±2.5%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零点漂移</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非甲烷总烃，≤±1%F.S.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量程漂移</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非甲烷总烃，≤±3.5%F.S.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绝缘电阻</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绝缘强度</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在环境条件和关闭监测仪电路状态下，在电源相和机壳(接地端)之间，施加50Hz、1500V的交流电压1min,无异常现象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校准功能</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仪器具备自动校准功能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人机交互要求</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分析仪表具有内置工业PC机和触摸操作显示屏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操作系统</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软件采用全中文操作，能进行所有维护诊断功能操作，设置自动控制仪器的运行参数，自动进行数据处理，实现对外通讯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FF"/>
                <w:sz w:val="21"/>
                <w:szCs w:val="21"/>
                <w:highlight w:val="none"/>
              </w:rPr>
            </w:pPr>
            <w:r>
              <w:rPr>
                <w:rFonts w:hint="eastAsia" w:ascii="宋体" w:hAnsi="宋体" w:cs="宋体"/>
                <w:color w:val="0000FF"/>
                <w:sz w:val="21"/>
                <w:szCs w:val="21"/>
                <w:highlight w:val="none"/>
              </w:rPr>
              <w:t>*</w:t>
            </w:r>
            <w:r>
              <w:rPr>
                <w:rFonts w:hint="eastAsia" w:ascii="宋体" w:hAnsi="宋体"/>
                <w:color w:val="0000FF"/>
                <w:kern w:val="0"/>
                <w:sz w:val="21"/>
                <w:szCs w:val="21"/>
                <w:highlight w:val="none"/>
              </w:rPr>
              <w:t>13</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0000FF"/>
                <w:sz w:val="21"/>
                <w:szCs w:val="21"/>
                <w:highlight w:val="none"/>
              </w:rPr>
            </w:pPr>
            <w:r>
              <w:rPr>
                <w:rFonts w:hint="eastAsia" w:ascii="宋体" w:hAnsi="宋体"/>
                <w:color w:val="0000FF"/>
                <w:sz w:val="21"/>
                <w:szCs w:val="21"/>
                <w:highlight w:val="none"/>
              </w:rPr>
              <w:t>检测报告</w:t>
            </w:r>
          </w:p>
        </w:tc>
        <w:tc>
          <w:tcPr>
            <w:tcW w:w="7040" w:type="dxa"/>
            <w:tcBorders>
              <w:top w:val="single" w:color="auto" w:sz="4" w:space="0"/>
              <w:left w:val="nil"/>
              <w:bottom w:val="single" w:color="auto" w:sz="4" w:space="0"/>
              <w:right w:val="single" w:color="auto" w:sz="4" w:space="0"/>
            </w:tcBorders>
          </w:tcPr>
          <w:p>
            <w:pPr>
              <w:rPr>
                <w:rFonts w:ascii="宋体" w:hAnsi="宋体"/>
                <w:color w:val="0000FF"/>
                <w:sz w:val="21"/>
                <w:szCs w:val="21"/>
                <w:highlight w:val="none"/>
              </w:rPr>
            </w:pPr>
            <w:r>
              <w:rPr>
                <w:rFonts w:hint="eastAsia" w:ascii="宋体" w:hAnsi="宋体"/>
                <w:color w:val="0000FF"/>
                <w:sz w:val="21"/>
                <w:szCs w:val="21"/>
                <w:highlight w:val="none"/>
              </w:rPr>
              <w:t>仪器控制软件应具有软件著作权（需提供软件著作权证书复印件并盖公章）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14</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安装尺寸</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19"标准机箱，可集成安装于立式机柜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15</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其他</w:t>
            </w:r>
          </w:p>
        </w:tc>
        <w:tc>
          <w:tcPr>
            <w:tcW w:w="70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提供校准气体1瓶及配套减压阀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p>
        </w:tc>
      </w:tr>
    </w:tbl>
    <w:p>
      <w:pPr>
        <w:pStyle w:val="5"/>
        <w:rPr>
          <w:color w:val="auto"/>
          <w:highlight w:val="none"/>
        </w:rPr>
      </w:pPr>
      <w:r>
        <w:rPr>
          <w:rFonts w:hint="eastAsia"/>
          <w:color w:val="auto"/>
          <w:highlight w:val="none"/>
        </w:rPr>
        <w:t>VOCs在线质谱分析仪（GC-FID/MS）</w:t>
      </w:r>
      <w:r>
        <w:rPr>
          <w:rFonts w:hint="eastAsia"/>
          <w:color w:val="auto"/>
          <w:highlight w:val="none"/>
          <w:lang w:eastAsia="zh-CN"/>
        </w:rPr>
        <w:t xml:space="preserve">     </w:t>
      </w:r>
    </w:p>
    <w:p>
      <w:pPr>
        <w:ind w:firstLine="482"/>
        <w:rPr>
          <w:rFonts w:ascii="宋体" w:hAnsi="宋体"/>
          <w:b/>
          <w:bCs/>
          <w:color w:val="auto"/>
          <w:highlight w:val="none"/>
        </w:rPr>
      </w:pPr>
      <w:r>
        <w:rPr>
          <w:rFonts w:hint="eastAsia" w:ascii="宋体" w:hAnsi="宋体"/>
          <w:b/>
          <w:bCs/>
          <w:color w:val="auto"/>
          <w:highlight w:val="none"/>
        </w:rPr>
        <w:t>1、仪器应用</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适用于挥发性有机物的在线分析，满足环境空气组分分析监测、工业园区挥发性有机物的定性定量分析等。满足环保部《2018年重点地区环境空气挥发性有机物监测方案》（环办监测函〔2017〕2024 号）规定的VOCs在线监测设备的应用要求，仪器采用GC-FID/MS法。</w:t>
      </w:r>
    </w:p>
    <w:p>
      <w:pPr>
        <w:ind w:firstLine="482"/>
        <w:rPr>
          <w:rFonts w:ascii="宋体" w:hAnsi="宋体"/>
          <w:b/>
          <w:bCs/>
          <w:color w:val="auto"/>
          <w:highlight w:val="none"/>
        </w:rPr>
      </w:pPr>
      <w:r>
        <w:rPr>
          <w:rFonts w:hint="eastAsia" w:ascii="宋体" w:hAnsi="宋体"/>
          <w:b/>
          <w:bCs/>
          <w:color w:val="auto"/>
          <w:highlight w:val="none"/>
        </w:rPr>
        <w:t>2、仪器工作环境</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908"/>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1908"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6341"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19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环境温度</w:t>
            </w:r>
          </w:p>
        </w:tc>
        <w:tc>
          <w:tcPr>
            <w:tcW w:w="634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ascii="宋体" w:hAnsi="宋体"/>
                <w:color w:val="auto"/>
                <w:sz w:val="21"/>
                <w:szCs w:val="21"/>
                <w:highlight w:val="none"/>
              </w:rPr>
              <w:t>20</w:t>
            </w:r>
            <w:r>
              <w:rPr>
                <w:rFonts w:hint="eastAsia" w:ascii="宋体" w:hAnsi="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19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环境湿度</w:t>
            </w:r>
          </w:p>
        </w:tc>
        <w:tc>
          <w:tcPr>
            <w:tcW w:w="634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≤80%R.H. (无冷凝)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19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电源</w:t>
            </w:r>
          </w:p>
        </w:tc>
        <w:tc>
          <w:tcPr>
            <w:tcW w:w="634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单相200-240V@50 Hz，电流大于10A</w:t>
            </w:r>
          </w:p>
        </w:tc>
      </w:tr>
    </w:tbl>
    <w:p>
      <w:pPr>
        <w:ind w:firstLine="482"/>
        <w:rPr>
          <w:rFonts w:ascii="宋体" w:hAnsi="宋体"/>
          <w:b/>
          <w:bCs/>
          <w:color w:val="auto"/>
          <w:szCs w:val="28"/>
          <w:highlight w:val="none"/>
        </w:rPr>
      </w:pPr>
      <w:r>
        <w:rPr>
          <w:rFonts w:hint="eastAsia" w:ascii="宋体" w:hAnsi="宋体"/>
          <w:b/>
          <w:bCs/>
          <w:color w:val="auto"/>
          <w:highlight w:val="none"/>
        </w:rPr>
        <w:t>3、仪器主要技术指标</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1）仪器硬件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（1）采样模块</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采样模块</w:t>
            </w:r>
          </w:p>
        </w:tc>
        <w:tc>
          <w:tcPr>
            <w:tcW w:w="882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*C2-C12冷冻富集温度≤-10℃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2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*产品需以恒定流量进行采样，采样时间需≤45min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2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*吸附解吸管需能够快速加热，加热温度需≥180℃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2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采用分流进样，分流比可设置为5:1到90:1，可有效应对高浓度污染因子监测 </w:t>
            </w:r>
          </w:p>
        </w:tc>
      </w:tr>
    </w:tbl>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（2）色谱分离模块</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35"/>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193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6844"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kern w:val="0"/>
                <w:sz w:val="21"/>
                <w:szCs w:val="21"/>
                <w:highlight w:val="none"/>
              </w:rPr>
              <w:t>1</w:t>
            </w:r>
          </w:p>
        </w:tc>
        <w:tc>
          <w:tcPr>
            <w:tcW w:w="193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色谱柱系统</w:t>
            </w:r>
          </w:p>
        </w:tc>
        <w:tc>
          <w:tcPr>
            <w:tcW w:w="6844" w:type="dxa"/>
            <w:tcBorders>
              <w:top w:val="single" w:color="auto" w:sz="4" w:space="0"/>
              <w:left w:val="nil"/>
              <w:bottom w:val="single" w:color="auto" w:sz="4" w:space="0"/>
              <w:right w:val="single" w:color="auto" w:sz="4" w:space="0"/>
            </w:tcBorders>
          </w:tcPr>
          <w:p>
            <w:pPr>
              <w:tabs>
                <w:tab w:val="center" w:pos="3314"/>
              </w:tabs>
              <w:rPr>
                <w:rFonts w:ascii="宋体" w:hAnsi="宋体"/>
                <w:color w:val="auto"/>
                <w:sz w:val="21"/>
                <w:szCs w:val="21"/>
                <w:highlight w:val="none"/>
              </w:rPr>
            </w:pPr>
            <w:r>
              <w:rPr>
                <w:rFonts w:hint="eastAsia" w:ascii="宋体" w:hAnsi="宋体"/>
                <w:color w:val="auto"/>
                <w:sz w:val="21"/>
                <w:szCs w:val="21"/>
                <w:highlight w:val="none"/>
              </w:rPr>
              <w:t>产品需包含高碳色谱柱和低碳色谱柱.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19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功率</w:t>
            </w:r>
          </w:p>
        </w:tc>
        <w:tc>
          <w:tcPr>
            <w:tcW w:w="684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色谱柱模块正常分析时，功耗小于80W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w:t>
            </w:r>
          </w:p>
        </w:tc>
        <w:tc>
          <w:tcPr>
            <w:tcW w:w="193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系统残留</w:t>
            </w:r>
          </w:p>
        </w:tc>
        <w:tc>
          <w:tcPr>
            <w:tcW w:w="684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系统残留需要保证在100%组分情况下≤0.1nmol/mol</w:t>
            </w:r>
          </w:p>
        </w:tc>
      </w:tr>
    </w:tbl>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（3）FID检测器模块</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7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4" w:type="dxa"/>
            <w:vMerge w:val="restart"/>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ascii="宋体" w:hAnsi="宋体"/>
                <w:color w:val="auto"/>
                <w:sz w:val="21"/>
                <w:szCs w:val="21"/>
                <w:highlight w:val="none"/>
              </w:rPr>
              <w:t>*FID检测器模块</w:t>
            </w:r>
          </w:p>
        </w:tc>
        <w:tc>
          <w:tcPr>
            <w:tcW w:w="766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全自动电子压力控制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6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全自动点火，熄火自动保护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6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在线仪器专用FID检测器</w:t>
            </w:r>
          </w:p>
        </w:tc>
      </w:tr>
    </w:tbl>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（4）质谱检测器</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230"/>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223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6589"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离子化方式</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质量分析器</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四极质谱检测器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color w:val="auto"/>
                <w:sz w:val="21"/>
                <w:szCs w:val="21"/>
                <w:highlight w:val="none"/>
              </w:rPr>
              <w:t>*</w:t>
            </w:r>
            <w:r>
              <w:rPr>
                <w:rFonts w:hint="eastAsia" w:ascii="宋体" w:hAnsi="宋体"/>
                <w:color w:val="auto"/>
                <w:sz w:val="21"/>
                <w:szCs w:val="21"/>
                <w:highlight w:val="none"/>
              </w:rPr>
              <w:t>最高温度</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为确保测试间隔无残留，质量分析器可高温烘烤；最高温度可加热至200度。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4</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color w:val="auto"/>
                <w:sz w:val="21"/>
                <w:szCs w:val="21"/>
                <w:highlight w:val="none"/>
              </w:rPr>
              <w:t>*</w:t>
            </w:r>
            <w:r>
              <w:rPr>
                <w:rFonts w:hint="eastAsia" w:ascii="宋体" w:hAnsi="宋体"/>
                <w:color w:val="auto"/>
                <w:sz w:val="21"/>
                <w:szCs w:val="21"/>
                <w:highlight w:val="none"/>
              </w:rPr>
              <w:t>质量稳定度</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≤0.1amu/12 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5</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质谱最大扫描速度</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不低于：10000amu/s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6</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质量准确度</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≤0.1amu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7</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质量范围</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10-500amu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8</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质量分辨率</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优于单位质量分辨率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9</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真空系统</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无油涡卷泵+分子泵组合，真空系统无油设计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10</w:t>
            </w:r>
          </w:p>
        </w:tc>
        <w:tc>
          <w:tcPr>
            <w:tcW w:w="223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启动及恢复时间</w:t>
            </w:r>
          </w:p>
        </w:tc>
        <w:tc>
          <w:tcPr>
            <w:tcW w:w="658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开机抽真空到分析，时间不超过20分钟。意外断电后可以自行恢复测试，确保数据获取率达到国家要求</w:t>
            </w:r>
          </w:p>
        </w:tc>
      </w:tr>
    </w:tbl>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（5）仪器可集成在19英寸机柜内。</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2）仪器软件</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仪器软件</w:t>
            </w: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软件全中文操作，具有图标式操作界面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软件在WIN7/WIN8/XP等操作环境下工作；主机对温度、压力、气体、流量、时间等参数进行控制；主机屏幕实时显示浓度数据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数据加密存储，所有谱图原始文件，均进行加密，不可修改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数据分析软件具有数据采集，数据处理、谱库检索、报告输出功能。输出报告中可对所有物质进行分类统计，并提供各物质在不同时间段的变化趋势图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内置基于质谱数据的AMDIS解卷积算法，可有效应对共流程出的干扰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 xml:space="preserve">配置NIST谱库和环境VOCs专用数据库，根据检索结果和其它的信息，对未知物进行定性分析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 xml:space="preserve">内置NIOSH化合物信息库，辅助用户进行信息决策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1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软件终生提供免费升级服务 </w:t>
            </w:r>
          </w:p>
        </w:tc>
      </w:tr>
    </w:tbl>
    <w:p>
      <w:pPr>
        <w:ind w:firstLine="482"/>
        <w:rPr>
          <w:rFonts w:ascii="宋体" w:hAnsi="宋体"/>
          <w:b/>
          <w:bCs/>
          <w:color w:val="auto"/>
          <w:szCs w:val="28"/>
          <w:highlight w:val="none"/>
        </w:rPr>
      </w:pPr>
      <w:r>
        <w:rPr>
          <w:rFonts w:hint="eastAsia" w:ascii="宋体" w:hAnsi="宋体"/>
          <w:b/>
          <w:bCs/>
          <w:color w:val="auto"/>
          <w:highlight w:val="none"/>
        </w:rPr>
        <w:t>4、仪器性能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仪器性能</w:t>
            </w: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*标准曲线线性相关系数需要≥0.98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最低检出限(信噪比方法)：C2-C4，采用FID检测器；MSD测量C5-C12范围的碳氢化合物、含氧/氮挥发性有机物及卤代烃，对所有的目标分析物均能很好的分析和检测(提供加盖公章的PAMS，TO15及OVOC色谱分离谱图）PAMS中90%组份（至少包含乙烷和乙烯）的方法检出限≤0.1n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保留时间漂移：≤5%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*标准曲线与标准值相关误差需要≤15%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零点噪声小于等于0.03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24h浓度漂移需要小于±0.9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*仪器正常工作过程条件下时钟误差≤12s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ascii="宋体" w:hAnsi="宋体"/>
                <w:color w:val="auto"/>
                <w:sz w:val="21"/>
                <w:szCs w:val="21"/>
                <w:highlight w:val="none"/>
              </w:rPr>
            </w:pPr>
            <w:r>
              <w:rPr>
                <w:rFonts w:hint="eastAsia" w:ascii="宋体" w:hAnsi="宋体"/>
                <w:color w:val="auto"/>
                <w:sz w:val="21"/>
                <w:szCs w:val="21"/>
                <w:highlight w:val="none"/>
              </w:rPr>
              <w:t>供电及功率：220VAC±10%，50Hz ，≤1000瓦（含峰值）；（提供仪器原厂技术说明书或用户手册等证明文件）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jc w:val="left"/>
              <w:rPr>
                <w:rFonts w:hint="eastAsia" w:ascii="宋体" w:hAnsi="宋体"/>
                <w:color w:val="auto"/>
                <w:sz w:val="21"/>
                <w:szCs w:val="21"/>
                <w:highlight w:val="none"/>
              </w:rPr>
            </w:pPr>
          </w:p>
        </w:tc>
      </w:tr>
    </w:tbl>
    <w:p>
      <w:pPr>
        <w:ind w:firstLine="482"/>
        <w:rPr>
          <w:rFonts w:ascii="宋体" w:hAnsi="宋体"/>
          <w:b/>
          <w:bCs/>
          <w:color w:val="auto"/>
          <w:szCs w:val="28"/>
          <w:highlight w:val="none"/>
        </w:rPr>
      </w:pPr>
      <w:r>
        <w:rPr>
          <w:rFonts w:hint="eastAsia" w:ascii="宋体" w:hAnsi="宋体"/>
          <w:b/>
          <w:bCs/>
          <w:color w:val="auto"/>
          <w:highlight w:val="none"/>
        </w:rPr>
        <w:t>5、数据分析软件</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数据分析软件</w:t>
            </w:r>
          </w:p>
        </w:tc>
        <w:tc>
          <w:tcPr>
            <w:tcW w:w="827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*软件能够自动分析VOCs随时间变化规律，自动计算OFP臭氧生产潜势等参数，反映光化学污染状况及演变规律；（提供仪器软件界面截图）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*能够集成气象五参数分析仪，O3/NOx等常规分析仪，GPS及GIS等监测数据进行关联分析；（提供仪器操作界面截图）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27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*软件通过VOCs实时监测得到的特征污染因子，结合模型算法，识别VOCs污染来源，进行快速溯源；（提供仪器操作界面截图）</w:t>
            </w:r>
          </w:p>
        </w:tc>
      </w:tr>
    </w:tbl>
    <w:p>
      <w:pPr>
        <w:ind w:firstLine="482"/>
        <w:rPr>
          <w:rFonts w:ascii="宋体" w:hAnsi="宋体"/>
          <w:b/>
          <w:bCs/>
          <w:color w:val="auto"/>
          <w:szCs w:val="28"/>
          <w:highlight w:val="none"/>
        </w:rPr>
      </w:pPr>
      <w:r>
        <w:rPr>
          <w:rFonts w:hint="eastAsia" w:ascii="宋体" w:hAnsi="宋体"/>
          <w:b/>
          <w:bCs/>
          <w:color w:val="auto"/>
          <w:highlight w:val="none"/>
        </w:rPr>
        <w:t>6、技术服务和培训</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1）卖方须在交货日期60天内到买方提供的现场免费安装、调试设备，并出具现场调试报告。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2）免费提供现场培训，人数不限。内容包括仪器的基本原理、操作应用及仪器的维护保养知识，直到用户能正常使用和维护仪器。</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3）两名人员免费的提高操作培训；</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4）提供仪器一年的保修期；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5）长期提供技术支持，并免费提供所有公开发表的应用文献和最新仪器有关资料、通讯和用户论文集等。</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6）免费提供仪器使用手册、培训教材、应用文章等。</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7）所投产品制造商拥有在线监测系统及系统测试核心质谱仪主机的全部知识产权，通过质量管理体系认证，具有挥发性有机物在线监测系统和质谱分析仪控制软件的著作权。</w:t>
      </w:r>
    </w:p>
    <w:p>
      <w:pPr>
        <w:ind w:firstLine="482"/>
        <w:rPr>
          <w:rFonts w:ascii="宋体" w:hAnsi="宋体"/>
          <w:b/>
          <w:bCs/>
          <w:color w:val="auto"/>
          <w:highlight w:val="none"/>
        </w:rPr>
      </w:pPr>
      <w:r>
        <w:rPr>
          <w:rFonts w:hint="eastAsia" w:ascii="宋体" w:hAnsi="宋体"/>
          <w:b/>
          <w:bCs/>
          <w:color w:val="auto"/>
          <w:highlight w:val="none"/>
        </w:rPr>
        <w:t>7. 资质要求</w:t>
      </w:r>
    </w:p>
    <w:p>
      <w:pPr>
        <w:spacing w:line="360" w:lineRule="auto"/>
        <w:ind w:firstLine="480"/>
        <w:rPr>
          <w:rFonts w:ascii="宋体" w:hAnsi="宋体"/>
          <w:color w:val="auto"/>
          <w:sz w:val="24"/>
          <w:szCs w:val="24"/>
          <w:highlight w:val="none"/>
        </w:rPr>
      </w:pPr>
      <w:r>
        <w:rPr>
          <w:rFonts w:hint="eastAsia" w:ascii="宋体" w:hAnsi="宋体" w:cs="宋体"/>
          <w:color w:val="auto"/>
          <w:sz w:val="21"/>
          <w:szCs w:val="21"/>
          <w:highlight w:val="none"/>
        </w:rPr>
        <w:t>*1</w:t>
      </w:r>
      <w:r>
        <w:rPr>
          <w:rFonts w:hint="eastAsia" w:ascii="宋体" w:hAnsi="宋体"/>
          <w:color w:val="auto"/>
          <w:sz w:val="24"/>
          <w:szCs w:val="24"/>
          <w:highlight w:val="none"/>
        </w:rPr>
        <w:t>）所投产品能满足环保部《2018年重点地区环境空气挥发性有机物监测方案》规定的VOCs在线监测设备技术要求，具有中国环保产业协会出具的环境空气挥发性有机物在线监测设备环保认证证书和国家环境保护部环境监测仪器质量监督检验中心出具第三方检测报告，并提供认中国环境保护产品认证证书和检测报告的复印件。</w:t>
      </w:r>
    </w:p>
    <w:p>
      <w:pPr>
        <w:pStyle w:val="5"/>
        <w:rPr>
          <w:color w:val="auto"/>
          <w:highlight w:val="none"/>
        </w:rPr>
      </w:pPr>
      <w:r>
        <w:rPr>
          <w:rFonts w:hint="eastAsia"/>
          <w:color w:val="auto"/>
          <w:highlight w:val="none"/>
        </w:rPr>
        <w:t>全惰性化精密动态校准仪</w:t>
      </w:r>
      <w:r>
        <w:rPr>
          <w:rFonts w:hint="eastAsia"/>
          <w:color w:val="auto"/>
          <w:highlight w:val="none"/>
          <w:lang w:eastAsia="zh-CN"/>
        </w:rPr>
        <w:t xml:space="preserve">  </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951"/>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951"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b/>
                <w:bCs/>
                <w:color w:val="auto"/>
                <w:sz w:val="21"/>
                <w:szCs w:val="21"/>
                <w:highlight w:val="none"/>
              </w:rPr>
              <w:t>指标</w:t>
            </w:r>
          </w:p>
        </w:tc>
        <w:tc>
          <w:tcPr>
            <w:tcW w:w="6949"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工作原理</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通过气体质量流量控制器精确控制气体流量，将高浓度样品动态稀释至所需低浓度气体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惰性处理</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内部管路和接头全部经过严格惰性化处理，降低VOCs气体在管路中吸附残留的影响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零点校准</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通过质量流量传感器，自动控制气体流量，具备零点校准功能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压力及精度范围</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气体混合区域恒压采用电子压力控制，控制压力范围：0～300kPa，精度小于±0.2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气体混合</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气体混合区域压力与温度控制系统，确保气体在恒定环境下进行稀释混合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温控功能</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具有温控功能，混合区域温度可0～50℃设置，控制精度±1℃；质量流量传感器阀座温度可0～45℃温度设置，控制精度±1℃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设备功能</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具有远程遥控或序列编辑功能；具有多点自动序列配气功能，具有单点或多点自动校准功能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自动校准</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仪器支持通过内置序列设置方法实现多点自动校准功能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稀释比率</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1/10～1/5000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流量测量精度</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±1%满刻度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流量控制重复性</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±0.2%满刻度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流量控制线性度</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±0.5%满刻度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13</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监测功能</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具有自动检漏、压力检测和报警及保护功能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14</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接口及通讯方式</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仪器采用全中文软件设计，可通过LAN、RS232以及RS485等通讯方式与数采仪或外部仪表同步通讯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15</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显示设置</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仪表具LCD液晶屏显示，实时显示用户软件界面、系统设置/故障/报警信息等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16</w:t>
            </w:r>
          </w:p>
        </w:tc>
        <w:tc>
          <w:tcPr>
            <w:tcW w:w="195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尺寸</w:t>
            </w:r>
          </w:p>
        </w:tc>
        <w:tc>
          <w:tcPr>
            <w:tcW w:w="694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仪表可安装于19英寸机柜内</w:t>
            </w:r>
          </w:p>
        </w:tc>
      </w:tr>
    </w:tbl>
    <w:p>
      <w:pPr>
        <w:pStyle w:val="5"/>
        <w:rPr>
          <w:color w:val="auto"/>
          <w:szCs w:val="24"/>
          <w:highlight w:val="none"/>
        </w:rPr>
      </w:pPr>
      <w:r>
        <w:rPr>
          <w:rFonts w:hint="eastAsia"/>
          <w:color w:val="auto"/>
          <w:highlight w:val="none"/>
        </w:rPr>
        <w:t>动态校准仪（VOC版）</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906"/>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b/>
                <w:bCs/>
                <w:color w:val="auto"/>
                <w:sz w:val="21"/>
                <w:szCs w:val="21"/>
                <w:highlight w:val="none"/>
              </w:rPr>
              <w:t>指标</w:t>
            </w:r>
          </w:p>
        </w:tc>
        <w:tc>
          <w:tcPr>
            <w:tcW w:w="7079"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技术要求</w:t>
            </w:r>
          </w:p>
          <w:p>
            <w:pPr>
              <w:jc w:val="center"/>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稀释气流量范围</w:t>
            </w:r>
          </w:p>
        </w:tc>
        <w:tc>
          <w:tcPr>
            <w:tcW w:w="7079"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标配：0～10SLM；可选：0～5SLM、0～20SLM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标气流量范围</w:t>
            </w:r>
          </w:p>
        </w:tc>
        <w:tc>
          <w:tcPr>
            <w:tcW w:w="7079"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标配：0～100sccm；可选：0～50sccm0～200sccm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流量控制准确度</w:t>
            </w:r>
          </w:p>
        </w:tc>
        <w:tc>
          <w:tcPr>
            <w:tcW w:w="707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流量线性</w:t>
            </w:r>
          </w:p>
        </w:tc>
        <w:tc>
          <w:tcPr>
            <w:tcW w:w="707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±（0.5～1）%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标气输入口</w:t>
            </w:r>
          </w:p>
        </w:tc>
        <w:tc>
          <w:tcPr>
            <w:tcW w:w="707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906" w:type="dxa"/>
            <w:tcBorders>
              <w:top w:val="single" w:color="auto" w:sz="4" w:space="0"/>
              <w:left w:val="nil"/>
              <w:bottom w:val="single" w:color="auto" w:sz="4" w:space="0"/>
              <w:right w:val="single" w:color="auto" w:sz="4" w:space="0"/>
            </w:tcBorders>
            <w:shd w:val="clear" w:color="auto" w:fill="auto"/>
          </w:tcPr>
          <w:p>
            <w:pPr>
              <w:rPr>
                <w:rFonts w:ascii="宋体" w:hAnsi="宋体"/>
                <w:color w:val="auto"/>
                <w:sz w:val="21"/>
                <w:szCs w:val="21"/>
                <w:highlight w:val="none"/>
              </w:rPr>
            </w:pPr>
            <w:r>
              <w:rPr>
                <w:rFonts w:hint="eastAsia" w:ascii="宋体" w:hAnsi="宋体"/>
                <w:color w:val="auto"/>
                <w:sz w:val="21"/>
                <w:szCs w:val="21"/>
                <w:highlight w:val="none"/>
              </w:rPr>
              <w:t>稀释气输入口</w:t>
            </w:r>
          </w:p>
        </w:tc>
        <w:tc>
          <w:tcPr>
            <w:tcW w:w="707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功能要求</w:t>
            </w:r>
          </w:p>
        </w:tc>
        <w:tc>
          <w:tcPr>
            <w:tcW w:w="8985" w:type="dxa"/>
            <w:gridSpan w:val="2"/>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中文触摸式彩屏，显示内容丰富，人性化的人机界面设计，方便的快捷菜单查询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985" w:type="dxa"/>
            <w:gridSpan w:val="2"/>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模块化设计，方便操作维护，全面的开机自检和运行自诊断功能，方便用户快速定位判断故障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985" w:type="dxa"/>
            <w:gridSpan w:val="2"/>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运行稳定，精度高，重复性好，操作简单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985" w:type="dxa"/>
            <w:gridSpan w:val="2"/>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采用高精度质量流量计进行流量控制，可靠性高，稳定性好，最大可实现1:2000的样气配比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985" w:type="dxa"/>
            <w:gridSpan w:val="2"/>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支持校准程序编程，编程方法简便快捷，可满足用户个性化的校准需求</w:t>
            </w:r>
          </w:p>
        </w:tc>
      </w:tr>
    </w:tbl>
    <w:p>
      <w:pPr>
        <w:pStyle w:val="5"/>
        <w:rPr>
          <w:color w:val="auto"/>
          <w:szCs w:val="24"/>
          <w:highlight w:val="none"/>
        </w:rPr>
      </w:pPr>
      <w:r>
        <w:rPr>
          <w:rFonts w:hint="eastAsia"/>
          <w:color w:val="auto"/>
          <w:highlight w:val="none"/>
        </w:rPr>
        <w:t>动态校准仪（含臭氧模块版）</w:t>
      </w:r>
    </w:p>
    <w:p>
      <w:pPr>
        <w:ind w:firstLine="482"/>
        <w:rPr>
          <w:rFonts w:ascii="宋体" w:hAnsi="宋体"/>
          <w:b/>
          <w:bCs/>
          <w:color w:val="auto"/>
          <w:highlight w:val="none"/>
        </w:rPr>
      </w:pPr>
      <w:r>
        <w:rPr>
          <w:rFonts w:hint="eastAsia" w:ascii="宋体" w:hAnsi="宋体"/>
          <w:b/>
          <w:bCs/>
          <w:color w:val="auto"/>
          <w:highlight w:val="none"/>
        </w:rPr>
        <w:t>1、技术参数要求：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357"/>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单元</w:t>
            </w:r>
          </w:p>
        </w:tc>
        <w:tc>
          <w:tcPr>
            <w:tcW w:w="235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906"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基本单元（稀释配气部分）</w:t>
            </w: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稀释气流量范围</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标配：0～10SLM；可选：0～5SLM、0～20SLM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标气流量范围</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标配：0～100sccm；可选：0～50sccm0～200sccm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流量控制准确度</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流量线性</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±（0.5～1）%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流量控制重复性</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±0.2%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标气输入口</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稀释气输入口</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臭氧发生器</w:t>
            </w: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输出范围</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0.1～6ppm（1SLM）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稳定性</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﹤1%/24h(有光度计)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线性度</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﹤1%F.S. (有光度计)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臭氧光度计</w:t>
            </w: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（0～0.5）ppm，（0～10）ppm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准确度</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1.0 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线性度</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上升/下降时间</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响应时间</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180s（95%）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零点漂移</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&lt;1.0 ppb / 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量程漂移</w:t>
            </w:r>
          </w:p>
        </w:tc>
        <w:tc>
          <w:tcPr>
            <w:tcW w:w="590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&lt;1%F.S. /24h</w:t>
            </w:r>
          </w:p>
        </w:tc>
      </w:tr>
    </w:tbl>
    <w:p>
      <w:pPr>
        <w:ind w:firstLine="482"/>
        <w:rPr>
          <w:rFonts w:ascii="宋体" w:hAnsi="宋体"/>
          <w:b/>
          <w:bCs/>
          <w:color w:val="auto"/>
          <w:szCs w:val="28"/>
          <w:highlight w:val="none"/>
        </w:rPr>
      </w:pPr>
      <w:r>
        <w:rPr>
          <w:rFonts w:hint="eastAsia" w:ascii="宋体" w:hAnsi="宋体"/>
          <w:b/>
          <w:bCs/>
          <w:color w:val="auto"/>
          <w:highlight w:val="none"/>
        </w:rPr>
        <w:t>2、功能要求: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功能要求</w:t>
            </w: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中文触摸式彩屏，显示内容丰富，人性化的人机界面设计，方便的快捷菜单查询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模块化设计，方便操作维护，全面的开机自检和运行自诊断功能，方便用户快速定位判断故障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运行稳定，精度高，重复性好，操作简单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采用高精度质量流量计进行流量控制，可靠性高，稳定性好，最大可实现1:2000的样气配比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汞灯光强衰减报警提醒功能，提醒用户及时检查更换光源，保证检测数据的有效性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87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支持校准程序编程，编程方法简便快捷，可满足用户个性化的校准需求</w:t>
            </w:r>
          </w:p>
        </w:tc>
      </w:tr>
    </w:tbl>
    <w:p>
      <w:pPr>
        <w:pStyle w:val="5"/>
        <w:rPr>
          <w:color w:val="auto"/>
          <w:highlight w:val="none"/>
        </w:rPr>
      </w:pPr>
      <w:r>
        <w:rPr>
          <w:rFonts w:hint="eastAsia"/>
          <w:color w:val="auto"/>
          <w:highlight w:val="none"/>
        </w:rPr>
        <w:t>渗透炉校准仪</w:t>
      </w:r>
    </w:p>
    <w:tbl>
      <w:tblPr>
        <w:tblStyle w:val="2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77"/>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宋体" w:hAnsi="宋体"/>
                <w:color w:val="auto"/>
                <w:sz w:val="21"/>
                <w:szCs w:val="21"/>
                <w:highlight w:val="none"/>
              </w:rPr>
            </w:pPr>
            <w:r>
              <w:rPr>
                <w:rFonts w:hint="eastAsia" w:ascii="宋体" w:hAnsi="宋体"/>
                <w:color w:val="auto"/>
                <w:sz w:val="21"/>
                <w:szCs w:val="21"/>
                <w:highlight w:val="none"/>
              </w:rPr>
              <w:t>序号</w:t>
            </w:r>
          </w:p>
        </w:tc>
        <w:tc>
          <w:tcPr>
            <w:tcW w:w="2977" w:type="dxa"/>
          </w:tcPr>
          <w:p>
            <w:pPr>
              <w:rPr>
                <w:rFonts w:ascii="宋体" w:hAnsi="宋体"/>
                <w:color w:val="auto"/>
                <w:sz w:val="21"/>
                <w:szCs w:val="21"/>
                <w:highlight w:val="none"/>
              </w:rPr>
            </w:pPr>
            <w:r>
              <w:rPr>
                <w:rFonts w:hint="eastAsia" w:ascii="宋体" w:hAnsi="宋体"/>
                <w:color w:val="auto"/>
                <w:sz w:val="21"/>
                <w:szCs w:val="21"/>
                <w:highlight w:val="none"/>
              </w:rPr>
              <w:t>指标</w:t>
            </w:r>
          </w:p>
        </w:tc>
        <w:tc>
          <w:tcPr>
            <w:tcW w:w="5386" w:type="dxa"/>
          </w:tcPr>
          <w:p>
            <w:pPr>
              <w:rPr>
                <w:rFonts w:ascii="宋体" w:hAnsi="宋体"/>
                <w:color w:val="auto"/>
                <w:sz w:val="21"/>
                <w:szCs w:val="21"/>
                <w:highlight w:val="none"/>
              </w:rPr>
            </w:pPr>
            <w:r>
              <w:rPr>
                <w:rFonts w:hint="eastAsia" w:ascii="宋体" w:hAnsi="宋体"/>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宋体" w:hAnsi="宋体"/>
                <w:color w:val="auto"/>
                <w:sz w:val="21"/>
                <w:szCs w:val="21"/>
                <w:highlight w:val="none"/>
              </w:rPr>
            </w:pPr>
            <w:r>
              <w:rPr>
                <w:rFonts w:hint="eastAsia" w:ascii="宋体" w:hAnsi="宋体"/>
                <w:color w:val="auto"/>
                <w:sz w:val="21"/>
                <w:szCs w:val="21"/>
                <w:highlight w:val="none"/>
              </w:rPr>
              <w:t>1</w:t>
            </w:r>
          </w:p>
        </w:tc>
        <w:tc>
          <w:tcPr>
            <w:tcW w:w="2977" w:type="dxa"/>
          </w:tcPr>
          <w:p>
            <w:pPr>
              <w:rPr>
                <w:rFonts w:ascii="宋体" w:hAnsi="宋体"/>
                <w:color w:val="auto"/>
                <w:sz w:val="21"/>
                <w:szCs w:val="21"/>
                <w:highlight w:val="none"/>
              </w:rPr>
            </w:pPr>
            <w:r>
              <w:rPr>
                <w:rFonts w:hint="eastAsia" w:ascii="宋体" w:hAnsi="宋体"/>
                <w:color w:val="auto"/>
                <w:sz w:val="21"/>
                <w:szCs w:val="21"/>
                <w:highlight w:val="none"/>
              </w:rPr>
              <w:t>温度控制精度</w:t>
            </w:r>
          </w:p>
        </w:tc>
        <w:tc>
          <w:tcPr>
            <w:tcW w:w="5386" w:type="dxa"/>
          </w:tcPr>
          <w:p>
            <w:pPr>
              <w:rPr>
                <w:rFonts w:ascii="宋体" w:hAnsi="宋体"/>
                <w:color w:val="auto"/>
                <w:sz w:val="21"/>
                <w:szCs w:val="21"/>
                <w:highlight w:val="none"/>
              </w:rPr>
            </w:pPr>
            <w:r>
              <w:rPr>
                <w:rFonts w:hint="eastAsia" w:ascii="宋体" w:hAnsi="宋体"/>
                <w:color w:val="auto"/>
                <w:sz w:val="21"/>
                <w:szCs w:val="21"/>
                <w:highlight w:val="none"/>
              </w:rPr>
              <w:t>±0.01°C 在 110°C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宋体" w:hAnsi="宋体"/>
                <w:color w:val="auto"/>
                <w:sz w:val="21"/>
                <w:szCs w:val="21"/>
                <w:highlight w:val="none"/>
              </w:rPr>
            </w:pPr>
            <w:r>
              <w:rPr>
                <w:rFonts w:hint="eastAsia" w:ascii="宋体" w:hAnsi="宋体"/>
                <w:color w:val="auto"/>
                <w:sz w:val="21"/>
                <w:szCs w:val="21"/>
                <w:highlight w:val="none"/>
              </w:rPr>
              <w:t>2</w:t>
            </w:r>
          </w:p>
        </w:tc>
        <w:tc>
          <w:tcPr>
            <w:tcW w:w="2977" w:type="dxa"/>
          </w:tcPr>
          <w:p>
            <w:pPr>
              <w:rPr>
                <w:rFonts w:ascii="宋体" w:hAnsi="宋体"/>
                <w:color w:val="auto"/>
                <w:sz w:val="21"/>
                <w:szCs w:val="21"/>
                <w:highlight w:val="none"/>
              </w:rPr>
            </w:pPr>
            <w:r>
              <w:rPr>
                <w:rFonts w:hint="eastAsia" w:ascii="宋体" w:hAnsi="宋体"/>
                <w:color w:val="auto"/>
                <w:sz w:val="21"/>
                <w:szCs w:val="21"/>
                <w:highlight w:val="none"/>
              </w:rPr>
              <w:t>供气范围</w:t>
            </w:r>
          </w:p>
        </w:tc>
        <w:tc>
          <w:tcPr>
            <w:tcW w:w="5386" w:type="dxa"/>
          </w:tcPr>
          <w:p>
            <w:pPr>
              <w:rPr>
                <w:rFonts w:ascii="宋体" w:hAnsi="宋体"/>
                <w:color w:val="auto"/>
                <w:sz w:val="21"/>
                <w:szCs w:val="21"/>
                <w:highlight w:val="none"/>
              </w:rPr>
            </w:pPr>
            <w:r>
              <w:rPr>
                <w:rFonts w:hint="eastAsia" w:ascii="宋体" w:hAnsi="宋体"/>
                <w:color w:val="auto"/>
                <w:sz w:val="21"/>
                <w:szCs w:val="21"/>
                <w:highlight w:val="none"/>
              </w:rPr>
              <w:t>PPB – 高浓度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宋体" w:hAnsi="宋体"/>
                <w:color w:val="auto"/>
                <w:sz w:val="21"/>
                <w:szCs w:val="21"/>
                <w:highlight w:val="none"/>
              </w:rPr>
            </w:pPr>
            <w:r>
              <w:rPr>
                <w:rFonts w:hint="eastAsia" w:ascii="宋体" w:hAnsi="宋体"/>
                <w:color w:val="auto"/>
                <w:sz w:val="21"/>
                <w:szCs w:val="21"/>
                <w:highlight w:val="none"/>
              </w:rPr>
              <w:t>3</w:t>
            </w:r>
          </w:p>
        </w:tc>
        <w:tc>
          <w:tcPr>
            <w:tcW w:w="2977" w:type="dxa"/>
          </w:tcPr>
          <w:p>
            <w:pPr>
              <w:rPr>
                <w:rFonts w:ascii="宋体" w:hAnsi="宋体"/>
                <w:color w:val="auto"/>
                <w:sz w:val="21"/>
                <w:szCs w:val="21"/>
                <w:highlight w:val="none"/>
              </w:rPr>
            </w:pPr>
            <w:r>
              <w:rPr>
                <w:rFonts w:hint="eastAsia" w:ascii="宋体" w:hAnsi="宋体"/>
                <w:color w:val="auto"/>
                <w:sz w:val="21"/>
                <w:szCs w:val="21"/>
                <w:highlight w:val="none"/>
              </w:rPr>
              <w:t>渗透腔</w:t>
            </w:r>
          </w:p>
        </w:tc>
        <w:tc>
          <w:tcPr>
            <w:tcW w:w="5386" w:type="dxa"/>
          </w:tcPr>
          <w:p>
            <w:pPr>
              <w:rPr>
                <w:rFonts w:ascii="宋体" w:hAnsi="宋体"/>
                <w:color w:val="auto"/>
                <w:sz w:val="21"/>
                <w:szCs w:val="21"/>
                <w:highlight w:val="none"/>
              </w:rPr>
            </w:pPr>
            <w:r>
              <w:rPr>
                <w:rFonts w:hint="eastAsia" w:ascii="宋体" w:hAnsi="宋体"/>
                <w:color w:val="auto"/>
                <w:sz w:val="21"/>
                <w:szCs w:val="21"/>
                <w:highlight w:val="none"/>
              </w:rPr>
              <w:t>两个独立的渗透腔</w:t>
            </w:r>
          </w:p>
        </w:tc>
      </w:tr>
    </w:tbl>
    <w:p>
      <w:pPr>
        <w:pStyle w:val="5"/>
        <w:rPr>
          <w:color w:val="auto"/>
          <w:szCs w:val="24"/>
          <w:highlight w:val="none"/>
        </w:rPr>
      </w:pPr>
      <w:r>
        <w:rPr>
          <w:rFonts w:hint="eastAsia"/>
          <w:color w:val="auto"/>
          <w:highlight w:val="none"/>
        </w:rPr>
        <w:t>零气发生器（用于GC-MS）</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3008"/>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序号</w:t>
            </w:r>
          </w:p>
        </w:tc>
        <w:tc>
          <w:tcPr>
            <w:tcW w:w="3008"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30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1</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输出零气流量</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0-5000ml/min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2</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输出零气烃类含</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3</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输出零气压力</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0.1-0.6Mpa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4</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输出零气露点</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5</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输出零气颗粒</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＜0.01μm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6</w:t>
            </w:r>
          </w:p>
        </w:tc>
        <w:tc>
          <w:tcPr>
            <w:tcW w:w="300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工作条件</w:t>
            </w:r>
          </w:p>
        </w:tc>
        <w:tc>
          <w:tcPr>
            <w:tcW w:w="53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环境温度1-40℃，湿度＜80%</w:t>
            </w:r>
          </w:p>
        </w:tc>
      </w:tr>
    </w:tbl>
    <w:p>
      <w:pPr>
        <w:pStyle w:val="5"/>
        <w:rPr>
          <w:color w:val="auto"/>
          <w:szCs w:val="24"/>
          <w:highlight w:val="none"/>
        </w:rPr>
      </w:pPr>
      <w:r>
        <w:rPr>
          <w:rFonts w:hint="eastAsia"/>
          <w:color w:val="auto"/>
          <w:highlight w:val="none"/>
        </w:rPr>
        <w:t>零气发生器</w:t>
      </w:r>
    </w:p>
    <w:p>
      <w:pPr>
        <w:ind w:firstLine="482"/>
        <w:rPr>
          <w:rFonts w:ascii="宋体" w:hAnsi="宋体"/>
          <w:b/>
          <w:bCs/>
          <w:color w:val="auto"/>
          <w:highlight w:val="none"/>
        </w:rPr>
      </w:pPr>
      <w:r>
        <w:rPr>
          <w:rFonts w:hint="eastAsia" w:ascii="宋体" w:hAnsi="宋体"/>
          <w:b/>
          <w:bCs/>
          <w:color w:val="auto"/>
          <w:highlight w:val="none"/>
        </w:rPr>
        <w:t>1、技术参数要求: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65"/>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序号</w:t>
            </w:r>
          </w:p>
        </w:tc>
        <w:tc>
          <w:tcPr>
            <w:tcW w:w="126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48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126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输出流量</w:t>
            </w:r>
          </w:p>
        </w:tc>
        <w:tc>
          <w:tcPr>
            <w:tcW w:w="748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20SLPM，当30Psig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2</w:t>
            </w:r>
          </w:p>
        </w:tc>
        <w:tc>
          <w:tcPr>
            <w:tcW w:w="126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露点</w:t>
            </w:r>
          </w:p>
        </w:tc>
        <w:tc>
          <w:tcPr>
            <w:tcW w:w="748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&lt;-30℃（&lt;15L）；&lt;-20℃（＞15L）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1"/>
                <w:szCs w:val="21"/>
                <w:highlight w:val="none"/>
              </w:rPr>
            </w:pPr>
            <w:r>
              <w:rPr>
                <w:rFonts w:hint="eastAsia" w:ascii="宋体" w:hAnsi="宋体"/>
                <w:color w:val="auto"/>
                <w:kern w:val="0"/>
                <w:sz w:val="21"/>
                <w:szCs w:val="21"/>
                <w:highlight w:val="none"/>
              </w:rPr>
              <w:t>3</w:t>
            </w:r>
          </w:p>
        </w:tc>
        <w:tc>
          <w:tcPr>
            <w:tcW w:w="12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输出浓度</w:t>
            </w:r>
          </w:p>
        </w:tc>
        <w:tc>
          <w:tcPr>
            <w:tcW w:w="748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SO2＜0.1ppb,NO＜0.1ppb,NO2＜0.1ppb,H2S＜0.1ppb,NH3＜0.1ppb， O3＜0.4ppb,CO＜0.02ppm,CH4＜5ppb,非甲烷总烃＜0.25ppb</w:t>
            </w:r>
          </w:p>
        </w:tc>
      </w:tr>
    </w:tbl>
    <w:p>
      <w:pPr>
        <w:ind w:firstLine="482"/>
        <w:rPr>
          <w:rFonts w:ascii="宋体" w:hAnsi="宋体"/>
          <w:b/>
          <w:bCs/>
          <w:color w:val="auto"/>
          <w:szCs w:val="28"/>
          <w:highlight w:val="none"/>
        </w:rPr>
      </w:pPr>
      <w:r>
        <w:rPr>
          <w:rFonts w:hint="eastAsia" w:ascii="宋体" w:hAnsi="宋体"/>
          <w:b/>
          <w:bCs/>
          <w:color w:val="auto"/>
          <w:highlight w:val="none"/>
        </w:rPr>
        <w:t>2、功能要求: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功能要求</w:t>
            </w: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输出的零气干燥、清洁、流量稳定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输出的零气流量最大可达20L/min，输出压力可调节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带有零气露点报警和仪器故障报警功能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日常维护量少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可以长期连续安全可靠地运行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2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外置空气压缩机在无人值守的情况下可以实现自动排水功能</w:t>
            </w:r>
          </w:p>
        </w:tc>
      </w:tr>
    </w:tbl>
    <w:p>
      <w:pPr>
        <w:pStyle w:val="5"/>
        <w:rPr>
          <w:color w:val="auto"/>
          <w:szCs w:val="24"/>
          <w:highlight w:val="none"/>
        </w:rPr>
      </w:pPr>
      <w:r>
        <w:rPr>
          <w:rFonts w:hint="eastAsia"/>
          <w:color w:val="auto"/>
          <w:highlight w:val="none"/>
        </w:rPr>
        <w:t>氢气发生器</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55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553"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67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氢气纯度</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氢气流量</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0～500ml/min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流量显示</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LED数字显示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工作压力</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0～0.4MPa（出厂时设定0.4MPa）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稳压精度</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0.02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553" w:type="dxa"/>
            <w:tcBorders>
              <w:top w:val="single" w:color="auto" w:sz="4" w:space="0"/>
              <w:left w:val="nil"/>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供电电源</w:t>
            </w:r>
          </w:p>
        </w:tc>
        <w:tc>
          <w:tcPr>
            <w:tcW w:w="5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～220V ±10% 50Hz</w:t>
            </w:r>
          </w:p>
        </w:tc>
      </w:tr>
    </w:tbl>
    <w:p>
      <w:pPr>
        <w:pStyle w:val="5"/>
        <w:rPr>
          <w:color w:val="auto"/>
          <w:highlight w:val="none"/>
        </w:rPr>
      </w:pPr>
      <w:r>
        <w:rPr>
          <w:rFonts w:hint="eastAsia"/>
          <w:color w:val="auto"/>
          <w:highlight w:val="none"/>
        </w:rPr>
        <w:t>气象五参数</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55"/>
        <w:gridCol w:w="1677"/>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532" w:type="dxa"/>
            <w:gridSpan w:val="2"/>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技术参数</w:t>
            </w:r>
          </w:p>
        </w:tc>
        <w:tc>
          <w:tcPr>
            <w:tcW w:w="6324"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855"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温度</w:t>
            </w: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测量原理</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二极管结电压法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测量范围</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测量精度</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855"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湿度</w:t>
            </w: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测量原理</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电容式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测量范围</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0—100% R</w:t>
            </w:r>
            <w:r>
              <w:rPr>
                <w:rFonts w:ascii="宋体" w:hAnsi="宋体"/>
                <w:color w:val="auto"/>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测量度</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 R</w:t>
            </w:r>
            <w:r>
              <w:rPr>
                <w:rFonts w:ascii="宋体" w:hAnsi="宋体"/>
                <w:color w:val="auto"/>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855"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气压</w:t>
            </w: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测量原理</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压阻式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测量范围</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ascii="宋体" w:hAnsi="宋体"/>
                <w:color w:val="auto"/>
                <w:sz w:val="21"/>
                <w:szCs w:val="21"/>
                <w:highlight w:val="none"/>
              </w:rPr>
              <w:t>10</w:t>
            </w:r>
            <w:r>
              <w:rPr>
                <w:rFonts w:hint="eastAsia" w:ascii="宋体" w:hAnsi="宋体"/>
                <w:color w:val="auto"/>
                <w:sz w:val="21"/>
                <w:szCs w:val="21"/>
                <w:highlight w:val="none"/>
              </w:rPr>
              <w:t>—1200百帕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测量精度</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±0.5百帕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855"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风向</w:t>
            </w: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测量原理</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超声波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测量范围</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测量精度</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13</w:t>
            </w:r>
          </w:p>
        </w:tc>
        <w:tc>
          <w:tcPr>
            <w:tcW w:w="855"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风速</w:t>
            </w: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测量原理</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超声波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14</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测量范围</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w:t>
            </w:r>
            <w:r>
              <w:rPr>
                <w:rFonts w:ascii="宋体" w:hAnsi="宋体"/>
                <w:color w:val="auto"/>
                <w:sz w:val="21"/>
                <w:szCs w:val="21"/>
                <w:highlight w:val="none"/>
              </w:rPr>
              <w:t>60</w:t>
            </w:r>
            <w:r>
              <w:rPr>
                <w:rFonts w:hint="eastAsia" w:ascii="宋体" w:hAnsi="宋体"/>
                <w:color w:val="auto"/>
                <w:sz w:val="21"/>
                <w:szCs w:val="21"/>
                <w:highlight w:val="none"/>
              </w:rPr>
              <w:t>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15</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6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测量精度</w:t>
            </w:r>
          </w:p>
        </w:tc>
        <w:tc>
          <w:tcPr>
            <w:tcW w:w="632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±0.2m/s或读数的3%（0～35m/s），两者中取最大值</w:t>
            </w:r>
          </w:p>
        </w:tc>
      </w:tr>
    </w:tbl>
    <w:p>
      <w:pPr>
        <w:pStyle w:val="5"/>
        <w:rPr>
          <w:color w:val="auto"/>
          <w:szCs w:val="24"/>
          <w:highlight w:val="none"/>
        </w:rPr>
      </w:pPr>
      <w:r>
        <w:rPr>
          <w:rFonts w:hint="eastAsia"/>
          <w:color w:val="auto"/>
          <w:highlight w:val="none"/>
        </w:rPr>
        <w:t>采样系统</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681"/>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681"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196"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采样装置</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垂直层流式采样总管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采样头</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防止雨水和粗大的颗粒物落入总管，同时避免鸟类、小动物和大型昆虫进入总管。采样头的设计保证采样气流不受风向影响，稳定进入总管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采样总管</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总管内径范围在1.5-15cm，采样总管内的气流保持层流状态，采样气体在总管内的滞留时间小于20s，各支管接头间隔距离大于8cm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68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温度要求</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管线外壁加装保温套或加热器，加热温度控制在30℃～100℃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68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制作材料</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不锈钢内衬聚四氟乙烯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68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样品相对湿度</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68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雷诺数</w:t>
            </w:r>
          </w:p>
        </w:tc>
        <w:tc>
          <w:tcPr>
            <w:tcW w:w="719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&lt;2000</w:t>
            </w:r>
          </w:p>
        </w:tc>
      </w:tr>
    </w:tbl>
    <w:p>
      <w:pPr>
        <w:pStyle w:val="5"/>
        <w:rPr>
          <w:color w:val="auto"/>
          <w:szCs w:val="24"/>
          <w:highlight w:val="none"/>
        </w:rPr>
      </w:pPr>
      <w:r>
        <w:rPr>
          <w:rFonts w:hint="eastAsia"/>
          <w:color w:val="auto"/>
          <w:highlight w:val="none"/>
        </w:rPr>
        <w:t>数采系统</w:t>
      </w:r>
    </w:p>
    <w:p>
      <w:pPr>
        <w:ind w:left="480"/>
        <w:rPr>
          <w:rFonts w:ascii="宋体" w:hAnsi="宋体"/>
          <w:b/>
          <w:bCs/>
          <w:color w:val="auto"/>
          <w:highlight w:val="none"/>
        </w:rPr>
      </w:pPr>
      <w:r>
        <w:rPr>
          <w:rFonts w:hint="eastAsia" w:ascii="宋体" w:hAnsi="宋体"/>
          <w:b/>
          <w:bCs/>
          <w:color w:val="auto"/>
          <w:highlight w:val="none"/>
        </w:rPr>
        <w:t>1、总体功能要求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用于监测站内所有在线分析仪器和校准设备的工作控制、数据采集、零气和标准气的供给时序、数据通讯等任务的执行。控制功能应满足空气质量自动监测系统的数据采集、控制、通讯等全部要求。</w:t>
      </w:r>
    </w:p>
    <w:p>
      <w:pPr>
        <w:ind w:left="480"/>
        <w:rPr>
          <w:rFonts w:ascii="宋体" w:hAnsi="宋体"/>
          <w:b/>
          <w:bCs/>
          <w:color w:val="auto"/>
          <w:highlight w:val="none"/>
        </w:rPr>
      </w:pPr>
      <w:r>
        <w:rPr>
          <w:rFonts w:hint="eastAsia" w:ascii="宋体" w:hAnsi="宋体"/>
          <w:b/>
          <w:bCs/>
          <w:color w:val="auto"/>
          <w:highlight w:val="none"/>
        </w:rPr>
        <w:t>2、主要技术参数要求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主要技术参数要求</w:t>
            </w:r>
          </w:p>
          <w:p>
            <w:pPr>
              <w:jc w:val="center"/>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可以通过RS232、485通讯、有线网络、无线网络通讯方式，实现与分析仪器联接并采集仪器的测量结果和工作状态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软件每个采集定时器的周期与每个分析仪器测量周期应保持一致且一一对应，并且软件采集周期可设；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应内置多种国内外通讯协议（“HJ212-2017污染物在线监控（监测）系统数据传输标准”、Modbus等协议），兼容各类环境监测分析仪器；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不少于8个串口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停电后可长期保存系统设置参数，电源恢复后可自动启动，进入工作状态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全面支持网络通讯：可以支持有线网络、无线网络(含4G等)多种通讯方式，所有具有数字通讯功能的设备均实现了远程网络通讯；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系统稳定性：整套软件运行于window系统之上，确保系统的稳定和安全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系统安全性：数据采用加密传输和严格的权限控制，身份认证，确保系统不受内部和外来的安全威胁</w:t>
            </w:r>
          </w:p>
        </w:tc>
      </w:tr>
    </w:tbl>
    <w:p>
      <w:pPr>
        <w:rPr>
          <w:rFonts w:ascii="宋体" w:hAnsi="宋体"/>
          <w:b/>
          <w:bCs/>
          <w:color w:val="auto"/>
          <w:szCs w:val="28"/>
          <w:highlight w:val="none"/>
        </w:rPr>
      </w:pPr>
      <w:r>
        <w:rPr>
          <w:rFonts w:hint="eastAsia" w:ascii="宋体" w:hAnsi="宋体"/>
          <w:b/>
          <w:bCs/>
          <w:color w:val="auto"/>
          <w:highlight w:val="none"/>
        </w:rPr>
        <w:t>3、软件功能要求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710"/>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1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14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数据上传</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数据上传握手机制与断点续传机制，支持监测站点多通道监测数据上传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系统报警</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系统可灵活设置各种报警方式；可远程显示现场工作状态、仪器设备故障自动报警、异常值自动报警，并能将报警信号自动发送至监控中心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设备控制</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操作人员可在现场对设备进行校零、校标等操作或结合中心端软硬件平台远程对设备进行校零、校标等操作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数据存储</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系统可以实时存储保存一年以上实时数据及小时均值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用户管理</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系统具备严格的用户管理和权限控制功能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数据审核</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系统可对报警信号，监测数据进行自动审核和有效性判断，自动对无效数据进行标注，实现数据的前端一级审核。（需结合中心站）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数据备份</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数据可实现异地备份与恢复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数据输出</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数据采集与传输支持数字量和模拟量输出，其中模拟量采集值与测量值误差≤1%（满量程）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信息监测</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具备测量数据及实时状态的查询功能，按需要进行各种方式的数据查询；数据采集器应可正确显示分析仪测定的资料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设备时间</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数据采集器显示的监测资料对应的监测时间应与监测仪显示的时间一致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数据查询</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具备数据查询功能，不仅能查询一定时间段的历史数据，而且能查询5分钟均值、小时均值，并且配有形象的图形显示，便于用户了解各个参数随时间的变化趋势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w:t>
            </w:r>
          </w:p>
        </w:tc>
        <w:tc>
          <w:tcPr>
            <w:tcW w:w="171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仪器数据补遗</w:t>
            </w:r>
          </w:p>
        </w:tc>
        <w:tc>
          <w:tcPr>
            <w:tcW w:w="71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支持将测量仪器数据补遗到数采软件，防止数据缺失</w:t>
            </w:r>
          </w:p>
        </w:tc>
      </w:tr>
    </w:tbl>
    <w:p>
      <w:pPr>
        <w:ind w:left="480"/>
        <w:rPr>
          <w:rFonts w:ascii="宋体" w:hAnsi="宋体"/>
          <w:b/>
          <w:bCs/>
          <w:color w:val="auto"/>
          <w:szCs w:val="28"/>
          <w:highlight w:val="none"/>
        </w:rPr>
      </w:pPr>
      <w:r>
        <w:rPr>
          <w:rFonts w:hint="eastAsia" w:ascii="宋体" w:hAnsi="宋体"/>
          <w:b/>
          <w:bCs/>
          <w:color w:val="auto"/>
          <w:highlight w:val="none"/>
        </w:rPr>
        <w:t>4、数据采集工控机硬件要求</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06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硬件要求</w:t>
            </w:r>
          </w:p>
        </w:tc>
        <w:tc>
          <w:tcPr>
            <w:tcW w:w="756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CPU主频不小于3GHz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6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内存大小不小于2G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6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硬盘容量不小于500G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6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串口情况：类型为RS232、数量不小于6个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6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配备键盘、鼠标、17寸显示器</w:t>
            </w:r>
          </w:p>
        </w:tc>
      </w:tr>
    </w:tbl>
    <w:p>
      <w:pPr>
        <w:pStyle w:val="5"/>
        <w:rPr>
          <w:color w:val="auto"/>
          <w:szCs w:val="24"/>
          <w:highlight w:val="none"/>
        </w:rPr>
      </w:pPr>
      <w:r>
        <w:rPr>
          <w:rFonts w:hint="eastAsia"/>
          <w:color w:val="auto"/>
          <w:highlight w:val="none"/>
        </w:rPr>
        <w:t>生物多模态识别门禁</w:t>
      </w:r>
    </w:p>
    <w:tbl>
      <w:tblPr>
        <w:tblStyle w:val="22"/>
        <w:tblW w:w="9428" w:type="dxa"/>
        <w:tblInd w:w="0" w:type="dxa"/>
        <w:tblLayout w:type="fixed"/>
        <w:tblCellMar>
          <w:top w:w="0" w:type="dxa"/>
          <w:left w:w="0" w:type="dxa"/>
          <w:bottom w:w="0" w:type="dxa"/>
          <w:right w:w="0" w:type="dxa"/>
        </w:tblCellMar>
      </w:tblPr>
      <w:tblGrid>
        <w:gridCol w:w="1109"/>
        <w:gridCol w:w="1075"/>
        <w:gridCol w:w="1320"/>
        <w:gridCol w:w="5924"/>
      </w:tblGrid>
      <w:tr>
        <w:tblPrEx>
          <w:tblCellMar>
            <w:top w:w="0" w:type="dxa"/>
            <w:left w:w="0" w:type="dxa"/>
            <w:bottom w:w="0" w:type="dxa"/>
            <w:right w:w="0" w:type="dxa"/>
          </w:tblCellMar>
        </w:tblPrEx>
        <w:trPr>
          <w:trHeight w:val="285" w:hRule="atLeast"/>
        </w:trPr>
        <w:tc>
          <w:tcPr>
            <w:tcW w:w="1109" w:type="dxa"/>
            <w:vMerge w:val="restart"/>
            <w:tcBorders>
              <w:top w:val="single" w:color="000000" w:sz="4" w:space="0"/>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人脸产品</w:t>
            </w:r>
            <w:r>
              <w:rPr>
                <w:rFonts w:hint="eastAsia" w:ascii="宋体" w:hAnsi="宋体"/>
                <w:color w:val="auto"/>
                <w:sz w:val="21"/>
                <w:szCs w:val="21"/>
                <w:highlight w:val="none"/>
              </w:rPr>
              <w:br w:type="textWrapping"/>
            </w:r>
            <w:r>
              <w:rPr>
                <w:rFonts w:hint="eastAsia" w:ascii="宋体" w:hAnsi="宋体"/>
                <w:color w:val="auto"/>
                <w:sz w:val="21"/>
                <w:szCs w:val="21"/>
                <w:highlight w:val="none"/>
              </w:rPr>
              <w:t>技术参数</w:t>
            </w:r>
          </w:p>
        </w:tc>
        <w:tc>
          <w:tcPr>
            <w:tcW w:w="1075" w:type="dxa"/>
            <w:vMerge w:val="restart"/>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产品类型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双模摄像头：近红外和可见光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传感器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CMOS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彩色：300万像素 红外：200万像素</w:t>
            </w:r>
          </w:p>
        </w:tc>
      </w:tr>
      <w:tr>
        <w:tblPrEx>
          <w:tblCellMar>
            <w:top w:w="0" w:type="dxa"/>
            <w:left w:w="0" w:type="dxa"/>
            <w:bottom w:w="0" w:type="dxa"/>
            <w:right w:w="0" w:type="dxa"/>
          </w:tblCellMar>
        </w:tblPrEx>
        <w:trPr>
          <w:trHeight w:val="533"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彩色：支持320*240、640*480、1280*720*、1920*1080、2048*1536等分辨率</w:t>
            </w:r>
            <w:r>
              <w:rPr>
                <w:rFonts w:hint="eastAsia" w:ascii="宋体" w:hAnsi="宋体"/>
                <w:color w:val="auto"/>
                <w:sz w:val="21"/>
                <w:szCs w:val="21"/>
                <w:highlight w:val="none"/>
              </w:rPr>
              <w:br w:type="textWrapping"/>
            </w:r>
            <w:r>
              <w:rPr>
                <w:rFonts w:hint="eastAsia" w:ascii="宋体" w:hAnsi="宋体"/>
                <w:color w:val="auto"/>
                <w:sz w:val="21"/>
                <w:szCs w:val="21"/>
                <w:highlight w:val="none"/>
              </w:rPr>
              <w:t>红外：支持320*240、640*480、1280*720*、1920*1080等分辨率</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MJPEG、YUV</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双USB2.0</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400-1200mm</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成像面积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4.73*3.52mm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光线畸变</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小于1%</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windows xp、windows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镜头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高清镜头</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宽动态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100dB(支持半室外环境)</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信噪比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≥39dB</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红外灯光谱</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850nm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国密参数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支持算法</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规范芯片指令，支持DES、3DES、RSA1024、RSA2048、SM2、SM3、SM4等国际、国密算法；</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加密速度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SM2 签名≥50次/秒；SM3≥1.5Mbps；SM4≥1.5Mbps；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具备国家密码管理局认证的芯片证书</w:t>
            </w:r>
          </w:p>
        </w:tc>
      </w:tr>
      <w:tr>
        <w:tblPrEx>
          <w:tblCellMar>
            <w:top w:w="0" w:type="dxa"/>
            <w:left w:w="0" w:type="dxa"/>
            <w:bottom w:w="0" w:type="dxa"/>
            <w:right w:w="0" w:type="dxa"/>
          </w:tblCellMar>
        </w:tblPrEx>
        <w:trPr>
          <w:trHeight w:val="285"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人脸算法技术参数</w:t>
            </w: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活体检测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利用红外成像、立体成像检测、可见光与红外成像匹</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配等技术，实现静默检活。</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活体检测时间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0.1 秒-0.5 秒</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活体检测距离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30cm-100cm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交互智能</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对于口罩，墨镜，过度侧脸及遮挡脸部等不当行为能给予准确提示</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最佳人脸抓拍</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产品支持自动获取最佳可见光人脸照片抓拍功能</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适应多场景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适应多种场景，室内外场景，逆光场景，侧光场景等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换人检测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产品支持换人检测，检测准确率大于 99.8%检测</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预警反馈时间小于 0.5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前端人脸识别</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产品支持在设备端的人脸识别，识别准确率大于</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99.8%，识别时间小于 1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逆光处理</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针对反光有落地验证解决方案，可供设计方案和落地材料</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支持多场景应用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产品支持多场景布设需求，可设计图和安装效果图</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设备适应性</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摄像头配套SDK需按照行方要求定制化开发</w:t>
            </w:r>
          </w:p>
        </w:tc>
      </w:tr>
      <w:tr>
        <w:tblPrEx>
          <w:tblCellMar>
            <w:top w:w="0" w:type="dxa"/>
            <w:left w:w="0" w:type="dxa"/>
            <w:bottom w:w="0" w:type="dxa"/>
            <w:right w:w="0" w:type="dxa"/>
          </w:tblCellMar>
        </w:tblPrEx>
        <w:trPr>
          <w:trHeight w:val="285" w:hRule="atLeast"/>
        </w:trPr>
        <w:tc>
          <w:tcPr>
            <w:tcW w:w="1109" w:type="dxa"/>
            <w:vMerge w:val="restart"/>
            <w:tcBorders>
              <w:top w:val="nil"/>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虹膜产品</w:t>
            </w:r>
            <w:r>
              <w:rPr>
                <w:rFonts w:hint="eastAsia" w:ascii="宋体" w:hAnsi="宋体"/>
                <w:color w:val="auto"/>
                <w:sz w:val="21"/>
                <w:szCs w:val="21"/>
                <w:highlight w:val="none"/>
              </w:rPr>
              <w:br w:type="textWrapping"/>
            </w:r>
            <w:r>
              <w:rPr>
                <w:rFonts w:hint="eastAsia" w:ascii="宋体" w:hAnsi="宋体"/>
                <w:color w:val="auto"/>
                <w:sz w:val="21"/>
                <w:szCs w:val="21"/>
                <w:highlight w:val="none"/>
              </w:rPr>
              <w:t>技术参数</w:t>
            </w: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摄像头类型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单模近红外镜头</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200 万像素</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1920*1080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最大帧率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1920*1080@30fps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MJPG/YUV</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USB2.0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驱动类型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免驱动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40～70cm</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使用环境</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操作温度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0～50℃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存储温度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-30～60℃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工作湿度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5%～95%RH</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电源供应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USB供电</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须具备国家安全防范报警系统产品质量监督检验中心检测，并检验报告复印件。</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算法指标</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错误注册率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&lt;0.03%</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注册失败率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&lt;0.3%</w:t>
            </w:r>
          </w:p>
        </w:tc>
      </w:tr>
      <w:tr>
        <w:tblPrEx>
          <w:tblCellMar>
            <w:top w:w="0" w:type="dxa"/>
            <w:left w:w="0" w:type="dxa"/>
            <w:bottom w:w="0" w:type="dxa"/>
            <w:right w:w="0" w:type="dxa"/>
          </w:tblCellMar>
        </w:tblPrEx>
        <w:trPr>
          <w:trHeight w:val="67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错误接受率（FAR）为0.0001%时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错误拒绝率（FRR）&lt;0.05%</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注册时间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&lt;70ms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比对时间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&lt;0.006ms</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认证需求</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auto"/>
                <w:sz w:val="21"/>
                <w:szCs w:val="21"/>
                <w:highlight w:val="none"/>
              </w:rPr>
            </w:pPr>
            <w:r>
              <w:rPr>
                <w:rFonts w:hint="eastAsia" w:ascii="宋体" w:hAnsi="宋体"/>
                <w:color w:val="auto"/>
                <w:sz w:val="21"/>
                <w:szCs w:val="21"/>
                <w:highlight w:val="none"/>
              </w:rPr>
              <w:t>须具备国家安全防范报警系统产品质量监督检验中心检测，并检验报告复印件。</w:t>
            </w:r>
          </w:p>
        </w:tc>
      </w:tr>
    </w:tbl>
    <w:p>
      <w:pPr>
        <w:rPr>
          <w:color w:val="auto"/>
          <w:szCs w:val="28"/>
          <w:highlight w:val="none"/>
        </w:rPr>
      </w:pPr>
      <w:r>
        <w:rPr>
          <w:rFonts w:hint="eastAsia"/>
          <w:color w:val="auto"/>
          <w:highlight w:val="none"/>
        </w:rPr>
        <w:t xml:space="preserve"> </w:t>
      </w:r>
    </w:p>
    <w:p>
      <w:pPr>
        <w:pStyle w:val="5"/>
        <w:rPr>
          <w:color w:val="auto"/>
          <w:highlight w:val="none"/>
        </w:rPr>
      </w:pPr>
      <w:r>
        <w:rPr>
          <w:rFonts w:hint="eastAsia"/>
          <w:color w:val="auto"/>
          <w:highlight w:val="none"/>
        </w:rPr>
        <w:t>标准站房及辅助设施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标准站房及辅助设施</w:t>
            </w: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应具备美观大方、防盗防火、重量轻等特点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房顶应为平面结构，坡度应不大于10°，房顶安装防护栏，高度不低于1.2m，并预留采样总管安装孔。站房室内使用面积应不小于20m</w:t>
            </w:r>
            <w:r>
              <w:rPr>
                <w:rFonts w:hint="eastAsia" w:ascii="宋体" w:hAnsi="宋体"/>
                <w:color w:val="auto"/>
                <w:sz w:val="21"/>
                <w:szCs w:val="21"/>
                <w:highlight w:val="none"/>
                <w:vertAlign w:val="superscript"/>
              </w:rPr>
              <w:t>2</w:t>
            </w:r>
            <w:r>
              <w:rPr>
                <w:rFonts w:hint="eastAsia" w:ascii="宋体" w:hAnsi="宋体"/>
                <w:color w:val="auto"/>
                <w:sz w:val="21"/>
                <w:szCs w:val="21"/>
                <w:highlight w:val="none"/>
              </w:rPr>
              <w:t>，监测站房应做到专室专用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监测站房应配备通往房顶的Z字形梯或旋梯，房顶称重要求大于等于250kg/m2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站房室内地面到天花板高度应不小于2.7m，且距房顶平台高度不大于5m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站房应有防水、防潮、隔热、保温等措施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站房应有防雷和方电磁干扰的设施，防雷接地装置的选材和安装应参照YD5098的相关要求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站房应为无窗或双层密封窗结构，有条件时，门与仪器房之间可设有缓冲间，以保持站房内温湿度恒定，防止将灰尘和泥土带入站房内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站房内应安装空调，空调出风口不应正对仪器和采样总管，且应具备来电自启功能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其他配套设施：站房内应配备自动灭火装置，并应安装有排气风扇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站房供电系统应配有电源过压、过载保护装置，电源电压波动不超过AC（220±22），频率波动不超过（50±1）Hz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站房应采用三相五线供电，入室处装有配电箱，配电箱内连接入室引线应分别装有三个单相15A空气开关作为三相电源的总开关，分相使用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站房灯具安装以保证操作人员工作时有足够的亮度为原则，开关位置应为方便使用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站房灯具应依照电工规范中的要求制作保护地线，用于机柜、仪器外壳等的接地保护，接地电阻应小于4欧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3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站房的线路要求走线美观，布线应加装线槽</w:t>
            </w:r>
          </w:p>
        </w:tc>
      </w:tr>
    </w:tbl>
    <w:p>
      <w:pPr>
        <w:pStyle w:val="3"/>
        <w:rPr>
          <w:color w:val="auto"/>
          <w:szCs w:val="32"/>
          <w:highlight w:val="none"/>
        </w:rPr>
      </w:pPr>
      <w:r>
        <w:rPr>
          <w:rFonts w:hint="eastAsia"/>
          <w:color w:val="auto"/>
          <w:highlight w:val="none"/>
        </w:rPr>
        <w:t>园区环保管理平台</w:t>
      </w:r>
    </w:p>
    <w:p>
      <w:pPr>
        <w:pStyle w:val="4"/>
        <w:rPr>
          <w:color w:val="auto"/>
          <w:highlight w:val="none"/>
        </w:rPr>
      </w:pPr>
      <w:r>
        <w:rPr>
          <w:rFonts w:hint="eastAsia"/>
          <w:color w:val="auto"/>
          <w:highlight w:val="none"/>
        </w:rPr>
        <w:t>智能监测系统</w:t>
      </w:r>
    </w:p>
    <w:p>
      <w:pPr>
        <w:spacing w:line="360" w:lineRule="auto"/>
        <w:ind w:firstLine="480"/>
        <w:rPr>
          <w:rFonts w:ascii="宋体" w:hAnsi="宋体"/>
          <w:color w:val="auto"/>
          <w:sz w:val="24"/>
          <w:szCs w:val="24"/>
          <w:highlight w:val="none"/>
        </w:rPr>
      </w:pPr>
      <w:r>
        <w:rPr>
          <w:rFonts w:ascii="宋体" w:hAnsi="宋体"/>
          <w:color w:val="auto"/>
          <w:sz w:val="24"/>
          <w:szCs w:val="24"/>
          <w:highlight w:val="none"/>
        </w:rPr>
        <w:t>在园区重点区域、敏感区域</w:t>
      </w:r>
      <w:r>
        <w:rPr>
          <w:rFonts w:hint="eastAsia" w:ascii="宋体" w:hAnsi="宋体"/>
          <w:color w:val="auto"/>
          <w:sz w:val="24"/>
          <w:szCs w:val="24"/>
          <w:highlight w:val="none"/>
        </w:rPr>
        <w:t>等</w:t>
      </w:r>
      <w:r>
        <w:rPr>
          <w:rFonts w:ascii="宋体" w:hAnsi="宋体"/>
          <w:color w:val="auto"/>
          <w:sz w:val="24"/>
          <w:szCs w:val="24"/>
          <w:highlight w:val="none"/>
        </w:rPr>
        <w:t>建设环境监测点，</w:t>
      </w:r>
      <w:r>
        <w:rPr>
          <w:rFonts w:hint="eastAsia" w:ascii="宋体" w:hAnsi="宋体"/>
          <w:color w:val="auto"/>
          <w:sz w:val="24"/>
          <w:szCs w:val="24"/>
          <w:highlight w:val="none"/>
        </w:rPr>
        <w:t>并可接入园区已有的废水及废气监测设备的数据，</w:t>
      </w:r>
      <w:r>
        <w:rPr>
          <w:rFonts w:ascii="宋体" w:hAnsi="宋体"/>
          <w:color w:val="auto"/>
          <w:sz w:val="24"/>
          <w:szCs w:val="24"/>
          <w:highlight w:val="none"/>
        </w:rPr>
        <w:t>实现对大气空气质量、企业污水、废气的实时监测和信息采集。</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281"/>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rFonts w:hint="eastAsia"/>
                <w:b/>
                <w:bCs/>
                <w:color w:val="auto"/>
                <w:highlight w:val="none"/>
              </w:rPr>
              <w:t>序</w:t>
            </w:r>
            <w:r>
              <w:rPr>
                <w:b/>
                <w:bCs/>
                <w:color w:val="auto"/>
                <w:highlight w:val="none"/>
              </w:rPr>
              <w:t>号</w:t>
            </w:r>
          </w:p>
        </w:tc>
        <w:tc>
          <w:tcPr>
            <w:tcW w:w="12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58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监测概览</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通过图表直观查看各监测点位的运行状态以及近期的报警情况。</w:t>
            </w:r>
          </w:p>
          <w:p>
            <w:pPr>
              <w:pStyle w:val="67"/>
              <w:rPr>
                <w:color w:val="auto"/>
                <w:highlight w:val="none"/>
              </w:rPr>
            </w:pPr>
            <w:r>
              <w:rPr>
                <w:rFonts w:hint="eastAsia"/>
                <w:color w:val="auto"/>
                <w:highlight w:val="none"/>
              </w:rPr>
              <w:t>实况监控统计大气环境、污染源气、污染源水的点位个数以及状态分布情况，并统计各类型点位的数量。</w:t>
            </w:r>
          </w:p>
          <w:p>
            <w:pPr>
              <w:pStyle w:val="67"/>
              <w:rPr>
                <w:color w:val="auto"/>
                <w:highlight w:val="none"/>
              </w:rPr>
            </w:pPr>
            <w:r>
              <w:rPr>
                <w:rFonts w:hint="eastAsia"/>
                <w:color w:val="auto"/>
                <w:highlight w:val="none"/>
              </w:rPr>
              <w:t>报警统计大气环境、污染源气、污染源水的报警信息，包括各级别报警的次数以及超标报警因子的分布，统计最近</w:t>
            </w:r>
            <w:r>
              <w:rPr>
                <w:rFonts w:hint="eastAsia" w:cs="Calibri"/>
                <w:color w:val="auto"/>
                <w:highlight w:val="none"/>
              </w:rPr>
              <w:t>24</w:t>
            </w:r>
            <w:r>
              <w:rPr>
                <w:rFonts w:hint="eastAsia" w:ascii="宋体" w:hAnsi="宋体"/>
                <w:color w:val="auto"/>
                <w:highlight w:val="none"/>
              </w:rPr>
              <w:t>小时的报警信息。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实况监测</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通过一览表的形式查看到各大气监测点、废气监测点、废水监测点等点位的实时运行状态和数据，支持以树形结构展示所有类型的点位，可切换查看其他类型点位数据。</w:t>
            </w:r>
          </w:p>
          <w:p>
            <w:pPr>
              <w:pStyle w:val="67"/>
              <w:rPr>
                <w:color w:val="auto"/>
                <w:highlight w:val="none"/>
              </w:rPr>
            </w:pPr>
            <w:r>
              <w:rPr>
                <w:rFonts w:hint="eastAsia"/>
                <w:color w:val="auto"/>
                <w:highlight w:val="none"/>
              </w:rPr>
              <w:t>系统支持根据不同需求查询相关点位。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监测预警</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括系统产生的所有报警记录（超标报警、趋势报警、断线报警），用户可按报警类型、报警级别、报警时间进行查询，列表展示查询结果，包括企业名称、点位名称、报警类型、报警级别、报警时间、报警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历史数据</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查看所有监测点位的历史数据，包括大气、废气等，用户根据点位类型、时间、数据类型、因子组进行查询，列表展示查询结果，包括点位、时间、因子名称（单位）。</w:t>
            </w:r>
          </w:p>
        </w:tc>
      </w:tr>
    </w:tbl>
    <w:p>
      <w:pPr>
        <w:pStyle w:val="67"/>
        <w:rPr>
          <w:color w:val="auto"/>
          <w:szCs w:val="21"/>
          <w:highlight w:val="none"/>
        </w:rPr>
      </w:pPr>
      <w:r>
        <w:rPr>
          <w:color w:val="auto"/>
          <w:highlight w:val="none"/>
        </w:rPr>
        <w:t xml:space="preserve"> </w:t>
      </w:r>
    </w:p>
    <w:p>
      <w:pPr>
        <w:pStyle w:val="4"/>
        <w:rPr>
          <w:color w:val="auto"/>
          <w:highlight w:val="none"/>
        </w:rPr>
      </w:pPr>
      <w:r>
        <w:rPr>
          <w:rFonts w:hint="eastAsia"/>
          <w:color w:val="auto"/>
          <w:highlight w:val="none"/>
        </w:rPr>
        <w:t>数据研判系统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对接入的空气质量监测信息、企业废气等监测信息进行汇总分析和展示。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281"/>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2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58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环境概览</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针对不同污染因素的特点提供个性化的数据分析结果和展现形式。</w:t>
            </w:r>
          </w:p>
          <w:p>
            <w:pPr>
              <w:pStyle w:val="67"/>
              <w:rPr>
                <w:color w:val="auto"/>
                <w:highlight w:val="none"/>
              </w:rPr>
            </w:pPr>
            <w:r>
              <w:rPr>
                <w:rFonts w:hint="eastAsia"/>
                <w:color w:val="auto"/>
                <w:highlight w:val="none"/>
              </w:rPr>
              <w:t>1</w:t>
            </w:r>
            <w:r>
              <w:rPr>
                <w:rFonts w:hint="eastAsia" w:ascii="宋体" w:hAnsi="宋体"/>
                <w:color w:val="auto"/>
                <w:highlight w:val="none"/>
              </w:rPr>
              <w:t>）大气：园区实时空气质量、园区风向风速、园区空气质量同比环比、空气质量变化趋势、厂界站</w:t>
            </w:r>
            <w:r>
              <w:rPr>
                <w:rFonts w:hint="eastAsia" w:cs="Calibri"/>
                <w:color w:val="auto"/>
                <w:highlight w:val="none"/>
              </w:rPr>
              <w:t>-</w:t>
            </w:r>
            <w:r>
              <w:rPr>
                <w:rFonts w:hint="eastAsia" w:ascii="宋体" w:hAnsi="宋体"/>
                <w:color w:val="auto"/>
                <w:highlight w:val="none"/>
              </w:rPr>
              <w:t>敏感点分析。</w:t>
            </w:r>
          </w:p>
          <w:p>
            <w:pPr>
              <w:pStyle w:val="67"/>
              <w:rPr>
                <w:color w:val="auto"/>
                <w:highlight w:val="none"/>
              </w:rPr>
            </w:pPr>
            <w:r>
              <w:rPr>
                <w:rFonts w:hint="eastAsia"/>
                <w:color w:val="auto"/>
                <w:highlight w:val="none"/>
              </w:rPr>
              <w:t>2</w:t>
            </w:r>
            <w:r>
              <w:rPr>
                <w:rFonts w:hint="eastAsia" w:ascii="宋体" w:hAnsi="宋体"/>
                <w:color w:val="auto"/>
                <w:highlight w:val="none"/>
              </w:rPr>
              <w:t>）通过园区废气因子排放量排名前</w:t>
            </w:r>
            <w:r>
              <w:rPr>
                <w:rFonts w:hint="eastAsia" w:cs="Calibri"/>
                <w:color w:val="auto"/>
                <w:highlight w:val="none"/>
              </w:rPr>
              <w:t>5</w:t>
            </w:r>
            <w:r>
              <w:rPr>
                <w:rFonts w:hint="eastAsia" w:ascii="宋体" w:hAnsi="宋体"/>
                <w:color w:val="auto"/>
                <w:highlight w:val="none"/>
              </w:rPr>
              <w:t>的企业和变化趋势图、超标因子的分布和超标次数的变化趋势掌握园区废气排放情况。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2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报表中心</w:t>
            </w:r>
          </w:p>
        </w:tc>
        <w:tc>
          <w:tcPr>
            <w:tcW w:w="758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报表中心根据业务需要制定各种报表，包括空气质量报表、污染源废气和废水的总量分析报表。</w:t>
            </w:r>
          </w:p>
        </w:tc>
      </w:tr>
    </w:tbl>
    <w:p>
      <w:pPr>
        <w:pStyle w:val="4"/>
        <w:rPr>
          <w:color w:val="auto"/>
          <w:highlight w:val="none"/>
        </w:rPr>
      </w:pPr>
      <w:r>
        <w:rPr>
          <w:rFonts w:hint="eastAsia"/>
          <w:color w:val="auto"/>
          <w:highlight w:val="none"/>
        </w:rPr>
        <w:t>污染溯源系统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综合利用园区各类监控预警数据、气象数据，建设园区、企业特征因子库，对园区环境质量监测数据和污染排放监测数据进行实时跟踪溯源，帮助园区管理者快速、准确的锁定污染源头，实现“说得清、管得住、行得通”的排放管理新模式。</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29"/>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29"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67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2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溯源分析</w:t>
            </w:r>
          </w:p>
        </w:tc>
        <w:tc>
          <w:tcPr>
            <w:tcW w:w="767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系统集成方位溯源、厂界溯源、源强溯源三个模式。</w:t>
            </w:r>
          </w:p>
          <w:p>
            <w:pPr>
              <w:rPr>
                <w:rFonts w:ascii="宋体" w:hAnsi="宋体"/>
                <w:color w:val="auto"/>
                <w:sz w:val="21"/>
                <w:szCs w:val="21"/>
                <w:highlight w:val="none"/>
              </w:rPr>
            </w:pPr>
            <w:r>
              <w:rPr>
                <w:rFonts w:hint="eastAsia" w:ascii="宋体" w:hAnsi="宋体"/>
                <w:color w:val="auto"/>
                <w:sz w:val="21"/>
                <w:szCs w:val="21"/>
                <w:highlight w:val="none"/>
              </w:rPr>
              <w:t xml:space="preserve">方位溯源利用受体点的风速风向、企业特征因子库、排放量，筛选污染企业。 </w:t>
            </w:r>
          </w:p>
          <w:p>
            <w:pPr>
              <w:rPr>
                <w:rFonts w:ascii="宋体" w:hAnsi="宋体"/>
                <w:color w:val="auto"/>
                <w:sz w:val="21"/>
                <w:szCs w:val="21"/>
                <w:highlight w:val="none"/>
              </w:rPr>
            </w:pPr>
            <w:r>
              <w:rPr>
                <w:rFonts w:hint="eastAsia" w:ascii="宋体" w:hAnsi="宋体"/>
                <w:color w:val="auto"/>
                <w:sz w:val="21"/>
                <w:szCs w:val="21"/>
                <w:highlight w:val="none"/>
              </w:rPr>
              <w:t>厂界溯源利用受体点经纬度，根据受体点的风速、风向、污染物浓度跳变情况，筛选污染企业。</w:t>
            </w:r>
          </w:p>
          <w:p>
            <w:pPr>
              <w:rPr>
                <w:rFonts w:ascii="宋体" w:hAnsi="宋体"/>
                <w:color w:val="auto"/>
                <w:sz w:val="21"/>
                <w:szCs w:val="21"/>
                <w:highlight w:val="none"/>
              </w:rPr>
            </w:pPr>
            <w:r>
              <w:rPr>
                <w:rFonts w:hint="eastAsia" w:ascii="宋体" w:hAnsi="宋体"/>
                <w:color w:val="auto"/>
                <w:sz w:val="21"/>
                <w:szCs w:val="21"/>
                <w:highlight w:val="none"/>
              </w:rPr>
              <w:t>源强溯源利用受体点经纬度，根据排口的风速、风向、污染物排放强度，产生污染的天气情况，筛选污染排口。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2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数据分析</w:t>
            </w:r>
          </w:p>
        </w:tc>
        <w:tc>
          <w:tcPr>
            <w:tcW w:w="767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地图默认展示大气环境点位状态，根据不同状态，显示不同颜色。</w:t>
            </w:r>
          </w:p>
          <w:p>
            <w:pPr>
              <w:rPr>
                <w:rFonts w:ascii="宋体" w:hAnsi="宋体"/>
                <w:color w:val="auto"/>
                <w:sz w:val="21"/>
                <w:szCs w:val="21"/>
                <w:highlight w:val="none"/>
              </w:rPr>
            </w:pPr>
            <w:r>
              <w:rPr>
                <w:rFonts w:hint="eastAsia" w:ascii="宋体" w:hAnsi="宋体"/>
                <w:color w:val="auto"/>
                <w:sz w:val="21"/>
                <w:szCs w:val="21"/>
                <w:highlight w:val="none"/>
              </w:rPr>
              <w:t>可查看环境点位各因子的均值以及变化趋势，以折线图形式展示溯源时间段内，点位同一因子的变化和对比情况，并用红线标识出标准值的范围，支持废气排口GIS显示。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22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事件管理</w:t>
            </w:r>
          </w:p>
        </w:tc>
        <w:tc>
          <w:tcPr>
            <w:tcW w:w="767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系统应支持对溯源事件进行管理，可处理、查看、删除溯源事件；列表展示全部事件，可进行查询。</w:t>
            </w:r>
          </w:p>
        </w:tc>
      </w:tr>
    </w:tbl>
    <w:p>
      <w:pPr>
        <w:pStyle w:val="2"/>
        <w:rPr>
          <w:color w:val="auto"/>
          <w:szCs w:val="32"/>
          <w:highlight w:val="none"/>
        </w:rPr>
      </w:pPr>
      <w:r>
        <w:rPr>
          <w:rFonts w:hint="eastAsia"/>
          <w:color w:val="auto"/>
          <w:highlight w:val="none"/>
        </w:rPr>
        <w:t>安全监管</w:t>
      </w:r>
    </w:p>
    <w:p>
      <w:pPr>
        <w:pStyle w:val="3"/>
        <w:rPr>
          <w:color w:val="auto"/>
          <w:highlight w:val="none"/>
        </w:rPr>
      </w:pPr>
      <w:r>
        <w:rPr>
          <w:rFonts w:hint="eastAsia"/>
          <w:color w:val="auto"/>
          <w:highlight w:val="none"/>
        </w:rPr>
        <w:t>园区安全生产监管平台</w:t>
      </w:r>
    </w:p>
    <w:p>
      <w:pPr>
        <w:pStyle w:val="4"/>
        <w:rPr>
          <w:color w:val="auto"/>
          <w:highlight w:val="none"/>
        </w:rPr>
      </w:pPr>
      <w:r>
        <w:rPr>
          <w:rFonts w:hint="eastAsia"/>
          <w:color w:val="auto"/>
          <w:highlight w:val="none"/>
        </w:rPr>
        <w:t>危险源企业厂区二维建模</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展示企业厂区内部重大危险源、监控视频的分布情况，显示企业的厂区平面图和重大危险源的所处位置，点击重大危险源可以查看重大危险源的基本信息、危化品存储信息、监控数据及报警信息。</w:t>
      </w:r>
    </w:p>
    <w:p>
      <w:pPr>
        <w:pStyle w:val="4"/>
        <w:rPr>
          <w:color w:val="auto"/>
          <w:highlight w:val="none"/>
        </w:rPr>
      </w:pPr>
      <w:r>
        <w:rPr>
          <w:rFonts w:hint="eastAsia"/>
          <w:color w:val="auto"/>
          <w:highlight w:val="none"/>
        </w:rPr>
        <w:t>企业危险源数据采集协议</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通过定制化开发协议接口采集企业危险源的仪表传感监测数据，并将数据上报至园区平台。</w:t>
      </w:r>
    </w:p>
    <w:p>
      <w:pPr>
        <w:pStyle w:val="4"/>
        <w:rPr>
          <w:color w:val="auto"/>
          <w:highlight w:val="none"/>
        </w:rPr>
      </w:pPr>
      <w:r>
        <w:rPr>
          <w:rFonts w:hint="eastAsia"/>
          <w:color w:val="auto"/>
          <w:highlight w:val="none"/>
        </w:rPr>
        <w:t>危险源视频智能分析</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视频智能分析系统可以对视频图像进行智能分析，对可能发生的风险进行自动报警，主要包括对火焰的监测报警、对烟雾的侦测报警、针对可疑人员的徘徊侦测报警、对禁区非法闯入的安全区域侦测报警等。</w:t>
      </w:r>
    </w:p>
    <w:p>
      <w:pPr>
        <w:pStyle w:val="4"/>
        <w:rPr>
          <w:color w:val="auto"/>
          <w:highlight w:val="none"/>
        </w:rPr>
      </w:pPr>
      <w:r>
        <w:rPr>
          <w:rFonts w:hint="eastAsia"/>
          <w:color w:val="auto"/>
          <w:highlight w:val="none"/>
        </w:rPr>
        <w:t>危险源在线监控及事故预警系统</w:t>
      </w:r>
    </w:p>
    <w:p>
      <w:pPr>
        <w:pStyle w:val="5"/>
        <w:rPr>
          <w:color w:val="auto"/>
          <w:highlight w:val="none"/>
        </w:rPr>
      </w:pPr>
      <w:r>
        <w:rPr>
          <w:rFonts w:hint="eastAsia"/>
          <w:color w:val="auto"/>
          <w:highlight w:val="none"/>
        </w:rPr>
        <w:t>建设内容</w:t>
      </w:r>
    </w:p>
    <w:tbl>
      <w:tblPr>
        <w:tblStyle w:val="22"/>
        <w:tblW w:w="9628" w:type="dxa"/>
        <w:tblInd w:w="0" w:type="dxa"/>
        <w:tblLayout w:type="fixed"/>
        <w:tblCellMar>
          <w:top w:w="0" w:type="dxa"/>
          <w:left w:w="108" w:type="dxa"/>
          <w:bottom w:w="0" w:type="dxa"/>
          <w:right w:w="108" w:type="dxa"/>
        </w:tblCellMar>
      </w:tblPr>
      <w:tblGrid>
        <w:gridCol w:w="724"/>
        <w:gridCol w:w="1217"/>
        <w:gridCol w:w="7687"/>
      </w:tblGrid>
      <w:tr>
        <w:tblPrEx>
          <w:tblCellMar>
            <w:top w:w="0" w:type="dxa"/>
            <w:left w:w="108" w:type="dxa"/>
            <w:bottom w:w="0" w:type="dxa"/>
            <w:right w:w="108" w:type="dxa"/>
          </w:tblCellMar>
        </w:tblPrEx>
        <w:trPr>
          <w:trHeight w:val="28"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1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68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CellMar>
            <w:top w:w="0" w:type="dxa"/>
            <w:left w:w="108" w:type="dxa"/>
            <w:bottom w:w="0" w:type="dxa"/>
            <w:right w:w="108" w:type="dxa"/>
          </w:tblCellMar>
        </w:tblPrEx>
        <w:trPr>
          <w:trHeight w:val="28"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1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综合展示</w:t>
            </w: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综合展示不同企业的重大危险源及报警相关统计信息</w:t>
            </w:r>
          </w:p>
        </w:tc>
      </w:tr>
      <w:tr>
        <w:tblPrEx>
          <w:tblCellMar>
            <w:top w:w="0" w:type="dxa"/>
            <w:left w:w="108" w:type="dxa"/>
            <w:bottom w:w="0" w:type="dxa"/>
            <w:right w:w="108" w:type="dxa"/>
          </w:tblCellMar>
        </w:tblPrEx>
        <w:trPr>
          <w:trHeight w:val="90" w:hRule="atLeast"/>
        </w:trPr>
        <w:tc>
          <w:tcPr>
            <w:tcW w:w="72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1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实时监测</w:t>
            </w:r>
          </w:p>
        </w:tc>
        <w:tc>
          <w:tcPr>
            <w:tcW w:w="76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1、GIS地图</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实现在地图上展示企业、重大危险源、监控视频的分布情况</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2、实时一览</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包括对重大危险源监控设备参数，可以根据筛选条件进行查询和导出</w:t>
            </w:r>
          </w:p>
        </w:tc>
      </w:tr>
      <w:tr>
        <w:tblPrEx>
          <w:tblCellMar>
            <w:top w:w="0" w:type="dxa"/>
            <w:left w:w="108" w:type="dxa"/>
            <w:bottom w:w="0" w:type="dxa"/>
            <w:right w:w="108" w:type="dxa"/>
          </w:tblCellMar>
        </w:tblPrEx>
        <w:trPr>
          <w:trHeight w:val="28" w:hRule="atLeast"/>
        </w:trPr>
        <w:tc>
          <w:tcPr>
            <w:tcW w:w="724"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21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视频监控</w:t>
            </w:r>
          </w:p>
        </w:tc>
        <w:tc>
          <w:tcPr>
            <w:tcW w:w="76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1、实时视频</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对重大危险源监控区域进行视频展示</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2、历史视频</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对重大危险源监控区域历史录像进行查询</w:t>
            </w:r>
          </w:p>
        </w:tc>
      </w:tr>
      <w:tr>
        <w:tblPrEx>
          <w:tblCellMar>
            <w:top w:w="0" w:type="dxa"/>
            <w:left w:w="108" w:type="dxa"/>
            <w:bottom w:w="0" w:type="dxa"/>
            <w:right w:w="108" w:type="dxa"/>
          </w:tblCellMar>
        </w:tblPrEx>
        <w:trPr>
          <w:trHeight w:val="28" w:hRule="atLeast"/>
        </w:trPr>
        <w:tc>
          <w:tcPr>
            <w:tcW w:w="724" w:type="dxa"/>
            <w:vMerge w:val="restart"/>
            <w:tcBorders>
              <w:top w:val="nil"/>
              <w:left w:val="single" w:color="auto" w:sz="4" w:space="0"/>
              <w:bottom w:val="nil"/>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217" w:type="dxa"/>
            <w:vMerge w:val="restart"/>
            <w:tcBorders>
              <w:top w:val="nil"/>
              <w:left w:val="nil"/>
              <w:bottom w:val="nil"/>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报警管理</w:t>
            </w: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1、超限报警</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对重大危险源监测的一级报警、二级报警数据进行管理</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2、监管报警</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系统对超限报警信息进行分析，对存在的风险情况进行预警</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3、视频报警</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对视频监控发现风险情况进行报警登记并进行处理</w:t>
            </w:r>
          </w:p>
        </w:tc>
      </w:tr>
      <w:tr>
        <w:tblPrEx>
          <w:tblCellMar>
            <w:top w:w="0" w:type="dxa"/>
            <w:left w:w="108" w:type="dxa"/>
            <w:bottom w:w="0" w:type="dxa"/>
            <w:right w:w="108" w:type="dxa"/>
          </w:tblCellMar>
        </w:tblPrEx>
        <w:trPr>
          <w:trHeight w:val="28" w:hRule="atLeast"/>
        </w:trPr>
        <w:tc>
          <w:tcPr>
            <w:tcW w:w="724"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217" w:type="dxa"/>
            <w:vMerge w:val="restart"/>
            <w:tcBorders>
              <w:top w:val="nil"/>
              <w:left w:val="nil"/>
              <w:bottom w:val="single" w:color="000000"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统计分析</w:t>
            </w: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1、重大危险源信息统计</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统计各重点行业一至四级重大危险源的数量</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2、重大危险源报警信息统计</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通过对行业、时间段进行筛选，得出相应的重大危险源报警数量</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3、报警监测设备统计</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nil"/>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对企业报警监测设备的数量、接入情况、在线率等信息进行统计和分析</w:t>
            </w:r>
          </w:p>
        </w:tc>
      </w:tr>
      <w:tr>
        <w:tblPrEx>
          <w:tblCellMar>
            <w:top w:w="0" w:type="dxa"/>
            <w:left w:w="108" w:type="dxa"/>
            <w:bottom w:w="0" w:type="dxa"/>
            <w:right w:w="108" w:type="dxa"/>
          </w:tblCellMar>
        </w:tblPrEx>
        <w:trPr>
          <w:trHeight w:val="28" w:hRule="atLeast"/>
        </w:trPr>
        <w:tc>
          <w:tcPr>
            <w:tcW w:w="72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21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信息管理</w:t>
            </w: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1、企业信息</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对监管企业的企业信息进行登记和管理</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2、重大危险源备案</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对监管企业的重大危险源信息情况进行备案登记和管理</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3、监测设备信息</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对企业监测设备信息进行登记和管理</w:t>
            </w:r>
          </w:p>
        </w:tc>
      </w:tr>
      <w:tr>
        <w:tblPrEx>
          <w:tblCellMar>
            <w:top w:w="0" w:type="dxa"/>
            <w:left w:w="108" w:type="dxa"/>
            <w:bottom w:w="0" w:type="dxa"/>
            <w:right w:w="108" w:type="dxa"/>
          </w:tblCellMar>
        </w:tblPrEx>
        <w:trPr>
          <w:trHeight w:val="28" w:hRule="atLeast"/>
        </w:trPr>
        <w:tc>
          <w:tcPr>
            <w:tcW w:w="72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21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系统配置</w:t>
            </w: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1、报警设置</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设置企业监测设备的超限报警阈值等信息，设置监管报警规则和通知对象等信息</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2、视频配置</w:t>
            </w:r>
          </w:p>
        </w:tc>
      </w:tr>
      <w:tr>
        <w:tblPrEx>
          <w:tblCellMar>
            <w:top w:w="0" w:type="dxa"/>
            <w:left w:w="108" w:type="dxa"/>
            <w:bottom w:w="0" w:type="dxa"/>
            <w:right w:w="108" w:type="dxa"/>
          </w:tblCellMar>
        </w:tblPrEx>
        <w:trPr>
          <w:trHeight w:val="2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1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687"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设置视频设备的基本信息和接入信息</w:t>
            </w:r>
          </w:p>
        </w:tc>
      </w:tr>
    </w:tbl>
    <w:p>
      <w:pPr>
        <w:ind w:firstLine="480"/>
        <w:rPr>
          <w:rFonts w:ascii="宋体" w:hAnsi="宋体"/>
          <w:color w:val="auto"/>
          <w:szCs w:val="28"/>
          <w:highlight w:val="none"/>
        </w:rPr>
      </w:pPr>
      <w:r>
        <w:rPr>
          <w:rFonts w:hint="eastAsia" w:ascii="宋体" w:hAnsi="宋体"/>
          <w:color w:val="auto"/>
          <w:highlight w:val="none"/>
        </w:rPr>
        <w:t xml:space="preserve"> </w:t>
      </w:r>
    </w:p>
    <w:p>
      <w:pPr>
        <w:pStyle w:val="5"/>
        <w:rPr>
          <w:color w:val="auto"/>
          <w:highlight w:val="none"/>
        </w:rPr>
      </w:pPr>
      <w:r>
        <w:rPr>
          <w:rFonts w:hint="eastAsia"/>
          <w:color w:val="auto"/>
          <w:highlight w:val="none"/>
        </w:rPr>
        <w:t>物联网主机硬件技术要求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物联网主机应可以支持企业现场安全生产数据实时上传至园区智慧安监平台，具有多个标准接口，可接驳模拟摄像机、网络摄像机、网络快球等，支持本地模拟量数据监测、超限报警；支持开关量报警量输入，具有防剪、防短功能；支持报警输出，输出时间可控，并支持报警联动输出，可实现数据的存储等功能。</w:t>
      </w:r>
    </w:p>
    <w:tbl>
      <w:tblPr>
        <w:tblStyle w:val="22"/>
        <w:tblW w:w="9628" w:type="dxa"/>
        <w:tblInd w:w="0" w:type="dxa"/>
        <w:tblLayout w:type="fixed"/>
        <w:tblCellMar>
          <w:top w:w="0" w:type="dxa"/>
          <w:left w:w="108" w:type="dxa"/>
          <w:bottom w:w="0" w:type="dxa"/>
          <w:right w:w="108" w:type="dxa"/>
        </w:tblCellMar>
      </w:tblPr>
      <w:tblGrid>
        <w:gridCol w:w="1217"/>
        <w:gridCol w:w="8411"/>
      </w:tblGrid>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pStyle w:val="66"/>
              <w:jc w:val="center"/>
              <w:rPr>
                <w:rFonts w:ascii="宋体" w:hAnsi="宋体"/>
                <w:b/>
                <w:bCs/>
                <w:color w:val="auto"/>
                <w:highlight w:val="none"/>
              </w:rPr>
            </w:pPr>
            <w:r>
              <w:rPr>
                <w:rFonts w:hint="eastAsia" w:ascii="宋体" w:hAnsi="宋体"/>
                <w:b/>
                <w:bCs/>
                <w:color w:val="auto"/>
                <w:highlight w:val="none"/>
              </w:rPr>
              <w:t>产品</w:t>
            </w:r>
          </w:p>
        </w:tc>
        <w:tc>
          <w:tcPr>
            <w:tcW w:w="8411" w:type="dxa"/>
            <w:tcBorders>
              <w:top w:val="single" w:color="auto" w:sz="4" w:space="0"/>
              <w:left w:val="nil"/>
              <w:bottom w:val="single" w:color="auto" w:sz="4" w:space="0"/>
              <w:right w:val="single" w:color="auto" w:sz="4" w:space="0"/>
            </w:tcBorders>
            <w:vAlign w:val="center"/>
          </w:tcPr>
          <w:p>
            <w:pPr>
              <w:pStyle w:val="66"/>
              <w:jc w:val="center"/>
              <w:rPr>
                <w:rFonts w:ascii="宋体" w:hAnsi="宋体"/>
                <w:b/>
                <w:bCs/>
                <w:color w:val="auto"/>
                <w:highlight w:val="none"/>
              </w:rPr>
            </w:pPr>
            <w:r>
              <w:rPr>
                <w:rFonts w:hint="eastAsia" w:ascii="宋体" w:hAnsi="宋体"/>
                <w:b/>
                <w:bCs/>
                <w:color w:val="auto"/>
                <w:highlight w:val="none"/>
              </w:rPr>
              <w:t>技术指标要求</w:t>
            </w:r>
          </w:p>
        </w:tc>
      </w:tr>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重大危险源安全监控物联网主机</w:t>
            </w:r>
          </w:p>
        </w:tc>
        <w:tc>
          <w:tcPr>
            <w:tcW w:w="841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olor w:val="auto"/>
                <w:sz w:val="21"/>
                <w:szCs w:val="21"/>
                <w:highlight w:val="none"/>
              </w:rPr>
              <w:t>支持至少8路模拟量数据采集，并可通过网络上传到软件平台，支持至少16路开关量输入并可通过网络上传到软件平台，支持至少</w:t>
            </w:r>
            <w:r>
              <w:rPr>
                <w:rFonts w:ascii="宋体" w:hAnsi="宋体"/>
                <w:color w:val="auto"/>
                <w:sz w:val="21"/>
                <w:szCs w:val="21"/>
                <w:highlight w:val="none"/>
              </w:rPr>
              <w:t>8路独立RS-485数据通信功能</w:t>
            </w:r>
            <w:r>
              <w:rPr>
                <w:rFonts w:hint="eastAsia" w:ascii="宋体" w:hAnsi="宋体"/>
                <w:color w:val="auto"/>
                <w:sz w:val="21"/>
                <w:szCs w:val="21"/>
                <w:highlight w:val="none"/>
              </w:rPr>
              <w:t>，并可通过网络上传到软件平台；（提供国家安防产品质量检验中心的检测报告复印件并加盖公章）</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硬盘总容量不少于4TB，硬盘企业级7200转；</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所有模拟通道支持WD1实时编码；</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支持HDMI、VGA、CVBS同时输出，HDMI与VGA输出分辨率可达1920x1080p；</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支持冗余录像、假日录像和抓图计划配置；</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支持即时回放功能，在预览画面下对指定通道的当前录像进行回放，并且不影响其他通道预览；</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w:t>
            </w:r>
            <w:r>
              <w:rPr>
                <w:rFonts w:hint="eastAsia" w:ascii="Times New Roman" w:hAnsi="Times New Roman" w:cs="Times New Roman" w:eastAsiaTheme="majorEastAsia"/>
                <w:color w:val="auto"/>
                <w:highlight w:val="none"/>
              </w:rPr>
              <w:t>至少</w:t>
            </w:r>
            <w:r>
              <w:rPr>
                <w:rFonts w:ascii="Times New Roman" w:hAnsi="Times New Roman" w:cs="Times New Roman" w:eastAsiaTheme="majorEastAsia"/>
                <w:color w:val="auto"/>
                <w:highlight w:val="none"/>
              </w:rPr>
              <w:t>16路WD1同步回放及多路同步倒放；</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支持标签定义、查询、回放录像文件；</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支持重要录像文件加锁保护功能；</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支持硬盘配额和硬盘盘组两种存储模式，可对不同通道分配不同的录像保存容量或周期；</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支持至少8个SATA接口，1个eSATA盘库，可用于录像和备份；</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双千兆网卡，支持网络容错、负载均衡以及双网络IP设定等应用；</w:t>
            </w:r>
          </w:p>
          <w:p>
            <w:pPr>
              <w:rPr>
                <w:rFonts w:ascii="宋体" w:hAnsi="宋体"/>
                <w:color w:val="auto"/>
                <w:sz w:val="21"/>
                <w:szCs w:val="21"/>
                <w:highlight w:val="none"/>
              </w:rPr>
            </w:pPr>
            <w:r>
              <w:rPr>
                <w:rFonts w:ascii="宋体" w:hAnsi="宋体"/>
                <w:color w:val="auto"/>
                <w:sz w:val="21"/>
                <w:szCs w:val="21"/>
                <w:highlight w:val="none"/>
              </w:rPr>
              <w:t>可安装危险源安全监控数据采集软件采集企业的危险源监测数据</w:t>
            </w:r>
            <w:r>
              <w:rPr>
                <w:rFonts w:hint="eastAsia" w:ascii="宋体" w:hAnsi="宋体"/>
                <w:color w:val="auto"/>
                <w:sz w:val="21"/>
                <w:szCs w:val="21"/>
                <w:highlight w:val="none"/>
              </w:rPr>
              <w:t>。</w:t>
            </w:r>
          </w:p>
        </w:tc>
      </w:tr>
    </w:tbl>
    <w:p>
      <w:pPr>
        <w:pStyle w:val="4"/>
        <w:rPr>
          <w:color w:val="auto"/>
          <w:highlight w:val="none"/>
        </w:rPr>
      </w:pPr>
      <w:r>
        <w:rPr>
          <w:rFonts w:hint="eastAsia"/>
          <w:color w:val="auto"/>
          <w:highlight w:val="none"/>
        </w:rPr>
        <w:t>风险分级管控及隐患排查治理系统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根据《关于实施遏制重特大事故工作指南构建双重预防机制的意见》（安委办〔2016〕11号）、《关于实施遏制重特大事故工作指南全面加强安全生产源头管控和安全准入工作的指导意见》（安委办〔2017〕7号）等法规、标准、规范的要求建设。</w:t>
      </w:r>
    </w:p>
    <w:p>
      <w:pPr>
        <w:spacing w:line="360" w:lineRule="auto"/>
        <w:ind w:firstLine="480"/>
        <w:rPr>
          <w:rFonts w:ascii="宋体" w:hAnsi="宋体"/>
          <w:color w:val="auto"/>
          <w:sz w:val="24"/>
          <w:szCs w:val="24"/>
          <w:highlight w:val="none"/>
        </w:rPr>
      </w:pPr>
    </w:p>
    <w:tbl>
      <w:tblPr>
        <w:tblStyle w:val="22"/>
        <w:tblW w:w="9628" w:type="dxa"/>
        <w:tblInd w:w="0" w:type="dxa"/>
        <w:tblLayout w:type="fixed"/>
        <w:tblCellMar>
          <w:top w:w="0" w:type="dxa"/>
          <w:left w:w="108" w:type="dxa"/>
          <w:bottom w:w="0" w:type="dxa"/>
          <w:right w:w="108" w:type="dxa"/>
        </w:tblCellMar>
      </w:tblPr>
      <w:tblGrid>
        <w:gridCol w:w="798"/>
        <w:gridCol w:w="1284"/>
        <w:gridCol w:w="7546"/>
      </w:tblGrid>
      <w:tr>
        <w:tblPrEx>
          <w:tblCellMar>
            <w:top w:w="0" w:type="dxa"/>
            <w:left w:w="108" w:type="dxa"/>
            <w:bottom w:w="0" w:type="dxa"/>
            <w:right w:w="108" w:type="dxa"/>
          </w:tblCellMar>
        </w:tblPrEx>
        <w:trPr>
          <w:trHeight w:val="28"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84"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54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综合展示</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包括企业风险分布图、风险统计汇总、隐患工作开展情况汇总、工作提醒、通知公告等信息</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企业信息管理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包括企业基本信息管理、注册企业审核、企业平面图维护等</w:t>
            </w:r>
          </w:p>
        </w:tc>
      </w:tr>
      <w:tr>
        <w:tblPrEx>
          <w:tblCellMar>
            <w:top w:w="0" w:type="dxa"/>
            <w:left w:w="108" w:type="dxa"/>
            <w:bottom w:w="0" w:type="dxa"/>
            <w:right w:w="108" w:type="dxa"/>
          </w:tblCellMar>
        </w:tblPrEx>
        <w:trPr>
          <w:trHeight w:val="28" w:hRule="atLeast"/>
        </w:trPr>
        <w:tc>
          <w:tcPr>
            <w:tcW w:w="79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284"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企业风险管控</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1、风险点登记台账</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企业对企业内部进行风险点划分和风险评估，登记风险点信息和风险评估信息，形成风险点登记台账</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2、风险分级管控清单</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企业对划分的风险点进行危险源辨识，进行风险评价，确定风险等级。最终针对各个危险源制定风险管控措施，落实责任人，形成企业风险分级管控清单</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3、企业风险管控制度</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企业依据行业安全风险管控标准，结合自身工艺、设备、设施、管理、作业等特点，定制企业风险管控标准</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4、风险管控统计</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包括风险点分类统计、危险源分类统计、风险分级对比分析等功能</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5、风险分级监管</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建立“红橙黄蓝”四色预警监管模式，将对不同级别的风险落实到园区安监部门，实现企业风险监管体系化管控</w:t>
            </w:r>
          </w:p>
        </w:tc>
      </w:tr>
      <w:tr>
        <w:tblPrEx>
          <w:tblCellMar>
            <w:top w:w="0" w:type="dxa"/>
            <w:left w:w="108" w:type="dxa"/>
            <w:bottom w:w="0" w:type="dxa"/>
            <w:right w:w="108" w:type="dxa"/>
          </w:tblCellMar>
        </w:tblPrEx>
        <w:trPr>
          <w:trHeight w:val="28" w:hRule="atLeast"/>
        </w:trPr>
        <w:tc>
          <w:tcPr>
            <w:tcW w:w="798"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284"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隐患排查治理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1、执法检查隐患管理</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对执法检查的一般隐患和重大隐患排查治理的全流程闭环管理。包括隐患登记、隐患推送、隐患整改、隐患复查</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2、自查自报隐患管理</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企业把日常隐患排查治理情况登记上报到系统中，监管部门可以查看企业自主开展隐患排查治理的情况</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3、隐患排查清单</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根据企业各个风险点风险分级结果由企业制定针对各个风险点的隐患排查清单。可以实时维护和更新</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4、隐患台账</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对政府检查隐患和企业自查自报隐患整合形成企业隐患台账。可以按时间、按类别，按整改状态等筛选隐患数据，导出隐患台账数据</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5、隐患督办</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针对重大隐患可以挂牌督办，由企业实施整改处理，对隐患治理情况组织评估，形成评估报告，提交给安监部门申请验收，由安监部门组织验收复查</w:t>
            </w:r>
          </w:p>
        </w:tc>
      </w:tr>
      <w:tr>
        <w:tblPrEx>
          <w:tblCellMar>
            <w:top w:w="0" w:type="dxa"/>
            <w:left w:w="108" w:type="dxa"/>
            <w:bottom w:w="0" w:type="dxa"/>
            <w:right w:w="108" w:type="dxa"/>
          </w:tblCellMar>
        </w:tblPrEx>
        <w:trPr>
          <w:trHeight w:val="28"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28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GIS地图</w:t>
            </w:r>
          </w:p>
        </w:tc>
        <w:tc>
          <w:tcPr>
            <w:tcW w:w="754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将企业安全生产风险分类分级、隐患排查治理与地理信息融合，以GIS专题图分析方式，按照风险等级展示各企业隐患排查治理情况</w:t>
            </w:r>
          </w:p>
        </w:tc>
      </w:tr>
      <w:tr>
        <w:tblPrEx>
          <w:tblCellMar>
            <w:top w:w="0" w:type="dxa"/>
            <w:left w:w="108" w:type="dxa"/>
            <w:bottom w:w="0" w:type="dxa"/>
            <w:right w:w="108" w:type="dxa"/>
          </w:tblCellMar>
        </w:tblPrEx>
        <w:trPr>
          <w:trHeight w:val="28" w:hRule="atLeast"/>
        </w:trPr>
        <w:tc>
          <w:tcPr>
            <w:tcW w:w="798"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284" w:type="dxa"/>
            <w:tcBorders>
              <w:top w:val="single" w:color="auto" w:sz="4" w:space="0"/>
              <w:left w:val="nil"/>
              <w:bottom w:val="single" w:color="000000"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统计分析</w:t>
            </w:r>
          </w:p>
        </w:tc>
        <w:tc>
          <w:tcPr>
            <w:tcW w:w="754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统计所辖范围内各行业参与隐患排查的情况，统计隐患的排查、整改、分类等情况，同时可对各行业隐患数、各等级隐患数、各类别隐患数进行对比，了解相关分布及趋势情况</w:t>
            </w:r>
          </w:p>
        </w:tc>
      </w:tr>
      <w:tr>
        <w:tblPrEx>
          <w:tblCellMar>
            <w:top w:w="0" w:type="dxa"/>
            <w:left w:w="108" w:type="dxa"/>
            <w:bottom w:w="0" w:type="dxa"/>
            <w:right w:w="108" w:type="dxa"/>
          </w:tblCellMar>
        </w:tblPrEx>
        <w:trPr>
          <w:trHeight w:val="28" w:hRule="atLeast"/>
        </w:trPr>
        <w:tc>
          <w:tcPr>
            <w:tcW w:w="79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284"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移动APP功能</w:t>
            </w: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1、风险分布图</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将企业安全生产风险分类分级、隐患排查治理与地理信息融合</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2、风险分级监管</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建立“红橙黄蓝”四色预警监管模式</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3、企业风险信息</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查看企业风险点、危险源的基本信息，风险评估、风险分级、企业风险分布图等信息</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4、执法检查隐患登记</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对企业行政执法检查时，把发现的隐患信息通过移动端登记到系统中</w:t>
            </w:r>
          </w:p>
        </w:tc>
      </w:tr>
      <w:tr>
        <w:tblPrEx>
          <w:tblCellMar>
            <w:top w:w="0" w:type="dxa"/>
            <w:left w:w="108" w:type="dxa"/>
            <w:bottom w:w="0" w:type="dxa"/>
            <w:right w:w="108" w:type="dxa"/>
          </w:tblCellMar>
        </w:tblPrEx>
        <w:trPr>
          <w:trHeight w:val="90"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5、隐患复查</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针对企业隐患整改后的情况进行复查，登记复查结果信息</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6、隐患排查清单</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隐患排查清单功能可以根据企业各个风险点风险分级结果由企业制定针对各个风险点的隐患排查清单</w:t>
            </w:r>
          </w:p>
        </w:tc>
      </w:tr>
    </w:tbl>
    <w:p>
      <w:pPr>
        <w:pStyle w:val="4"/>
        <w:rPr>
          <w:color w:val="auto"/>
          <w:highlight w:val="none"/>
        </w:rPr>
      </w:pPr>
      <w:r>
        <w:rPr>
          <w:rFonts w:hint="eastAsia"/>
          <w:color w:val="auto"/>
          <w:highlight w:val="none"/>
        </w:rPr>
        <w:t>安全生产行政执法系统</w:t>
      </w:r>
    </w:p>
    <w:p>
      <w:pPr>
        <w:pStyle w:val="5"/>
        <w:rPr>
          <w:color w:val="auto"/>
          <w:highlight w:val="none"/>
        </w:rPr>
      </w:pPr>
      <w:r>
        <w:rPr>
          <w:rFonts w:hint="eastAsia"/>
          <w:color w:val="auto"/>
          <w:highlight w:val="none"/>
        </w:rPr>
        <w:t>建设内容</w:t>
      </w:r>
    </w:p>
    <w:tbl>
      <w:tblPr>
        <w:tblStyle w:val="22"/>
        <w:tblW w:w="9628" w:type="dxa"/>
        <w:tblInd w:w="0" w:type="dxa"/>
        <w:tblLayout w:type="fixed"/>
        <w:tblCellMar>
          <w:top w:w="0" w:type="dxa"/>
          <w:left w:w="108" w:type="dxa"/>
          <w:bottom w:w="0" w:type="dxa"/>
          <w:right w:w="108" w:type="dxa"/>
        </w:tblCellMar>
      </w:tblPr>
      <w:tblGrid>
        <w:gridCol w:w="798"/>
        <w:gridCol w:w="1284"/>
        <w:gridCol w:w="7546"/>
      </w:tblGrid>
      <w:tr>
        <w:tblPrEx>
          <w:tblCellMar>
            <w:top w:w="0" w:type="dxa"/>
            <w:left w:w="108" w:type="dxa"/>
            <w:bottom w:w="0" w:type="dxa"/>
            <w:right w:w="108" w:type="dxa"/>
          </w:tblCellMar>
        </w:tblPrEx>
        <w:trPr>
          <w:trHeight w:val="255"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84"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54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000000"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执法检查管理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登记执法检查的执法人员数量和执法时间、执法对象、检查方案等信息，对受检的企业进行现场检查，检查结果汇总处理，包括选择受检企业类别、存在的问题、整改意见等，并最终形成《整改指令书》</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立案管理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办案人员进行立案申请，由园区安监部门分管该业务的领导进行审批</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调查取证管理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将调查取证中获得的询问记录、笔录、照片、录音、录像等内容添加到该案件记录内</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行政执法管理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安监部门负责人对案件调查结果进行审查，根据不同情况，分别作出决定，并制作《行政处罚决定书》</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结案归档管理</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对已经提交《行政处罚送达回执》以及银行缴费凭证的案件全过程进行审核，审核无误，材料完整后进行结案归档管理</w:t>
            </w:r>
          </w:p>
        </w:tc>
      </w:tr>
      <w:tr>
        <w:tblPrEx>
          <w:tblCellMar>
            <w:top w:w="0" w:type="dxa"/>
            <w:left w:w="108" w:type="dxa"/>
            <w:bottom w:w="0" w:type="dxa"/>
            <w:right w:w="108" w:type="dxa"/>
          </w:tblCellMar>
        </w:tblPrEx>
        <w:trPr>
          <w:trHeight w:val="28" w:hRule="atLeast"/>
        </w:trPr>
        <w:tc>
          <w:tcPr>
            <w:tcW w:w="79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284"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智能执法辅助支持</w:t>
            </w:r>
          </w:p>
        </w:tc>
        <w:tc>
          <w:tcPr>
            <w:tcW w:w="754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利用执法信息辅助支持库，实现智能执法辅助支持</w:t>
            </w:r>
          </w:p>
        </w:tc>
      </w:tr>
      <w:tr>
        <w:tblPrEx>
          <w:tblCellMar>
            <w:top w:w="0" w:type="dxa"/>
            <w:left w:w="108" w:type="dxa"/>
            <w:bottom w:w="0" w:type="dxa"/>
            <w:right w:w="108" w:type="dxa"/>
          </w:tblCellMar>
        </w:tblPrEx>
        <w:trPr>
          <w:trHeight w:val="28"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28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消息提醒</w:t>
            </w:r>
          </w:p>
        </w:tc>
        <w:tc>
          <w:tcPr>
            <w:tcW w:w="754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包括证书到期时间提醒、流程提醒等功能</w:t>
            </w:r>
          </w:p>
        </w:tc>
      </w:tr>
      <w:tr>
        <w:tblPrEx>
          <w:tblCellMar>
            <w:top w:w="0" w:type="dxa"/>
            <w:left w:w="108" w:type="dxa"/>
            <w:bottom w:w="0" w:type="dxa"/>
            <w:right w:w="108" w:type="dxa"/>
          </w:tblCellMar>
        </w:tblPrEx>
        <w:trPr>
          <w:trHeight w:val="28"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28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统计分析</w:t>
            </w:r>
          </w:p>
        </w:tc>
        <w:tc>
          <w:tcPr>
            <w:tcW w:w="754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按照区域、时间等数据信息，以图形化方式进行统计分析数据展现</w:t>
            </w:r>
          </w:p>
        </w:tc>
      </w:tr>
      <w:tr>
        <w:tblPrEx>
          <w:tblCellMar>
            <w:top w:w="0" w:type="dxa"/>
            <w:left w:w="108" w:type="dxa"/>
            <w:bottom w:w="0" w:type="dxa"/>
            <w:right w:w="108" w:type="dxa"/>
          </w:tblCellMar>
        </w:tblPrEx>
        <w:trPr>
          <w:trHeight w:val="28" w:hRule="atLeast"/>
        </w:trPr>
        <w:tc>
          <w:tcPr>
            <w:tcW w:w="798" w:type="dxa"/>
            <w:vMerge w:val="restart"/>
            <w:tcBorders>
              <w:top w:val="nil"/>
              <w:left w:val="single" w:color="auto" w:sz="4" w:space="0"/>
              <w:bottom w:val="nil"/>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284" w:type="dxa"/>
            <w:vMerge w:val="restart"/>
            <w:tcBorders>
              <w:top w:val="nil"/>
              <w:left w:val="nil"/>
              <w:bottom w:val="nil"/>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移动APP功能</w:t>
            </w: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1、现场执法管理</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移动终端上实现现场执法信息的录入</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2、智能执法辅助支持</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利用执法信息辅助支持库，通过移动终端，实现智能执法辅助支持</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3、执法文书现场打印</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利用文书表单自定义等功能，然后打印输出执法文书</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4、现场调查取证</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利用移动终端的多媒体功能将现场调查取证的材料（文字材料、多媒体材料等）以附件形式挂接在现场执法或案件记录内</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 xml:space="preserve">5、安全知识库    </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提供法律法规、规章、国家和地方行业标准等文件内容的查询</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6、企业信息查询</w:t>
            </w:r>
          </w:p>
        </w:tc>
      </w:tr>
      <w:tr>
        <w:tblPrEx>
          <w:tblCellMar>
            <w:top w:w="0" w:type="dxa"/>
            <w:left w:w="108" w:type="dxa"/>
            <w:bottom w:w="0" w:type="dxa"/>
            <w:right w:w="108" w:type="dxa"/>
          </w:tblCellMar>
        </w:tblPrEx>
        <w:trPr>
          <w:trHeight w:val="28" w:hRule="atLeast"/>
        </w:trPr>
        <w:tc>
          <w:tcPr>
            <w:tcW w:w="798" w:type="dxa"/>
            <w:vMerge w:val="continue"/>
            <w:tcBorders>
              <w:top w:val="nil"/>
              <w:left w:val="single" w:color="auto" w:sz="4" w:space="0"/>
              <w:bottom w:val="nil"/>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nil"/>
              <w:left w:val="nil"/>
              <w:bottom w:val="nil"/>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nil"/>
              <w:bottom w:val="single" w:color="auto" w:sz="4" w:space="0"/>
              <w:right w:val="single" w:color="auto"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提供企业基本信息、安全生产许可证信息、内部特种作业人员持证信息等内容的查询和提醒</w:t>
            </w:r>
          </w:p>
        </w:tc>
      </w:tr>
    </w:tbl>
    <w:p>
      <w:pPr>
        <w:ind w:firstLine="480"/>
        <w:rPr>
          <w:rFonts w:ascii="宋体" w:hAnsi="宋体"/>
          <w:color w:val="auto"/>
          <w:szCs w:val="28"/>
          <w:highlight w:val="none"/>
        </w:rPr>
      </w:pPr>
      <w:r>
        <w:rPr>
          <w:rFonts w:hint="eastAsia" w:ascii="宋体" w:hAnsi="宋体"/>
          <w:color w:val="auto"/>
          <w:highlight w:val="none"/>
        </w:rPr>
        <w:t xml:space="preserve"> </w:t>
      </w:r>
    </w:p>
    <w:p>
      <w:pPr>
        <w:pStyle w:val="5"/>
        <w:rPr>
          <w:color w:val="auto"/>
          <w:highlight w:val="none"/>
        </w:rPr>
      </w:pPr>
      <w:r>
        <w:rPr>
          <w:rFonts w:hint="eastAsia"/>
          <w:color w:val="auto"/>
          <w:highlight w:val="none"/>
        </w:rPr>
        <w:t>硬件技术要求</w:t>
      </w:r>
    </w:p>
    <w:p>
      <w:pPr>
        <w:ind w:firstLine="480"/>
        <w:rPr>
          <w:rFonts w:ascii="宋体" w:hAnsi="宋体"/>
          <w:color w:val="auto"/>
          <w:highlight w:val="none"/>
        </w:rPr>
      </w:pPr>
      <w:r>
        <w:rPr>
          <w:rFonts w:hint="eastAsia" w:ascii="宋体" w:hAnsi="宋体"/>
          <w:color w:val="auto"/>
          <w:highlight w:val="none"/>
        </w:rPr>
        <w:t>移动执法箱3套、包括：蓝牙打印机、车载电源转换器、移动终端、执法箱。</w:t>
      </w:r>
    </w:p>
    <w:tbl>
      <w:tblPr>
        <w:tblStyle w:val="22"/>
        <w:tblW w:w="8522" w:type="dxa"/>
        <w:tblInd w:w="0" w:type="dxa"/>
        <w:tblLayout w:type="fixed"/>
        <w:tblCellMar>
          <w:top w:w="0" w:type="dxa"/>
          <w:left w:w="108" w:type="dxa"/>
          <w:bottom w:w="0" w:type="dxa"/>
          <w:right w:w="108" w:type="dxa"/>
        </w:tblCellMar>
      </w:tblPr>
      <w:tblGrid>
        <w:gridCol w:w="675"/>
        <w:gridCol w:w="1566"/>
        <w:gridCol w:w="5287"/>
        <w:gridCol w:w="994"/>
      </w:tblGrid>
      <w:tr>
        <w:tblPrEx>
          <w:tblCellMar>
            <w:top w:w="0" w:type="dxa"/>
            <w:left w:w="108" w:type="dxa"/>
            <w:bottom w:w="0" w:type="dxa"/>
            <w:right w:w="108" w:type="dxa"/>
          </w:tblCellMar>
        </w:tblPrEx>
        <w:trPr>
          <w:trHeight w:val="28"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56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执法设备名称</w:t>
            </w:r>
          </w:p>
        </w:tc>
        <w:tc>
          <w:tcPr>
            <w:tcW w:w="528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技术指标</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数量</w:t>
            </w:r>
          </w:p>
        </w:tc>
      </w:tr>
      <w:tr>
        <w:tblPrEx>
          <w:tblCellMar>
            <w:top w:w="0" w:type="dxa"/>
            <w:left w:w="108" w:type="dxa"/>
            <w:bottom w:w="0" w:type="dxa"/>
            <w:right w:w="108" w:type="dxa"/>
          </w:tblCellMar>
        </w:tblPrEx>
        <w:trPr>
          <w:trHeight w:val="28"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56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蓝牙打印机</w:t>
            </w:r>
          </w:p>
        </w:tc>
        <w:tc>
          <w:tcPr>
            <w:tcW w:w="52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最大打印幅面 A4 ；墨盒类型 一体式墨盒 ；墨盒数量 五色墨盒 ；打印速度 黑白20ppm/彩色14ppm；最高分辨率 9600x2400dpi;原装蓝牙</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r>
      <w:tr>
        <w:tblPrEx>
          <w:tblCellMar>
            <w:top w:w="0" w:type="dxa"/>
            <w:left w:w="108" w:type="dxa"/>
            <w:bottom w:w="0" w:type="dxa"/>
            <w:right w:w="108" w:type="dxa"/>
          </w:tblCellMar>
        </w:tblPrEx>
        <w:trPr>
          <w:trHeight w:val="28" w:hRule="atLeast"/>
        </w:trPr>
        <w:tc>
          <w:tcPr>
            <w:tcW w:w="675"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56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车载电源转换器</w:t>
            </w:r>
          </w:p>
        </w:tc>
        <w:tc>
          <w:tcPr>
            <w:tcW w:w="52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12V24V转220V车载逆变器500W1000W2000W逆变器车载电源转换器 P500 24v</w:t>
            </w:r>
          </w:p>
        </w:tc>
        <w:tc>
          <w:tcPr>
            <w:tcW w:w="994" w:type="dxa"/>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r>
      <w:tr>
        <w:tblPrEx>
          <w:tblCellMar>
            <w:top w:w="0" w:type="dxa"/>
            <w:left w:w="108" w:type="dxa"/>
            <w:bottom w:w="0" w:type="dxa"/>
            <w:right w:w="108" w:type="dxa"/>
          </w:tblCellMar>
        </w:tblPrEx>
        <w:trPr>
          <w:trHeight w:val="28" w:hRule="atLeast"/>
        </w:trPr>
        <w:tc>
          <w:tcPr>
            <w:tcW w:w="675"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56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移动执法终端</w:t>
            </w:r>
          </w:p>
        </w:tc>
        <w:tc>
          <w:tcPr>
            <w:tcW w:w="52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lang w:bidi="ar"/>
              </w:rPr>
              <w:t>不低于</w:t>
            </w:r>
            <w:r>
              <w:rPr>
                <w:rFonts w:hint="eastAsia" w:ascii="宋体" w:hAnsi="宋体"/>
                <w:color w:val="auto"/>
                <w:sz w:val="21"/>
                <w:szCs w:val="21"/>
                <w:highlight w:val="none"/>
              </w:rPr>
              <w:t>8英寸触摸屏；分辨率1920x1200；存储容量16GB；内置摄像头；支持WiFi、蓝牙</w:t>
            </w:r>
          </w:p>
        </w:tc>
        <w:tc>
          <w:tcPr>
            <w:tcW w:w="994" w:type="dxa"/>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r>
      <w:tr>
        <w:tblPrEx>
          <w:tblCellMar>
            <w:top w:w="0" w:type="dxa"/>
            <w:left w:w="108" w:type="dxa"/>
            <w:bottom w:w="0" w:type="dxa"/>
            <w:right w:w="108" w:type="dxa"/>
          </w:tblCellMar>
        </w:tblPrEx>
        <w:trPr>
          <w:trHeight w:val="28" w:hRule="atLeast"/>
        </w:trPr>
        <w:tc>
          <w:tcPr>
            <w:tcW w:w="675"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566"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移动执法箱</w:t>
            </w:r>
          </w:p>
        </w:tc>
        <w:tc>
          <w:tcPr>
            <w:tcW w:w="5287"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定制、采用铝合金材料</w:t>
            </w:r>
          </w:p>
        </w:tc>
        <w:tc>
          <w:tcPr>
            <w:tcW w:w="994" w:type="dxa"/>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r>
    </w:tbl>
    <w:p>
      <w:pPr>
        <w:pStyle w:val="3"/>
        <w:rPr>
          <w:color w:val="auto"/>
          <w:szCs w:val="32"/>
          <w:highlight w:val="none"/>
        </w:rPr>
      </w:pPr>
      <w:r>
        <w:rPr>
          <w:rFonts w:hint="eastAsia"/>
          <w:color w:val="auto"/>
          <w:highlight w:val="none"/>
        </w:rPr>
        <w:t>企业安全生产管理信息化平台</w:t>
      </w:r>
    </w:p>
    <w:tbl>
      <w:tblPr>
        <w:tblStyle w:val="2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15"/>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31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648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目标职责</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包含企业安全生产目标、机构和职责、全员参与、安全生产投入、安全文化建设、安全生产信息化建设等功能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制度化管理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包含企业安全生产法规标准识别、规章制度、操作规程、文档管理等功能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教育培训</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包含企业安全教育培训管理、人员教育培训等功能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现场管理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包含企业安全生产设备设施管理、作业安全管理、职业健康、警示标志等功能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安全风险管控及隐患排查治理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包含企业安全风险管理、重大危险源辨识和管理、隐患排查治理、预测预警等功能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应急管理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包含企业应急准备、应急处置、应急评估等功能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事故查处</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包含企业安全生产事故报告、事故调查和处理、事故管理等功能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持续改进</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包含企业安全生产绩效评定、持续改进等功能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其他安全管理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根据园区安全监管要求的其他安全管理数据上报等功能。包括证书管理、劳动防护用品管理、危险化学品管理、建设项目三同时等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315"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移动APP功能</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1、安全检查及隐患整改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包括企业安全检查和隐患排查治理的全过程流程管理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2、危险作业审批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包含动火作业证、受限空间作业证、盲板抽堵作业证、高处作业证、吊装作业证、断路作业证、临时用电作业证、动土作业证等审批管理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3、巡检管理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通过移动端登记对设备设施、危险源等日常巡查记录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4、隐患随手拍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对日常发现的隐患随手拍照记录隐患信息，上传到系统中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5、信息查询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15"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对企业安全生产管理相关的一企一档信息可以按关键字筛选查询</w:t>
            </w:r>
          </w:p>
        </w:tc>
      </w:tr>
    </w:tbl>
    <w:p>
      <w:pPr>
        <w:pStyle w:val="3"/>
        <w:rPr>
          <w:color w:val="auto"/>
          <w:highlight w:val="none"/>
        </w:rPr>
      </w:pPr>
      <w:r>
        <w:rPr>
          <w:rFonts w:hint="eastAsia"/>
          <w:color w:val="auto"/>
          <w:highlight w:val="none"/>
        </w:rPr>
        <w:t>企业安全生产预警指数系统</w:t>
      </w:r>
    </w:p>
    <w:tbl>
      <w:tblPr>
        <w:tblStyle w:val="2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15"/>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31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648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预警指标管理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系统提供指标自定义功能，可对指标进行新增、设置与维护，赋予指标相应的计算公式与警区阈值，经过统计、修正与计算后得出综合指数值。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预警指数管理</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系统通过各类灵活接口，采集隐患排查治理模块、教育培训模块、应急管理模块、事故管理模块等数据，根据各种指标的设置算法对指标值进行计算。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预警指数图</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系统提供预警指数图浏览，企业管理者可以通过指数图了解目前企业安全生产管理状况的发展趋势，并可查看下属单位安全预警情况。</w:t>
            </w:r>
          </w:p>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预警分析报告</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提供预警分析报告的年报、月报、周报，企业管理者通过预警分析报告可以及时了解到整体公司的预警指数发展趋势，及各部门的预警指数情况，并可以通过日常安全管理的四个层面对安全情况进行详细展现。</w:t>
            </w:r>
            <w:r>
              <w:rPr>
                <w:rFonts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预警报告整改</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通过对预警报告提出的建议措施进行整改，完成预警的闭环管理。帮助企业管理者检查预警报告暴露问题是否及时解决。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3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信息查询</w:t>
            </w:r>
          </w:p>
        </w:tc>
        <w:tc>
          <w:tcPr>
            <w:tcW w:w="64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提供隐患数据、隐患整改情况、培训情况、应急演练情况、事故情况的统计分析，为安全管理人员提供快速查询的工具，及时了解各个业务内容的进展情况。</w:t>
            </w:r>
          </w:p>
        </w:tc>
      </w:tr>
    </w:tbl>
    <w:p>
      <w:pPr>
        <w:pStyle w:val="2"/>
        <w:rPr>
          <w:color w:val="auto"/>
          <w:sz w:val="28"/>
          <w:szCs w:val="28"/>
          <w:highlight w:val="none"/>
        </w:rPr>
      </w:pPr>
      <w:r>
        <w:rPr>
          <w:rFonts w:hint="eastAsia"/>
          <w:color w:val="auto"/>
          <w:highlight w:val="none"/>
        </w:rPr>
        <w:t>能源监管</w:t>
      </w:r>
    </w:p>
    <w:p>
      <w:pPr>
        <w:pStyle w:val="3"/>
        <w:rPr>
          <w:color w:val="auto"/>
          <w:szCs w:val="32"/>
          <w:highlight w:val="none"/>
        </w:rPr>
      </w:pPr>
      <w:r>
        <w:rPr>
          <w:rFonts w:hint="eastAsia"/>
          <w:color w:val="auto"/>
          <w:highlight w:val="none"/>
        </w:rPr>
        <w:t>数据采集及设备要求</w:t>
      </w:r>
    </w:p>
    <w:p>
      <w:pPr>
        <w:rPr>
          <w:b/>
          <w:bCs/>
          <w:color w:val="auto"/>
          <w:highlight w:val="none"/>
        </w:rPr>
      </w:pPr>
      <w:r>
        <w:rPr>
          <w:rFonts w:hint="eastAsia"/>
          <w:b/>
          <w:bCs/>
          <w:color w:val="auto"/>
          <w:highlight w:val="none"/>
        </w:rPr>
        <w:t>设备参数</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产品</w:t>
            </w:r>
          </w:p>
        </w:tc>
        <w:tc>
          <w:tcPr>
            <w:tcW w:w="790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摄像读取器</w:t>
            </w:r>
          </w:p>
        </w:tc>
        <w:tc>
          <w:tcPr>
            <w:tcW w:w="7905" w:type="dxa"/>
            <w:tcBorders>
              <w:top w:val="single" w:color="auto" w:sz="4" w:space="0"/>
              <w:left w:val="nil"/>
              <w:bottom w:val="single" w:color="auto" w:sz="4" w:space="0"/>
              <w:right w:val="single" w:color="auto" w:sz="4" w:space="0"/>
            </w:tcBorders>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要求工作环境温度不小于0～+45℃，湿度是0～95%RH</w:t>
            </w:r>
          </w:p>
          <w:p>
            <w:pPr>
              <w:rPr>
                <w:rFonts w:ascii="宋体" w:hAnsi="宋体"/>
                <w:color w:val="auto"/>
                <w:sz w:val="21"/>
                <w:szCs w:val="21"/>
                <w:highlight w:val="none"/>
              </w:rPr>
            </w:pPr>
            <w:r>
              <w:rPr>
                <w:rFonts w:hint="eastAsia" w:ascii="宋体" w:hAnsi="宋体"/>
                <w:color w:val="auto"/>
                <w:sz w:val="21"/>
                <w:szCs w:val="21"/>
                <w:highlight w:val="none"/>
              </w:rPr>
              <w:t>支持工作电压DC3.6-6V</w:t>
            </w:r>
          </w:p>
          <w:p>
            <w:pPr>
              <w:rPr>
                <w:rFonts w:ascii="宋体" w:hAnsi="宋体"/>
                <w:color w:val="auto"/>
                <w:sz w:val="21"/>
                <w:szCs w:val="21"/>
                <w:highlight w:val="none"/>
              </w:rPr>
            </w:pPr>
            <w:r>
              <w:rPr>
                <w:rFonts w:hint="eastAsia" w:ascii="宋体" w:hAnsi="宋体"/>
                <w:color w:val="auto"/>
                <w:sz w:val="21"/>
                <w:szCs w:val="21"/>
                <w:highlight w:val="none"/>
              </w:rPr>
              <w:t>工作平均电流小于100mA，休眠电流无线小于10uA</w:t>
            </w:r>
          </w:p>
          <w:p>
            <w:pPr>
              <w:rPr>
                <w:rFonts w:ascii="宋体" w:hAnsi="宋体"/>
                <w:color w:val="auto"/>
                <w:sz w:val="21"/>
                <w:szCs w:val="21"/>
                <w:highlight w:val="none"/>
              </w:rPr>
            </w:pPr>
            <w:r>
              <w:rPr>
                <w:rFonts w:hint="eastAsia" w:ascii="宋体" w:hAnsi="宋体"/>
                <w:color w:val="auto"/>
                <w:sz w:val="21"/>
                <w:szCs w:val="21"/>
                <w:highlight w:val="none"/>
              </w:rPr>
              <w:t>支持接口RS-485、 M-bus、 RF（LoRa） 、 NB-IoT可选，或定制</w:t>
            </w:r>
          </w:p>
          <w:p>
            <w:pPr>
              <w:rPr>
                <w:rFonts w:ascii="宋体" w:hAnsi="宋体"/>
                <w:color w:val="auto"/>
                <w:sz w:val="21"/>
                <w:szCs w:val="21"/>
                <w:highlight w:val="none"/>
              </w:rPr>
            </w:pPr>
            <w:r>
              <w:rPr>
                <w:rFonts w:hint="eastAsia" w:ascii="宋体" w:hAnsi="宋体"/>
                <w:color w:val="auto"/>
                <w:sz w:val="21"/>
                <w:szCs w:val="21"/>
                <w:highlight w:val="none"/>
              </w:rPr>
              <w:t>支持协议CJ/T188、 DL/T645可选，或定制</w:t>
            </w:r>
          </w:p>
          <w:p>
            <w:pPr>
              <w:rPr>
                <w:rFonts w:ascii="宋体" w:hAnsi="宋体"/>
                <w:color w:val="auto"/>
                <w:sz w:val="21"/>
                <w:szCs w:val="21"/>
                <w:highlight w:val="none"/>
              </w:rPr>
            </w:pPr>
            <w:r>
              <w:rPr>
                <w:rFonts w:hint="eastAsia" w:ascii="宋体" w:hAnsi="宋体"/>
                <w:color w:val="auto"/>
                <w:sz w:val="21"/>
                <w:szCs w:val="21"/>
                <w:highlight w:val="none"/>
              </w:rPr>
              <w:t>支持小于0.6K字节（自定义格式）和4K字节（JPG格式）的图像</w:t>
            </w:r>
          </w:p>
          <w:p>
            <w:pPr>
              <w:rPr>
                <w:rFonts w:ascii="宋体" w:hAnsi="宋体"/>
                <w:color w:val="auto"/>
                <w:sz w:val="21"/>
                <w:szCs w:val="21"/>
                <w:highlight w:val="none"/>
              </w:rPr>
            </w:pPr>
            <w:r>
              <w:rPr>
                <w:rFonts w:hint="eastAsia" w:ascii="宋体" w:hAnsi="宋体"/>
                <w:color w:val="auto"/>
                <w:sz w:val="21"/>
                <w:szCs w:val="21"/>
                <w:highlight w:val="none"/>
              </w:rPr>
              <w:t>识别成功率99.99%（基于指定表具）</w:t>
            </w:r>
          </w:p>
          <w:p>
            <w:pPr>
              <w:rPr>
                <w:rFonts w:ascii="宋体" w:hAnsi="宋体"/>
                <w:color w:val="auto"/>
                <w:sz w:val="21"/>
                <w:szCs w:val="21"/>
                <w:highlight w:val="none"/>
              </w:rPr>
            </w:pPr>
            <w:r>
              <w:rPr>
                <w:rFonts w:hint="eastAsia" w:ascii="宋体" w:hAnsi="宋体"/>
                <w:color w:val="auto"/>
                <w:sz w:val="21"/>
                <w:szCs w:val="21"/>
                <w:highlight w:val="none"/>
              </w:rPr>
              <w:t>支持新表及老户改造</w:t>
            </w:r>
          </w:p>
          <w:p>
            <w:pPr>
              <w:rPr>
                <w:rFonts w:ascii="宋体" w:hAnsi="宋体"/>
                <w:color w:val="auto"/>
                <w:sz w:val="21"/>
                <w:szCs w:val="21"/>
                <w:highlight w:val="none"/>
              </w:rPr>
            </w:pPr>
            <w:r>
              <w:rPr>
                <w:rFonts w:hint="eastAsia" w:ascii="宋体" w:hAnsi="宋体"/>
                <w:color w:val="auto"/>
                <w:sz w:val="21"/>
                <w:szCs w:val="21"/>
                <w:highlight w:val="none"/>
              </w:rPr>
              <w:t>支持传感器与基表独立维护</w:t>
            </w:r>
          </w:p>
          <w:p>
            <w:pPr>
              <w:rPr>
                <w:rFonts w:ascii="宋体" w:hAnsi="宋体"/>
                <w:color w:val="auto"/>
                <w:sz w:val="21"/>
                <w:szCs w:val="21"/>
                <w:highlight w:val="none"/>
              </w:rPr>
            </w:pPr>
            <w:r>
              <w:rPr>
                <w:rFonts w:hint="eastAsia" w:ascii="宋体" w:hAnsi="宋体"/>
                <w:color w:val="auto"/>
                <w:sz w:val="21"/>
                <w:szCs w:val="21"/>
                <w:highlight w:val="none"/>
              </w:rPr>
              <w:t>表端识别数据量小，流量小</w:t>
            </w:r>
          </w:p>
          <w:p>
            <w:pPr>
              <w:rPr>
                <w:rFonts w:ascii="宋体" w:hAnsi="宋体"/>
                <w:color w:val="auto"/>
                <w:sz w:val="21"/>
                <w:szCs w:val="21"/>
                <w:highlight w:val="none"/>
              </w:rPr>
            </w:pPr>
            <w:r>
              <w:rPr>
                <w:rFonts w:hint="eastAsia" w:ascii="宋体" w:hAnsi="宋体"/>
                <w:color w:val="auto"/>
                <w:sz w:val="21"/>
                <w:szCs w:val="21"/>
                <w:highlight w:val="none"/>
              </w:rPr>
              <w:t>支持与传统直读表（如光电表）混装使用</w:t>
            </w:r>
          </w:p>
          <w:p>
            <w:pPr>
              <w:rPr>
                <w:rFonts w:ascii="宋体" w:hAnsi="宋体"/>
                <w:color w:val="auto"/>
                <w:sz w:val="21"/>
                <w:szCs w:val="21"/>
                <w:highlight w:val="none"/>
              </w:rPr>
            </w:pPr>
            <w:r>
              <w:rPr>
                <w:rFonts w:hint="eastAsia" w:ascii="宋体" w:hAnsi="宋体"/>
                <w:color w:val="auto"/>
                <w:sz w:val="21"/>
                <w:szCs w:val="21"/>
                <w:highlight w:val="none"/>
              </w:rPr>
              <w:t>支持低数据量图片可满足微功率无线（如LoRa）应用下的图片需求</w:t>
            </w:r>
          </w:p>
          <w:p>
            <w:pPr>
              <w:rPr>
                <w:rFonts w:ascii="宋体" w:hAnsi="宋体"/>
                <w:color w:val="auto"/>
                <w:sz w:val="21"/>
                <w:szCs w:val="21"/>
                <w:highlight w:val="none"/>
              </w:rPr>
            </w:pPr>
            <w:r>
              <w:rPr>
                <w:rFonts w:hint="eastAsia" w:ascii="宋体" w:hAnsi="宋体"/>
                <w:color w:val="auto"/>
                <w:sz w:val="21"/>
                <w:szCs w:val="21"/>
                <w:highlight w:val="none"/>
              </w:rPr>
              <w:t>支持清晰原图可满足核表要求，亦能在读数异常时作为原始凭证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能耗数据采集器</w:t>
            </w:r>
          </w:p>
        </w:tc>
        <w:tc>
          <w:tcPr>
            <w:tcW w:w="79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产品需要为工业级芯片及设计；</w:t>
            </w:r>
          </w:p>
          <w:p>
            <w:pPr>
              <w:rPr>
                <w:rFonts w:ascii="宋体" w:hAnsi="宋体"/>
                <w:color w:val="auto"/>
                <w:sz w:val="21"/>
                <w:szCs w:val="21"/>
                <w:highlight w:val="none"/>
              </w:rPr>
            </w:pPr>
            <w:r>
              <w:rPr>
                <w:rFonts w:hint="eastAsia" w:ascii="宋体" w:hAnsi="宋体"/>
                <w:color w:val="auto"/>
                <w:sz w:val="21"/>
                <w:szCs w:val="21"/>
                <w:highlight w:val="none"/>
              </w:rPr>
              <w:t>支持不少于对192个数据采集点进行数据采集；</w:t>
            </w:r>
          </w:p>
          <w:p>
            <w:pPr>
              <w:rPr>
                <w:rFonts w:ascii="宋体" w:hAnsi="宋体"/>
                <w:color w:val="auto"/>
                <w:sz w:val="21"/>
                <w:szCs w:val="21"/>
                <w:highlight w:val="none"/>
              </w:rPr>
            </w:pPr>
            <w:r>
              <w:rPr>
                <w:rFonts w:hint="eastAsia" w:ascii="宋体" w:hAnsi="宋体"/>
                <w:color w:val="auto"/>
                <w:sz w:val="21"/>
                <w:szCs w:val="21"/>
                <w:highlight w:val="none"/>
              </w:rPr>
              <w:t>产品需要具备采集周期可以从1分钟以上任意时间灵活配置；</w:t>
            </w:r>
          </w:p>
          <w:p>
            <w:pPr>
              <w:rPr>
                <w:rFonts w:ascii="宋体" w:hAnsi="宋体"/>
                <w:color w:val="auto"/>
                <w:sz w:val="21"/>
                <w:szCs w:val="21"/>
                <w:highlight w:val="none"/>
              </w:rPr>
            </w:pPr>
            <w:r>
              <w:rPr>
                <w:rFonts w:hint="eastAsia" w:ascii="宋体" w:hAnsi="宋体"/>
                <w:color w:val="auto"/>
                <w:sz w:val="21"/>
                <w:szCs w:val="21"/>
                <w:highlight w:val="none"/>
              </w:rPr>
              <w:t>支持外接不小于4GB工业级储存卡作为专用存储空间，支持24个月以上的能耗数据存储；</w:t>
            </w:r>
          </w:p>
          <w:p>
            <w:pPr>
              <w:rPr>
                <w:rFonts w:ascii="宋体" w:hAnsi="宋体"/>
                <w:color w:val="auto"/>
                <w:sz w:val="21"/>
                <w:szCs w:val="21"/>
                <w:highlight w:val="none"/>
              </w:rPr>
            </w:pPr>
            <w:r>
              <w:rPr>
                <w:rFonts w:hint="eastAsia" w:ascii="宋体" w:hAnsi="宋体"/>
                <w:color w:val="auto"/>
                <w:sz w:val="21"/>
                <w:szCs w:val="21"/>
                <w:highlight w:val="none"/>
              </w:rPr>
              <w:t>产品需要支持断点续传，保持数据完整性；</w:t>
            </w:r>
          </w:p>
          <w:p>
            <w:pPr>
              <w:rPr>
                <w:rFonts w:ascii="宋体" w:hAnsi="宋体"/>
                <w:color w:val="auto"/>
                <w:sz w:val="21"/>
                <w:szCs w:val="21"/>
                <w:highlight w:val="none"/>
              </w:rPr>
            </w:pPr>
            <w:r>
              <w:rPr>
                <w:rFonts w:hint="eastAsia" w:ascii="宋体" w:hAnsi="宋体"/>
                <w:color w:val="auto"/>
                <w:sz w:val="21"/>
                <w:szCs w:val="21"/>
                <w:highlight w:val="none"/>
              </w:rPr>
              <w:t>数据采集器至少包含7个接口,其中至少具备6个可独立配置采集接口(采集接口应为RS485接口，至少具备1个RS232接口)，至少具备1个RJ45接口，用于数据上传和本地维护；</w:t>
            </w:r>
          </w:p>
          <w:p>
            <w:pPr>
              <w:rPr>
                <w:rFonts w:ascii="宋体" w:hAnsi="宋体"/>
                <w:color w:val="auto"/>
                <w:sz w:val="21"/>
                <w:szCs w:val="21"/>
                <w:highlight w:val="none"/>
              </w:rPr>
            </w:pPr>
            <w:r>
              <w:rPr>
                <w:rFonts w:hint="eastAsia" w:ascii="宋体" w:hAnsi="宋体"/>
                <w:color w:val="auto"/>
                <w:sz w:val="21"/>
                <w:szCs w:val="21"/>
                <w:highlight w:val="none"/>
              </w:rPr>
              <w:t>产品必须为低功耗的嵌入式系统，其功率小于等于10W；</w:t>
            </w:r>
          </w:p>
          <w:p>
            <w:pPr>
              <w:rPr>
                <w:rFonts w:ascii="宋体" w:hAnsi="宋体"/>
                <w:color w:val="auto"/>
                <w:sz w:val="21"/>
                <w:szCs w:val="21"/>
                <w:highlight w:val="none"/>
              </w:rPr>
            </w:pPr>
            <w:r>
              <w:rPr>
                <w:rFonts w:hint="eastAsia" w:ascii="宋体" w:hAnsi="宋体"/>
                <w:color w:val="auto"/>
                <w:sz w:val="21"/>
                <w:szCs w:val="21"/>
                <w:highlight w:val="none"/>
              </w:rPr>
              <w:t>工作温度范围不小于-20～+65℃工业级的工作温度</w:t>
            </w:r>
          </w:p>
          <w:p>
            <w:pPr>
              <w:rPr>
                <w:rFonts w:ascii="宋体" w:hAnsi="宋体"/>
                <w:color w:val="auto"/>
                <w:sz w:val="21"/>
                <w:szCs w:val="21"/>
                <w:highlight w:val="none"/>
              </w:rPr>
            </w:pPr>
            <w:r>
              <w:rPr>
                <w:rFonts w:hint="eastAsia" w:ascii="宋体" w:hAnsi="宋体"/>
                <w:color w:val="auto"/>
                <w:sz w:val="21"/>
                <w:szCs w:val="21"/>
                <w:highlight w:val="none"/>
              </w:rPr>
              <w:t>工作湿度范围不小于5～90%RH（无结露）；</w:t>
            </w:r>
          </w:p>
          <w:p>
            <w:pPr>
              <w:rPr>
                <w:rFonts w:ascii="宋体" w:hAnsi="宋体"/>
                <w:color w:val="auto"/>
                <w:sz w:val="21"/>
                <w:szCs w:val="21"/>
                <w:highlight w:val="none"/>
              </w:rPr>
            </w:pPr>
            <w:r>
              <w:rPr>
                <w:rFonts w:hint="eastAsia" w:ascii="宋体" w:hAnsi="宋体"/>
                <w:color w:val="auto"/>
                <w:sz w:val="21"/>
                <w:szCs w:val="21"/>
                <w:highlight w:val="none"/>
              </w:rPr>
              <w:t>*所投的数据采集器具有电磁兼容性检测报告（需要提供第三方检测报告）复印件并加盖公章。</w:t>
            </w:r>
          </w:p>
          <w:p>
            <w:pPr>
              <w:rPr>
                <w:rFonts w:ascii="宋体" w:hAnsi="宋体"/>
                <w:color w:val="auto"/>
                <w:sz w:val="21"/>
                <w:szCs w:val="21"/>
                <w:highlight w:val="none"/>
              </w:rPr>
            </w:pPr>
            <w:r>
              <w:rPr>
                <w:rFonts w:hint="eastAsia" w:ascii="宋体" w:hAnsi="宋体"/>
                <w:color w:val="auto"/>
                <w:sz w:val="21"/>
                <w:szCs w:val="21"/>
                <w:highlight w:val="none"/>
              </w:rPr>
              <w:t>支持Linux 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通讯管理机</w:t>
            </w:r>
          </w:p>
        </w:tc>
        <w:tc>
          <w:tcPr>
            <w:tcW w:w="7905" w:type="dxa"/>
            <w:tcBorders>
              <w:top w:val="single" w:color="auto" w:sz="4" w:space="0"/>
              <w:left w:val="nil"/>
              <w:bottom w:val="single" w:color="auto" w:sz="4" w:space="0"/>
              <w:right w:val="single" w:color="auto" w:sz="4" w:space="0"/>
            </w:tcBorders>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不低于ARM Cortex-A5 536MHZ，低功耗、嵌入式设计</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支持不低于128MB DDR2内存容量，最大可支持不低于512MB</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采用不低于256MB FLASH，最大可支持1GB</w:t>
            </w:r>
          </w:p>
          <w:p>
            <w:pPr>
              <w:rPr>
                <w:rFonts w:ascii="宋体" w:hAnsi="宋体"/>
                <w:color w:val="auto"/>
                <w:sz w:val="21"/>
                <w:szCs w:val="21"/>
                <w:highlight w:val="none"/>
              </w:rPr>
            </w:pPr>
            <w:r>
              <w:rPr>
                <w:rFonts w:hint="eastAsia" w:ascii="宋体" w:hAnsi="宋体"/>
                <w:color w:val="auto"/>
                <w:sz w:val="21"/>
                <w:szCs w:val="21"/>
                <w:highlight w:val="none"/>
              </w:rPr>
              <w:t>支持1×10/100Mbps 以太网RJ-45接口，1.5KV电磁隔离保护</w:t>
            </w:r>
          </w:p>
          <w:p>
            <w:pPr>
              <w:rPr>
                <w:rFonts w:ascii="宋体" w:hAnsi="宋体"/>
                <w:color w:val="auto"/>
                <w:sz w:val="21"/>
                <w:szCs w:val="21"/>
                <w:highlight w:val="none"/>
              </w:rPr>
            </w:pPr>
            <w:r>
              <w:rPr>
                <w:rFonts w:hint="eastAsia" w:ascii="宋体" w:hAnsi="宋体"/>
                <w:color w:val="auto"/>
                <w:sz w:val="21"/>
                <w:szCs w:val="21"/>
                <w:highlight w:val="none"/>
              </w:rPr>
              <w:t>2×RS-485，光电隔离设计</w:t>
            </w:r>
          </w:p>
          <w:p>
            <w:pPr>
              <w:rPr>
                <w:rFonts w:ascii="宋体" w:hAnsi="宋体"/>
                <w:color w:val="auto"/>
                <w:sz w:val="21"/>
                <w:szCs w:val="21"/>
                <w:highlight w:val="none"/>
              </w:rPr>
            </w:pPr>
            <w:r>
              <w:rPr>
                <w:rFonts w:hint="eastAsia" w:ascii="宋体" w:hAnsi="宋体"/>
                <w:color w:val="auto"/>
                <w:sz w:val="21"/>
                <w:szCs w:val="21"/>
                <w:highlight w:val="none"/>
              </w:rPr>
              <w:t>支持1×TF存储扩展</w:t>
            </w:r>
          </w:p>
          <w:p>
            <w:pPr>
              <w:rPr>
                <w:rFonts w:ascii="宋体" w:hAnsi="宋体"/>
                <w:color w:val="auto"/>
                <w:sz w:val="21"/>
                <w:szCs w:val="21"/>
                <w:highlight w:val="none"/>
              </w:rPr>
            </w:pPr>
            <w:r>
              <w:rPr>
                <w:rFonts w:hint="eastAsia" w:ascii="宋体" w:hAnsi="宋体"/>
                <w:color w:val="auto"/>
                <w:sz w:val="21"/>
                <w:szCs w:val="21"/>
                <w:highlight w:val="none"/>
              </w:rPr>
              <w:t>支持宽电源供电：直流+12V～36V，功耗1W</w:t>
            </w:r>
          </w:p>
          <w:p>
            <w:pPr>
              <w:rPr>
                <w:rFonts w:ascii="宋体" w:hAnsi="宋体"/>
                <w:color w:val="auto"/>
                <w:sz w:val="21"/>
                <w:szCs w:val="21"/>
                <w:highlight w:val="none"/>
              </w:rPr>
            </w:pPr>
            <w:r>
              <w:rPr>
                <w:rFonts w:hint="eastAsia" w:ascii="宋体" w:hAnsi="宋体"/>
                <w:color w:val="auto"/>
                <w:sz w:val="21"/>
                <w:szCs w:val="21"/>
                <w:highlight w:val="none"/>
              </w:rPr>
              <w:t>支持电源、HDD及各端口状态指示灯</w:t>
            </w:r>
          </w:p>
          <w:p>
            <w:pPr>
              <w:rPr>
                <w:rFonts w:ascii="宋体" w:hAnsi="宋体"/>
                <w:color w:val="auto"/>
                <w:sz w:val="21"/>
                <w:szCs w:val="21"/>
                <w:highlight w:val="none"/>
              </w:rPr>
            </w:pPr>
            <w:r>
              <w:rPr>
                <w:rFonts w:hint="eastAsia" w:ascii="宋体" w:hAnsi="宋体"/>
                <w:color w:val="auto"/>
                <w:sz w:val="21"/>
                <w:szCs w:val="21"/>
                <w:highlight w:val="none"/>
              </w:rPr>
              <w:t>可选配GPRS/LTE/LoRa三种无线上传模块</w:t>
            </w:r>
          </w:p>
          <w:p>
            <w:pPr>
              <w:rPr>
                <w:rFonts w:ascii="宋体" w:hAnsi="宋体"/>
                <w:color w:val="auto"/>
                <w:sz w:val="21"/>
                <w:szCs w:val="21"/>
                <w:highlight w:val="none"/>
              </w:rPr>
            </w:pPr>
            <w:r>
              <w:rPr>
                <w:rFonts w:hint="eastAsia" w:ascii="宋体" w:hAnsi="宋体"/>
                <w:color w:val="auto"/>
                <w:sz w:val="21"/>
                <w:szCs w:val="21"/>
                <w:highlight w:val="none"/>
              </w:rPr>
              <w:t>支持自动重启触发看门狗（芯片内置）</w:t>
            </w:r>
          </w:p>
          <w:p>
            <w:pPr>
              <w:rPr>
                <w:rFonts w:ascii="宋体" w:hAnsi="宋体"/>
                <w:color w:val="auto"/>
                <w:sz w:val="21"/>
                <w:szCs w:val="21"/>
                <w:highlight w:val="none"/>
              </w:rPr>
            </w:pPr>
            <w:r>
              <w:rPr>
                <w:rFonts w:hint="eastAsia" w:ascii="宋体" w:hAnsi="宋体"/>
                <w:color w:val="auto"/>
                <w:sz w:val="21"/>
                <w:szCs w:val="21"/>
                <w:highlight w:val="none"/>
              </w:rPr>
              <w:t>工作温度支持工业级宽温-40～70℃，存储温度-40～80℃，湿度5～95%RH，不凝结</w:t>
            </w:r>
          </w:p>
          <w:p>
            <w:pPr>
              <w:rPr>
                <w:rFonts w:ascii="宋体" w:hAnsi="宋体"/>
                <w:color w:val="auto"/>
                <w:sz w:val="21"/>
                <w:szCs w:val="21"/>
                <w:highlight w:val="none"/>
              </w:rPr>
            </w:pPr>
            <w:r>
              <w:rPr>
                <w:rFonts w:hint="eastAsia" w:ascii="宋体" w:hAnsi="宋体"/>
                <w:color w:val="auto"/>
                <w:sz w:val="21"/>
                <w:szCs w:val="21"/>
                <w:highlight w:val="none"/>
              </w:rPr>
              <w:t>支持嵌入式Linux操作系统</w:t>
            </w:r>
          </w:p>
          <w:p>
            <w:pPr>
              <w:rPr>
                <w:rFonts w:ascii="宋体" w:hAnsi="宋体"/>
                <w:color w:val="auto"/>
                <w:sz w:val="21"/>
                <w:szCs w:val="21"/>
                <w:highlight w:val="none"/>
              </w:rPr>
            </w:pPr>
            <w:r>
              <w:rPr>
                <w:rFonts w:hint="eastAsia" w:ascii="宋体" w:hAnsi="宋体"/>
                <w:color w:val="auto"/>
                <w:sz w:val="21"/>
                <w:szCs w:val="21"/>
                <w:highlight w:val="none"/>
              </w:rPr>
              <w:t>无风扇设计，铁壳机构散热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企业端安全隔离网闸</w:t>
            </w:r>
          </w:p>
        </w:tc>
        <w:tc>
          <w:tcPr>
            <w:tcW w:w="79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内网：不低于4个10/100/1000M RJ45接口，1个串口，2个USB口</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外网：不低于4个10/100/1000M RJ45接口，1个串口，2个USB口</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网络吞吐量：不小于300Mbps</w:t>
            </w:r>
          </w:p>
          <w:p>
            <w:pPr>
              <w:rPr>
                <w:rFonts w:ascii="宋体" w:hAnsi="宋体"/>
                <w:color w:val="auto"/>
                <w:sz w:val="21"/>
                <w:szCs w:val="21"/>
                <w:highlight w:val="none"/>
              </w:rPr>
            </w:pPr>
            <w:r>
              <w:rPr>
                <w:rFonts w:hint="eastAsia" w:ascii="宋体" w:hAnsi="宋体"/>
                <w:color w:val="auto"/>
                <w:sz w:val="21"/>
                <w:szCs w:val="21"/>
                <w:highlight w:val="none"/>
              </w:rPr>
              <w:t>系统整体时延：&lt;5毫秒</w:t>
            </w:r>
          </w:p>
          <w:p>
            <w:pPr>
              <w:rPr>
                <w:rFonts w:ascii="宋体" w:hAnsi="宋体"/>
                <w:color w:val="auto"/>
                <w:sz w:val="21"/>
                <w:szCs w:val="21"/>
                <w:highlight w:val="none"/>
              </w:rPr>
            </w:pPr>
            <w:r>
              <w:rPr>
                <w:rFonts w:hint="eastAsia" w:ascii="宋体" w:hAnsi="宋体"/>
                <w:color w:val="auto"/>
                <w:sz w:val="21"/>
                <w:szCs w:val="21"/>
                <w:highlight w:val="none"/>
              </w:rPr>
              <w:t>所有协议通道并发连接数：45000</w:t>
            </w:r>
          </w:p>
          <w:p>
            <w:pPr>
              <w:rPr>
                <w:rFonts w:ascii="宋体" w:hAnsi="宋体"/>
                <w:color w:val="auto"/>
                <w:sz w:val="21"/>
                <w:szCs w:val="21"/>
                <w:highlight w:val="none"/>
              </w:rPr>
            </w:pPr>
            <w:r>
              <w:rPr>
                <w:rFonts w:hint="eastAsia" w:ascii="宋体" w:hAnsi="宋体"/>
                <w:color w:val="auto"/>
                <w:sz w:val="21"/>
                <w:szCs w:val="21"/>
                <w:highlight w:val="none"/>
              </w:rPr>
              <w:t>支持WEB访问，支持HTTP协议应用的各种指令控制</w:t>
            </w:r>
          </w:p>
          <w:p>
            <w:pPr>
              <w:rPr>
                <w:rFonts w:ascii="宋体" w:hAnsi="宋体"/>
                <w:color w:val="auto"/>
                <w:sz w:val="21"/>
                <w:szCs w:val="21"/>
                <w:highlight w:val="none"/>
              </w:rPr>
            </w:pPr>
            <w:r>
              <w:rPr>
                <w:rFonts w:hint="eastAsia" w:ascii="宋体" w:hAnsi="宋体"/>
                <w:color w:val="auto"/>
                <w:sz w:val="21"/>
                <w:szCs w:val="21"/>
                <w:highlight w:val="none"/>
              </w:rPr>
              <w:t>支持HTTPS网络传输，并且可在该加密通道中分解出正常HTTPS网络应用，保障传输。同时可以屏蔽自由门等各类加密翻墙软件的传输。（提供功能截图证明）</w:t>
            </w:r>
          </w:p>
          <w:p>
            <w:pPr>
              <w:rPr>
                <w:rFonts w:ascii="宋体" w:hAnsi="宋体"/>
                <w:color w:val="auto"/>
                <w:sz w:val="21"/>
                <w:szCs w:val="21"/>
                <w:highlight w:val="none"/>
              </w:rPr>
            </w:pPr>
            <w:r>
              <w:rPr>
                <w:rFonts w:hint="eastAsia" w:ascii="宋体" w:hAnsi="宋体"/>
                <w:color w:val="auto"/>
                <w:sz w:val="21"/>
                <w:szCs w:val="21"/>
                <w:highlight w:val="none"/>
              </w:rPr>
              <w:t>其他过滤策略：文件类型、页面提交方式等。支持情景模式，能够控制用户上网以及服务器对外提供服务的具体时间</w:t>
            </w:r>
          </w:p>
          <w:p>
            <w:pPr>
              <w:rPr>
                <w:rFonts w:ascii="宋体" w:hAnsi="宋体"/>
                <w:color w:val="auto"/>
                <w:sz w:val="21"/>
                <w:szCs w:val="21"/>
                <w:highlight w:val="none"/>
              </w:rPr>
            </w:pPr>
            <w:r>
              <w:rPr>
                <w:rFonts w:hint="eastAsia" w:ascii="宋体" w:hAnsi="宋体"/>
                <w:color w:val="auto"/>
                <w:sz w:val="21"/>
                <w:szCs w:val="21"/>
                <w:highlight w:val="none"/>
              </w:rPr>
              <w:t>代理、透明和路由工作模式下均支持HTTP和HTTPS协议内部命令及命令参数控制策略。（提供功能截图证明）</w:t>
            </w:r>
          </w:p>
          <w:p>
            <w:pPr>
              <w:rPr>
                <w:rFonts w:ascii="宋体" w:hAnsi="宋体"/>
                <w:color w:val="auto"/>
                <w:sz w:val="21"/>
                <w:szCs w:val="21"/>
                <w:highlight w:val="none"/>
              </w:rPr>
            </w:pPr>
            <w:r>
              <w:rPr>
                <w:rFonts w:hint="eastAsia" w:ascii="宋体" w:hAnsi="宋体"/>
                <w:color w:val="auto"/>
                <w:sz w:val="21"/>
                <w:szCs w:val="21"/>
                <w:highlight w:val="none"/>
              </w:rPr>
              <w:t>支持FTP文件传输协议，支持主动被动两种模式。支持FTP命令参数控制支持对传输文件的类型过滤</w:t>
            </w:r>
          </w:p>
          <w:p>
            <w:pPr>
              <w:rPr>
                <w:rFonts w:ascii="宋体" w:hAnsi="宋体"/>
                <w:color w:val="auto"/>
                <w:sz w:val="21"/>
                <w:szCs w:val="21"/>
                <w:highlight w:val="none"/>
              </w:rPr>
            </w:pPr>
            <w:r>
              <w:rPr>
                <w:rFonts w:hint="eastAsia" w:ascii="宋体" w:hAnsi="宋体"/>
                <w:color w:val="auto"/>
                <w:sz w:val="21"/>
                <w:szCs w:val="21"/>
                <w:highlight w:val="none"/>
              </w:rPr>
              <w:t>代理、透明和路由工作模式下均支持FTP协议内部命令及命令参数控制策略</w:t>
            </w:r>
          </w:p>
          <w:p>
            <w:pPr>
              <w:rPr>
                <w:rFonts w:ascii="宋体" w:hAnsi="宋体"/>
                <w:color w:val="auto"/>
                <w:sz w:val="21"/>
                <w:szCs w:val="21"/>
                <w:highlight w:val="none"/>
              </w:rPr>
            </w:pPr>
            <w:r>
              <w:rPr>
                <w:rFonts w:hint="eastAsia" w:ascii="宋体" w:hAnsi="宋体"/>
                <w:color w:val="auto"/>
                <w:sz w:val="21"/>
                <w:szCs w:val="21"/>
                <w:highlight w:val="none"/>
              </w:rPr>
              <w:t>提供专用文件同步客户端提供安全的文件同步功能</w:t>
            </w:r>
          </w:p>
          <w:p>
            <w:pPr>
              <w:rPr>
                <w:rFonts w:ascii="宋体" w:hAnsi="宋体"/>
                <w:color w:val="auto"/>
                <w:sz w:val="21"/>
                <w:szCs w:val="21"/>
                <w:highlight w:val="none"/>
              </w:rPr>
            </w:pPr>
            <w:r>
              <w:rPr>
                <w:rFonts w:hint="eastAsia" w:ascii="宋体" w:hAnsi="宋体"/>
                <w:color w:val="auto"/>
                <w:sz w:val="21"/>
                <w:szCs w:val="21"/>
                <w:highlight w:val="none"/>
              </w:rPr>
              <w:t>同步传输方向可控，双向或单向</w:t>
            </w:r>
          </w:p>
          <w:p>
            <w:pPr>
              <w:rPr>
                <w:rFonts w:ascii="宋体" w:hAnsi="宋体"/>
                <w:color w:val="auto"/>
                <w:sz w:val="21"/>
                <w:szCs w:val="21"/>
                <w:highlight w:val="none"/>
              </w:rPr>
            </w:pPr>
            <w:r>
              <w:rPr>
                <w:rFonts w:hint="eastAsia" w:ascii="宋体" w:hAnsi="宋体"/>
                <w:color w:val="auto"/>
                <w:sz w:val="21"/>
                <w:szCs w:val="21"/>
                <w:highlight w:val="none"/>
              </w:rPr>
              <w:t>支持一对多或多对一文件同步</w:t>
            </w:r>
          </w:p>
          <w:p>
            <w:pPr>
              <w:rPr>
                <w:rFonts w:ascii="宋体" w:hAnsi="宋体"/>
                <w:color w:val="auto"/>
                <w:sz w:val="21"/>
                <w:szCs w:val="21"/>
                <w:highlight w:val="none"/>
              </w:rPr>
            </w:pPr>
            <w:r>
              <w:rPr>
                <w:rFonts w:hint="eastAsia" w:ascii="宋体" w:hAnsi="宋体"/>
                <w:color w:val="auto"/>
                <w:sz w:val="21"/>
                <w:szCs w:val="21"/>
                <w:highlight w:val="none"/>
              </w:rPr>
              <w:t>支持文件变动实时同步、定时同步、系统资源空闲智能同步等多种同步方式</w:t>
            </w:r>
          </w:p>
          <w:p>
            <w:pPr>
              <w:rPr>
                <w:rFonts w:ascii="宋体" w:hAnsi="宋体"/>
                <w:color w:val="auto"/>
                <w:sz w:val="21"/>
                <w:szCs w:val="21"/>
                <w:highlight w:val="none"/>
              </w:rPr>
            </w:pPr>
            <w:r>
              <w:rPr>
                <w:rFonts w:hint="eastAsia" w:ascii="宋体" w:hAnsi="宋体"/>
                <w:color w:val="auto"/>
                <w:sz w:val="21"/>
                <w:szCs w:val="21"/>
                <w:highlight w:val="none"/>
              </w:rPr>
              <w:t>支持同步删除和同步覆盖策略配置，并能将同步删除和同步覆盖的文件备份到指定文件夹</w:t>
            </w:r>
          </w:p>
          <w:p>
            <w:pPr>
              <w:rPr>
                <w:rFonts w:ascii="宋体" w:hAnsi="宋体"/>
                <w:color w:val="auto"/>
                <w:sz w:val="21"/>
                <w:szCs w:val="21"/>
                <w:highlight w:val="none"/>
              </w:rPr>
            </w:pPr>
            <w:r>
              <w:rPr>
                <w:rFonts w:hint="eastAsia" w:ascii="宋体" w:hAnsi="宋体"/>
                <w:color w:val="auto"/>
                <w:sz w:val="21"/>
                <w:szCs w:val="21"/>
                <w:highlight w:val="none"/>
              </w:rPr>
              <w:t>支持文件同步容错策略和告警策略，同步出错能够自动重传并能够设置重传次数，出现异常同步状况能够终止同步弹出告警提示并记录日志。（提供功能截图证明）</w:t>
            </w:r>
          </w:p>
          <w:p>
            <w:pPr>
              <w:rPr>
                <w:rFonts w:ascii="宋体" w:hAnsi="宋体"/>
                <w:color w:val="auto"/>
                <w:sz w:val="21"/>
                <w:szCs w:val="21"/>
                <w:highlight w:val="none"/>
              </w:rPr>
            </w:pPr>
            <w:r>
              <w:rPr>
                <w:rFonts w:hint="eastAsia" w:ascii="宋体" w:hAnsi="宋体"/>
                <w:color w:val="auto"/>
                <w:sz w:val="21"/>
                <w:szCs w:val="21"/>
                <w:highlight w:val="none"/>
              </w:rPr>
              <w:t>提供对多种主流数据库,如：MYSQL、SQLSERVER、ORACLE、DB2、SYBASE等系统的安全访问</w:t>
            </w:r>
          </w:p>
          <w:p>
            <w:pPr>
              <w:rPr>
                <w:rFonts w:ascii="宋体" w:hAnsi="宋体"/>
                <w:color w:val="auto"/>
                <w:sz w:val="21"/>
                <w:szCs w:val="21"/>
                <w:highlight w:val="none"/>
              </w:rPr>
            </w:pPr>
            <w:r>
              <w:rPr>
                <w:rFonts w:hint="eastAsia" w:ascii="宋体" w:hAnsi="宋体"/>
                <w:color w:val="auto"/>
                <w:sz w:val="21"/>
                <w:szCs w:val="21"/>
                <w:highlight w:val="none"/>
              </w:rPr>
              <w:t>代理、透明和路由工作模式下均支持数据库内部命令及命令参数控制策略。</w:t>
            </w:r>
          </w:p>
          <w:p>
            <w:pPr>
              <w:rPr>
                <w:rFonts w:ascii="宋体" w:hAnsi="宋体"/>
                <w:color w:val="auto"/>
                <w:sz w:val="21"/>
                <w:szCs w:val="21"/>
                <w:highlight w:val="none"/>
              </w:rPr>
            </w:pPr>
            <w:r>
              <w:rPr>
                <w:rFonts w:hint="eastAsia" w:ascii="宋体" w:hAnsi="宋体"/>
                <w:color w:val="auto"/>
                <w:sz w:val="21"/>
                <w:szCs w:val="21"/>
                <w:highlight w:val="none"/>
              </w:rPr>
              <w:t>基于专用客户端与网闸安全连接方式，提供多种主流数据库系统如：ORACLE、SQLSERVER、MYSQL、SYBASE、DB2等之间的同步</w:t>
            </w:r>
          </w:p>
          <w:p>
            <w:pPr>
              <w:rPr>
                <w:rFonts w:ascii="宋体" w:hAnsi="宋体"/>
                <w:color w:val="auto"/>
                <w:sz w:val="21"/>
                <w:szCs w:val="21"/>
                <w:highlight w:val="none"/>
              </w:rPr>
            </w:pPr>
            <w:r>
              <w:rPr>
                <w:rFonts w:hint="eastAsia" w:ascii="宋体" w:hAnsi="宋体"/>
                <w:color w:val="auto"/>
                <w:sz w:val="21"/>
                <w:szCs w:val="21"/>
                <w:highlight w:val="none"/>
              </w:rPr>
              <w:t>支持达梦、人大金仓等国产数据。（提供功能截图证明）</w:t>
            </w:r>
          </w:p>
          <w:p>
            <w:pPr>
              <w:rPr>
                <w:rFonts w:ascii="宋体" w:hAnsi="宋体"/>
                <w:color w:val="auto"/>
                <w:sz w:val="21"/>
                <w:szCs w:val="21"/>
                <w:highlight w:val="none"/>
              </w:rPr>
            </w:pPr>
            <w:r>
              <w:rPr>
                <w:rFonts w:hint="eastAsia" w:ascii="宋体" w:hAnsi="宋体"/>
                <w:color w:val="auto"/>
                <w:sz w:val="21"/>
                <w:szCs w:val="21"/>
                <w:highlight w:val="none"/>
              </w:rPr>
              <w:t>支持二进制普通文件、图片、文本文件及BLOB大字段同步。（提供功能截图证明）</w:t>
            </w:r>
          </w:p>
          <w:p>
            <w:pPr>
              <w:rPr>
                <w:rFonts w:ascii="宋体" w:hAnsi="宋体"/>
                <w:color w:val="auto"/>
                <w:sz w:val="21"/>
                <w:szCs w:val="21"/>
                <w:highlight w:val="none"/>
              </w:rPr>
            </w:pPr>
            <w:r>
              <w:rPr>
                <w:rFonts w:hint="eastAsia" w:ascii="宋体" w:hAnsi="宋体"/>
                <w:color w:val="auto"/>
                <w:sz w:val="21"/>
                <w:szCs w:val="21"/>
                <w:highlight w:val="none"/>
              </w:rPr>
              <w:t>支持数据一对一、一对多、多对多的单向或双向交换和同步</w:t>
            </w:r>
          </w:p>
          <w:p>
            <w:pPr>
              <w:rPr>
                <w:rFonts w:ascii="宋体" w:hAnsi="宋体"/>
                <w:color w:val="auto"/>
                <w:sz w:val="21"/>
                <w:szCs w:val="21"/>
                <w:highlight w:val="none"/>
              </w:rPr>
            </w:pPr>
            <w:r>
              <w:rPr>
                <w:rFonts w:hint="eastAsia" w:ascii="宋体" w:hAnsi="宋体"/>
                <w:color w:val="auto"/>
                <w:sz w:val="21"/>
                <w:szCs w:val="21"/>
                <w:highlight w:val="none"/>
              </w:rPr>
              <w:t>支持数据库实时同步或定时同步的策略定义</w:t>
            </w:r>
          </w:p>
          <w:p>
            <w:pPr>
              <w:rPr>
                <w:rFonts w:ascii="宋体" w:hAnsi="宋体"/>
                <w:color w:val="auto"/>
                <w:sz w:val="21"/>
                <w:szCs w:val="21"/>
                <w:highlight w:val="none"/>
              </w:rPr>
            </w:pPr>
            <w:r>
              <w:rPr>
                <w:rFonts w:hint="eastAsia" w:ascii="宋体" w:hAnsi="宋体"/>
                <w:color w:val="auto"/>
                <w:sz w:val="21"/>
                <w:szCs w:val="21"/>
                <w:highlight w:val="none"/>
              </w:rPr>
              <w:t>数据库同步传输不使用通用数据库服务端口例如1433、1521、3306等，保障数据库同步传输的安全性</w:t>
            </w:r>
          </w:p>
          <w:p>
            <w:pPr>
              <w:rPr>
                <w:rFonts w:ascii="宋体" w:hAnsi="宋体"/>
                <w:color w:val="auto"/>
                <w:sz w:val="21"/>
                <w:szCs w:val="21"/>
                <w:highlight w:val="none"/>
              </w:rPr>
            </w:pPr>
            <w:r>
              <w:rPr>
                <w:rFonts w:hint="eastAsia" w:ascii="宋体" w:hAnsi="宋体"/>
                <w:color w:val="auto"/>
                <w:sz w:val="21"/>
                <w:szCs w:val="21"/>
                <w:highlight w:val="none"/>
              </w:rPr>
              <w:t>支持灵活的数据冲突检测机制，当同步的数据记录发成冲突时，可以灵活处理出现冲突的数据记录</w:t>
            </w:r>
          </w:p>
          <w:p>
            <w:pPr>
              <w:rPr>
                <w:rFonts w:ascii="宋体" w:hAnsi="宋体"/>
                <w:color w:val="auto"/>
                <w:sz w:val="21"/>
                <w:szCs w:val="21"/>
                <w:highlight w:val="none"/>
              </w:rPr>
            </w:pPr>
            <w:r>
              <w:rPr>
                <w:rFonts w:hint="eastAsia" w:ascii="宋体" w:hAnsi="宋体"/>
                <w:color w:val="auto"/>
                <w:sz w:val="21"/>
                <w:szCs w:val="21"/>
                <w:highlight w:val="none"/>
              </w:rPr>
              <w:t>数据库同步高可靠性，即使发生网络故障，已变化数据也不会丢失</w:t>
            </w:r>
          </w:p>
          <w:p>
            <w:pPr>
              <w:rPr>
                <w:rFonts w:ascii="宋体" w:hAnsi="宋体"/>
                <w:color w:val="auto"/>
                <w:sz w:val="21"/>
                <w:szCs w:val="21"/>
                <w:highlight w:val="none"/>
              </w:rPr>
            </w:pPr>
            <w:r>
              <w:rPr>
                <w:rFonts w:hint="eastAsia" w:ascii="宋体" w:hAnsi="宋体"/>
                <w:color w:val="auto"/>
                <w:sz w:val="21"/>
                <w:szCs w:val="21"/>
                <w:highlight w:val="none"/>
              </w:rPr>
              <w:t>管理采用C/S架构专有协议管理，网闸管理口无IP地址，管理主机也不必设置IP即可搜索到设备，管理设备，支持设备集中管理。（提供功能截图证明）</w:t>
            </w:r>
          </w:p>
          <w:p>
            <w:pPr>
              <w:rPr>
                <w:rFonts w:ascii="宋体" w:hAnsi="宋体"/>
                <w:color w:val="auto"/>
                <w:sz w:val="21"/>
                <w:szCs w:val="21"/>
                <w:highlight w:val="none"/>
              </w:rPr>
            </w:pPr>
            <w:r>
              <w:rPr>
                <w:rFonts w:hint="eastAsia" w:ascii="宋体" w:hAnsi="宋体"/>
                <w:color w:val="auto"/>
                <w:sz w:val="21"/>
                <w:szCs w:val="21"/>
                <w:highlight w:val="none"/>
              </w:rPr>
              <w:t>支持对所有访问进行日志记录，包括系统事件、成功事件、报警事件。提供对日志信息的浏览、查询、删除、下载等多种操作</w:t>
            </w:r>
          </w:p>
          <w:p>
            <w:pPr>
              <w:rPr>
                <w:rFonts w:ascii="宋体" w:hAnsi="宋体"/>
                <w:color w:val="auto"/>
                <w:sz w:val="21"/>
                <w:szCs w:val="21"/>
                <w:highlight w:val="none"/>
              </w:rPr>
            </w:pPr>
            <w:r>
              <w:rPr>
                <w:rFonts w:hint="eastAsia" w:ascii="宋体" w:hAnsi="宋体"/>
                <w:color w:val="auto"/>
                <w:sz w:val="21"/>
                <w:szCs w:val="21"/>
                <w:highlight w:val="none"/>
              </w:rPr>
              <w:t>具备信息安全认证中心中国国家信息安全产品认证证书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s="宋体"/>
                <w:color w:val="auto"/>
                <w:kern w:val="0"/>
                <w:sz w:val="20"/>
                <w:highlight w:val="none"/>
              </w:rPr>
              <w:t>能耗数据采集端设备服务器</w:t>
            </w:r>
          </w:p>
        </w:tc>
        <w:tc>
          <w:tcPr>
            <w:tcW w:w="79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CPU：至强16核</w:t>
            </w:r>
          </w:p>
          <w:p>
            <w:pPr>
              <w:rPr>
                <w:rFonts w:ascii="宋体" w:hAnsi="宋体"/>
                <w:color w:val="auto"/>
                <w:sz w:val="21"/>
                <w:szCs w:val="21"/>
                <w:highlight w:val="none"/>
              </w:rPr>
            </w:pPr>
            <w:r>
              <w:rPr>
                <w:rFonts w:hint="eastAsia" w:ascii="宋体" w:hAnsi="宋体"/>
                <w:color w:val="auto"/>
                <w:sz w:val="21"/>
                <w:szCs w:val="21"/>
                <w:highlight w:val="none"/>
              </w:rPr>
              <w:t xml:space="preserve">内存：DDR4 32GB </w:t>
            </w:r>
          </w:p>
          <w:p>
            <w:pPr>
              <w:rPr>
                <w:rFonts w:ascii="宋体" w:hAnsi="宋体"/>
                <w:color w:val="auto"/>
                <w:sz w:val="21"/>
                <w:szCs w:val="21"/>
                <w:highlight w:val="none"/>
              </w:rPr>
            </w:pPr>
            <w:r>
              <w:rPr>
                <w:rFonts w:hint="eastAsia" w:ascii="宋体" w:hAnsi="宋体"/>
                <w:color w:val="auto"/>
                <w:sz w:val="21"/>
                <w:szCs w:val="21"/>
                <w:highlight w:val="none"/>
              </w:rPr>
              <w:t>储存：2T SAS 10K rpm</w:t>
            </w:r>
          </w:p>
          <w:p>
            <w:pPr>
              <w:rPr>
                <w:rFonts w:ascii="宋体" w:hAnsi="宋体"/>
                <w:color w:val="auto"/>
                <w:sz w:val="21"/>
                <w:szCs w:val="21"/>
                <w:highlight w:val="none"/>
              </w:rPr>
            </w:pPr>
            <w:r>
              <w:rPr>
                <w:rFonts w:hint="eastAsia" w:ascii="宋体" w:hAnsi="宋体"/>
                <w:color w:val="auto"/>
                <w:sz w:val="21"/>
                <w:szCs w:val="21"/>
                <w:highlight w:val="none"/>
              </w:rPr>
              <w:t>网卡：2xGE电口(I350)-RJ45</w:t>
            </w:r>
          </w:p>
          <w:p>
            <w:pPr>
              <w:rPr>
                <w:rFonts w:ascii="宋体" w:hAnsi="宋体"/>
                <w:color w:val="auto"/>
                <w:sz w:val="21"/>
                <w:szCs w:val="21"/>
                <w:highlight w:val="none"/>
              </w:rPr>
            </w:pPr>
            <w:r>
              <w:rPr>
                <w:rFonts w:hint="eastAsia" w:ascii="宋体" w:hAnsi="宋体"/>
                <w:color w:val="auto"/>
                <w:sz w:val="21"/>
                <w:szCs w:val="21"/>
                <w:highlight w:val="none"/>
              </w:rPr>
              <w:t>RAID卡：SAS/SATA，支持RAID0,1</w:t>
            </w:r>
          </w:p>
          <w:p>
            <w:pPr>
              <w:rPr>
                <w:rFonts w:ascii="宋体" w:hAnsi="宋体"/>
                <w:color w:val="auto"/>
                <w:sz w:val="21"/>
                <w:szCs w:val="21"/>
                <w:highlight w:val="none"/>
              </w:rPr>
            </w:pPr>
            <w:r>
              <w:rPr>
                <w:rFonts w:hint="eastAsia" w:ascii="宋体" w:hAnsi="宋体"/>
                <w:color w:val="auto"/>
                <w:sz w:val="21"/>
                <w:szCs w:val="21"/>
                <w:highlight w:val="none"/>
              </w:rPr>
              <w:t>机箱：机架式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企业端服务器机柜</w:t>
            </w:r>
          </w:p>
        </w:tc>
        <w:tc>
          <w:tcPr>
            <w:tcW w:w="7905"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18U&amp;宽度*深度*高度为600*600*988 黑色</w:t>
            </w:r>
            <w:r>
              <w:rPr>
                <w:rFonts w:ascii="宋体" w:hAnsi="宋体"/>
                <w:color w:val="auto"/>
                <w:sz w:val="21"/>
                <w:szCs w:val="21"/>
                <w:highlight w:val="none"/>
              </w:rPr>
              <w:t>RAL9004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s="宋体"/>
                <w:color w:val="auto"/>
                <w:sz w:val="21"/>
                <w:szCs w:val="21"/>
                <w:highlight w:val="none"/>
                <w:lang w:bidi="ar"/>
              </w:rPr>
              <w:t xml:space="preserve">园区能耗数据安全网闸     </w:t>
            </w:r>
          </w:p>
        </w:tc>
        <w:tc>
          <w:tcPr>
            <w:tcW w:w="7905" w:type="dxa"/>
            <w:tcBorders>
              <w:top w:val="single" w:color="auto" w:sz="4" w:space="0"/>
              <w:left w:val="nil"/>
              <w:bottom w:val="single" w:color="auto" w:sz="4" w:space="0"/>
              <w:right w:val="single" w:color="auto" w:sz="4" w:space="0"/>
            </w:tcBorders>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内网：不低于4个10/100/1000M RJ45接口，1个串口，2个USB口</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外网：不低于4个10/100/1000M RJ45接口，1个串口，2个USB口</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网络吞吐量：不小于300Mbps</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系统整体时延：&lt;5毫秒</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所有协议通道并发连接数：45000</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支持WEB访问，支持HTTP协议应用的各种指令控制</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支持HTTPS网络传输，并且可在该加密通道中分解出正常HTTPS网络应用，保障传输。同时可以屏蔽自由门等各类加密翻墙软件的传输。（提供功能截图证明）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其他过滤策略：文件类型、页面提交方式等。支持情景模式，能够控制用户上网以及服务器对外提供服务的具体时间</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代理、透明和路由工作模式下均支持HTTP和HTTPS协议内部命令及命令参数控制策略。（提供功能截图证明）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支持FTP文件传输协议，支持主动被动两种模式。支持FTP命令参数控制支持对传输文件的类型过滤</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代理、透明和路由工作模式下均支持FTP协议内部命令及命令参数控制策略</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提供专用文件同步客户端提供安全的文件同步功能</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同步传输方向可控，双向或单向</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支持一对多或多对一文件同步</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支持文件变动实时同步、定时同步、系统资源空闲智能同步等多种同步方式</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支持同步删除和同步覆盖策略配置，并能将同步删除和同步覆盖的文件备份到指定文件夹</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支持文件同步容错策略和告警策略，同步出错能够自动重传并能够设置重传次数，出现异常同步状况能够终止同步弹出告警提示并记录日志。（提供功能截图证明）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提供对多种主流数据库,如：MYSQL、SQLSERVER、ORACLE、DB2、SYBASE等系统的安全访问</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代理、透明和路由工作模式下均支持数据库内部命令及命令参数控制策略。</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基于专用客户端与网闸安全连接方式，提供多种主流数据库系统如：ORACLE、SQLSERVER、MYSQL、SYBASE、DB2等之间的同步</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支持达梦、人大金仓等国产数据。（提供功能截图证明）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支持二进制普通文件、图片、文本文件及BLOB大字段同步。（提供功能截图证明）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支持数据一对一、一对多、多对多的单向或双向交换和同步</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支持数据库实时同步或定时同步的策略定义</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数据库同步传输不使用通用数据库服务端口例如1433、1521、3306等，保障数据库同步传输的安全性</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支持灵活的数据冲突检测机制，当同步的数据记录发成冲突时，可以灵活处理出现冲突的数据记录</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数据库同步高可靠性，即使发生网络故障，已变化数据也不会丢失</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管理采用C/S架构专有协议管理，网闸管理口无IP地址，管理主机也不必设置IP即可搜索到设备，管理设备，支持设备集中管理。（提供功能截图证明）</w:t>
            </w:r>
          </w:p>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支持对所有访问进行日志记录，包括系统事件、成功事件、报警事件。提供对日志信息的浏览、查询、删除、下载等多种操作</w:t>
            </w:r>
          </w:p>
          <w:p>
            <w:pPr>
              <w:rPr>
                <w:rFonts w:ascii="宋体" w:hAnsi="宋体"/>
                <w:color w:val="auto"/>
                <w:sz w:val="21"/>
                <w:szCs w:val="21"/>
                <w:highlight w:val="none"/>
              </w:rPr>
            </w:pPr>
            <w:r>
              <w:rPr>
                <w:rFonts w:hint="eastAsia" w:ascii="宋体" w:hAnsi="宋体" w:cs="宋体"/>
                <w:color w:val="auto"/>
                <w:sz w:val="21"/>
                <w:szCs w:val="21"/>
                <w:highlight w:val="none"/>
                <w:lang w:bidi="ar"/>
              </w:rPr>
              <w:t>具备信息安全认证中心中国国家信息安全产品认证证书</w:t>
            </w:r>
          </w:p>
        </w:tc>
      </w:tr>
    </w:tbl>
    <w:p>
      <w:pPr>
        <w:pStyle w:val="3"/>
        <w:rPr>
          <w:color w:val="auto"/>
          <w:highlight w:val="none"/>
        </w:rPr>
      </w:pPr>
      <w:r>
        <w:rPr>
          <w:rFonts w:hint="eastAsia"/>
          <w:color w:val="auto"/>
          <w:highlight w:val="none"/>
        </w:rPr>
        <w:t>园区能源管理平台</w:t>
      </w:r>
    </w:p>
    <w:p>
      <w:pPr>
        <w:pStyle w:val="4"/>
        <w:rPr>
          <w:color w:val="auto"/>
          <w:highlight w:val="none"/>
        </w:rPr>
      </w:pPr>
      <w:r>
        <w:rPr>
          <w:rFonts w:hint="eastAsia"/>
          <w:color w:val="auto"/>
          <w:highlight w:val="none"/>
        </w:rPr>
        <w:t>能耗数据采集子系统</w:t>
      </w:r>
    </w:p>
    <w:p>
      <w:pPr>
        <w:pStyle w:val="5"/>
        <w:rPr>
          <w:color w:val="auto"/>
          <w:highlight w:val="none"/>
        </w:rPr>
      </w:pPr>
      <w:r>
        <w:rPr>
          <w:rFonts w:hint="eastAsia"/>
          <w:color w:val="auto"/>
          <w:highlight w:val="none"/>
        </w:rPr>
        <w:t>企业能耗数据协议适配软件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对每家企业配置关口电表、水表、针对水、气、煤、电等不同的能耗计量仪表，有Modbus、DL/T645、CJ/T188协议需要对接。对于其他非SQL、OPC、Modbus、DL/T645、CJ/T188协议的，需要进行协议的适配转换。最终实现企业能耗数据可以上传到平台，并在平台中显示。</w:t>
      </w:r>
    </w:p>
    <w:p>
      <w:pPr>
        <w:pStyle w:val="5"/>
        <w:rPr>
          <w:color w:val="auto"/>
          <w:highlight w:val="none"/>
        </w:rPr>
      </w:pPr>
      <w:r>
        <w:rPr>
          <w:rFonts w:hint="eastAsia"/>
          <w:color w:val="auto"/>
          <w:highlight w:val="none"/>
        </w:rPr>
        <w:t>能耗数据传输接口软件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要求打通各个能耗采集设备的之间的通路，通过协议定制化开发，打通一级、二级、三级传输设备之间的信息通路，最终实现数据上传至平台的功能。</w:t>
      </w:r>
    </w:p>
    <w:p>
      <w:pPr>
        <w:pStyle w:val="4"/>
        <w:rPr>
          <w:color w:val="auto"/>
          <w:highlight w:val="none"/>
        </w:rPr>
      </w:pPr>
      <w:r>
        <w:rPr>
          <w:rFonts w:hint="eastAsia"/>
          <w:color w:val="auto"/>
          <w:highlight w:val="none"/>
        </w:rPr>
        <w:t>能耗大数据处理平台</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50"/>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4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数据库系统</w:t>
            </w:r>
          </w:p>
        </w:tc>
        <w:tc>
          <w:tcPr>
            <w:tcW w:w="7141" w:type="dxa"/>
            <w:tcBorders>
              <w:top w:val="single" w:color="auto" w:sz="4" w:space="0"/>
              <w:left w:val="nil"/>
              <w:bottom w:val="single" w:color="auto" w:sz="4" w:space="0"/>
              <w:right w:val="single" w:color="auto" w:sz="4" w:space="0"/>
            </w:tcBorders>
            <w:vAlign w:val="center"/>
          </w:tcPr>
          <w:p>
            <w:pPr>
              <w:spacing w:line="360" w:lineRule="auto"/>
              <w:rPr>
                <w:rFonts w:ascii="宋体" w:hAnsi="宋体"/>
                <w:color w:val="auto"/>
                <w:sz w:val="21"/>
                <w:szCs w:val="21"/>
                <w:highlight w:val="none"/>
              </w:rPr>
            </w:pPr>
            <w:r>
              <w:rPr>
                <w:rFonts w:hint="eastAsia" w:ascii="宋体" w:hAnsi="宋体"/>
                <w:color w:val="auto"/>
                <w:sz w:val="24"/>
                <w:szCs w:val="24"/>
                <w:highlight w:val="none"/>
              </w:rPr>
              <w:t>能耗在线监测所有实时、历史数据获取、存储、转发的共享平台软件。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数据接入引擎系统</w:t>
            </w:r>
          </w:p>
        </w:tc>
        <w:tc>
          <w:tcPr>
            <w:tcW w:w="714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运行在接入引擎服务器上，处理园区侧与企业侧数据对接提取服务。根据园区企业特性，订制化能耗采集要素。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分布式大数据存储备份系统</w:t>
            </w:r>
          </w:p>
        </w:tc>
        <w:tc>
          <w:tcPr>
            <w:tcW w:w="714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提供服务器迁移、连续数据备份，热备份，实时备份到本地的灾备等服务。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实时在线分析系统</w:t>
            </w:r>
          </w:p>
        </w:tc>
        <w:tc>
          <w:tcPr>
            <w:tcW w:w="714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园区能耗数据通过大数据挖掘算法及各针对性数学模型分析，获取企业及园区各类能耗实际耗能现状、耗能趋势、企业设备运行情况，产生各种分析结果、报表、决策依据等。</w:t>
            </w:r>
          </w:p>
        </w:tc>
      </w:tr>
    </w:tbl>
    <w:p>
      <w:pPr>
        <w:rPr>
          <w:color w:val="auto"/>
          <w:highlight w:val="none"/>
        </w:rPr>
      </w:pPr>
    </w:p>
    <w:p>
      <w:pPr>
        <w:pStyle w:val="4"/>
        <w:rPr>
          <w:color w:val="auto"/>
          <w:highlight w:val="none"/>
        </w:rPr>
      </w:pPr>
      <w:r>
        <w:rPr>
          <w:rFonts w:hint="eastAsia"/>
          <w:color w:val="auto"/>
          <w:highlight w:val="none"/>
        </w:rPr>
        <w:t>园区能耗综合展示门户</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能源监管平台应包含园区能耗综合展示门户软件。园区能耗综合展示门户应整合各入驻企业监测数据，展示园区整体用能情况。系统对园区节能减排指标完成情况进行数据分析和趋势预测。</w:t>
      </w:r>
    </w:p>
    <w:p>
      <w:pPr>
        <w:pStyle w:val="4"/>
        <w:rPr>
          <w:color w:val="auto"/>
          <w:highlight w:val="none"/>
        </w:rPr>
      </w:pPr>
      <w:r>
        <w:rPr>
          <w:rFonts w:hint="eastAsia"/>
          <w:color w:val="auto"/>
          <w:highlight w:val="none"/>
        </w:rPr>
        <w:t>园区企业能耗管理系统软件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园区企业能耗管理系统应全面接入园区企业能源数据，平台应包含如下几个基本功能。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87"/>
        <w:gridCol w:w="1702"/>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48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一级功能</w:t>
            </w:r>
          </w:p>
        </w:tc>
        <w:tc>
          <w:tcPr>
            <w:tcW w:w="1702"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二级功能</w:t>
            </w:r>
          </w:p>
        </w:tc>
        <w:tc>
          <w:tcPr>
            <w:tcW w:w="562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园区能耗管理系统</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企业端设备对接</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选取的试点企业，利用前端智能化改造，获取用电、用水、用气数据，并将数据传入物联数据接入系统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统一的用户权限管理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统一的用户权限管理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组织机构及用户管理、应用系统及功能管理、角色管理、角色/用户权限分配、用户登录日志管理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设备管理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设备管理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企业端采集设备配置、设备运行状态管理、设备故障管理、远程维护管理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能耗监测</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能耗监测</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监测内容包括综合能耗、产值能耗、企业能耗分布和行业能耗分布与同环比变化情况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能耗对标管理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能耗对标</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综合分析园区能耗结构、总量与经济体量，评价园区的用能效率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用能预警</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用能预警</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用能预警模块对园区企业的用能异常情况进行实时报警，采用多级报警体系，按异常情况的重要程度以邮件或者短信形式推送给相应的负责人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能耗问题管理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能耗问题管理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提供能耗问题台账管理，记录所有能耗异常的预警报警问题，并可实时跟踪问题处理情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能耗报表系统</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能耗报表系统</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基于平台提供的数据统计和分析能力，提供多样化的图形报表功能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48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企业上报</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产值上报</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能耗分析管理系统，提供企业自主上报产值的功能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48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生产计划上报</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为了能够较为预测消耗情况、提供实时预警，需要结合企业上报的生产计划，制定企业能耗计划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487"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智能抄表</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抄表设置</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远程设置抄表频率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487"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数据采集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按设置的频率自动进行数据采集，并计算使用量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能耗计划管理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能耗计划管理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提供制定能耗计划的管理与维护功能，可根据企业状态结合企业以往数据，制定将要发生的能耗计划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w:t>
            </w:r>
          </w:p>
        </w:tc>
        <w:tc>
          <w:tcPr>
            <w:tcW w:w="148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能耗指标管理</w:t>
            </w:r>
          </w:p>
        </w:tc>
        <w:tc>
          <w:tcPr>
            <w:tcW w:w="1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能耗指标管理</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着重对企业工序能耗的管理，建立起一套合理的能源绩效评价体系，使能源管理工作有的放矢</w:t>
            </w:r>
          </w:p>
        </w:tc>
      </w:tr>
    </w:tbl>
    <w:p>
      <w:pPr>
        <w:pStyle w:val="5"/>
        <w:rPr>
          <w:color w:val="auto"/>
          <w:highlight w:val="none"/>
        </w:rPr>
      </w:pPr>
      <w:r>
        <w:rPr>
          <w:rFonts w:hint="eastAsia"/>
          <w:color w:val="auto"/>
          <w:highlight w:val="none"/>
        </w:rPr>
        <w:t>企业能耗管理软件</w:t>
      </w:r>
    </w:p>
    <w:tbl>
      <w:tblPr>
        <w:tblStyle w:val="22"/>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805"/>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80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c>
          <w:tcPr>
            <w:tcW w:w="6832"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实时数据查看</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各家企业可以查看本企业当前的能耗实时数据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历史数据查询</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各家企业可以查看本企业历史的能耗数据。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企业上报</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提供企业自主上报产值功能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生产计划上报</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提供生产计划上报功能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能耗指标上报</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体用企业本年度，本季度的能耗指标上报功能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80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数据导出</w:t>
            </w:r>
          </w:p>
        </w:tc>
        <w:tc>
          <w:tcPr>
            <w:tcW w:w="683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提供本企业的能耗数据以报表形式导出功能</w:t>
            </w:r>
          </w:p>
        </w:tc>
      </w:tr>
    </w:tbl>
    <w:p>
      <w:pPr>
        <w:pStyle w:val="5"/>
        <w:rPr>
          <w:color w:val="auto"/>
          <w:highlight w:val="none"/>
        </w:rPr>
      </w:pPr>
      <w:r>
        <w:rPr>
          <w:rFonts w:hint="eastAsia"/>
          <w:color w:val="auto"/>
          <w:highlight w:val="none"/>
        </w:rPr>
        <w:t>园区能效在线对标系统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通过大数据分析，根据相关行业能效规定、指标标准和企业能源管理目标要求，建立企业能源管理中心能效指标体系，如单位产品能耗、万元产值能耗、清洁能源使用率等，展示企业能效指标的变化趋势、排序情况和对标结果，实现企业能效在线对标评估。</w:t>
      </w:r>
    </w:p>
    <w:p>
      <w:pPr>
        <w:pStyle w:val="5"/>
        <w:rPr>
          <w:color w:val="auto"/>
          <w:highlight w:val="none"/>
        </w:rPr>
      </w:pPr>
      <w:r>
        <w:rPr>
          <w:rFonts w:hint="eastAsia"/>
          <w:color w:val="auto"/>
          <w:highlight w:val="none"/>
        </w:rPr>
        <w:t>准格尔旗能源平台对接软件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因本项目需要和准格尔旗能源平台对接，需要开发相应的接口软件，要求实现数据传输，下载，上报以及查看等功能。</w:t>
      </w:r>
    </w:p>
    <w:p>
      <w:pPr>
        <w:pStyle w:val="2"/>
        <w:rPr>
          <w:color w:val="auto"/>
          <w:szCs w:val="32"/>
          <w:highlight w:val="none"/>
        </w:rPr>
      </w:pPr>
      <w:r>
        <w:rPr>
          <w:rFonts w:hint="eastAsia"/>
          <w:color w:val="auto"/>
          <w:highlight w:val="none"/>
        </w:rPr>
        <w:t>车辆监管</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运用北斗全球卫星定位、GIS地理信息和GPRS无线网络通信等技术，建立大路工业园车辆监控平台，实现危险化学品车辆、企业车辆、园区公务车辆的实时监控预警，出现事故时的实时响应，联动处理和应急救援辅助决策支持，为园区监管部门提供整体的应用解决方案。</w:t>
      </w:r>
    </w:p>
    <w:p>
      <w:pPr>
        <w:pStyle w:val="3"/>
        <w:rPr>
          <w:color w:val="auto"/>
          <w:highlight w:val="none"/>
        </w:rPr>
      </w:pPr>
      <w:r>
        <w:rPr>
          <w:rFonts w:hint="eastAsia"/>
          <w:color w:val="auto"/>
          <w:highlight w:val="none"/>
        </w:rPr>
        <w:t>移动车载终端</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园区道路车辆的管理，基于北斗全球卫星定位技术和GPRS通信网络，安装或放置在车辆上的移动车载终端将连续发送车辆实时运行数据。</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根据管理及安装方式不同，使用两种移动车载终端。</w:t>
      </w:r>
    </w:p>
    <w:p>
      <w:pPr>
        <w:ind w:firstLine="480"/>
        <w:rPr>
          <w:rFonts w:ascii="宋体" w:hAnsi="宋体"/>
          <w:color w:val="auto"/>
          <w:highlight w:val="none"/>
        </w:rPr>
      </w:pPr>
      <w:r>
        <w:rPr>
          <w:rFonts w:hint="eastAsia" w:ascii="宋体" w:hAnsi="宋体"/>
          <w:color w:val="auto"/>
          <w:highlight w:val="none"/>
        </w:rPr>
        <w:t xml:space="preserve">A: </w:t>
      </w:r>
      <w:r>
        <w:rPr>
          <w:rFonts w:hint="eastAsia" w:ascii="宋体" w:hAnsi="宋体"/>
          <w:b/>
          <w:bCs/>
          <w:color w:val="auto"/>
          <w:highlight w:val="none"/>
        </w:rPr>
        <w:t xml:space="preserve"> 内部车辆车载终端（安装型）</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安装在车辆驾驶室内，使用车辆电瓶供电，适合园区企业自有常备用车；</w:t>
      </w:r>
    </w:p>
    <w:p>
      <w:pPr>
        <w:ind w:left="482"/>
        <w:rPr>
          <w:rFonts w:ascii="宋体" w:hAnsi="宋体"/>
          <w:b/>
          <w:bCs/>
          <w:color w:val="auto"/>
          <w:highlight w:val="none"/>
        </w:rPr>
      </w:pPr>
      <w:r>
        <w:rPr>
          <w:rFonts w:hint="eastAsia" w:ascii="宋体" w:hAnsi="宋体"/>
          <w:b/>
          <w:bCs/>
          <w:color w:val="auto"/>
          <w:highlight w:val="none"/>
        </w:rPr>
        <w:t>1、产品参数要求：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220"/>
        <w:gridCol w:w="3982"/>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22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项目</w:t>
            </w:r>
          </w:p>
        </w:tc>
        <w:tc>
          <w:tcPr>
            <w:tcW w:w="3982"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规格参数</w:t>
            </w:r>
          </w:p>
        </w:tc>
        <w:tc>
          <w:tcPr>
            <w:tcW w:w="240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工作电压</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DC9-36V</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工作电流</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25mA@12V(静止电流10mA)</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未充电时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规格尺寸</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L81*W42*H13.5 (mm)</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定位方式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北斗定位</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定位误差</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小于10m （此数据受区域地形及时间等因素影响）</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通信网络</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GPRS</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通信方式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TCP</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工作范围</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-25℃/ +75℃</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贮存温度</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-40℃/ +85℃</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019"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后备电池工作时间</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3小时</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3.7V/180mAh锂电池</w:t>
            </w:r>
          </w:p>
        </w:tc>
      </w:tr>
    </w:tbl>
    <w:p>
      <w:pPr>
        <w:ind w:left="482"/>
        <w:rPr>
          <w:rFonts w:ascii="宋体" w:hAnsi="宋体"/>
          <w:b/>
          <w:bCs/>
          <w:color w:val="auto"/>
          <w:szCs w:val="28"/>
          <w:highlight w:val="none"/>
        </w:rPr>
      </w:pPr>
      <w:r>
        <w:rPr>
          <w:rFonts w:hint="eastAsia" w:ascii="宋体" w:hAnsi="宋体"/>
          <w:b/>
          <w:bCs/>
          <w:color w:val="auto"/>
          <w:highlight w:val="none"/>
        </w:rPr>
        <w:t>2、产品整机功能要求: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226"/>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功能块</w:t>
            </w:r>
          </w:p>
        </w:tc>
        <w:tc>
          <w:tcPr>
            <w:tcW w:w="2226"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功能明细</w:t>
            </w:r>
          </w:p>
        </w:tc>
        <w:tc>
          <w:tcPr>
            <w:tcW w:w="5638"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跟踪定位</w:t>
            </w: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定时跟踪</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按照设置的时间间隔，且与上一条定位信息包偏离大于50米时回传经纬度定位信息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车辆状态检测</w:t>
            </w: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点火/熄火状态</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上传的数据包中包含ACC On/Off （点火/熄火）状态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车辆掉电提醒</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主机监测到车辆电压低于一定数时，上报掉电提醒。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超速报警</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平台设置最大限速值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违停报警</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长时间位于道路上禁止停车区域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其他功能</w:t>
            </w: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盲区补传功能</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定位终端掉线无法上传时，储存数据最多600条，有信号时则正常上线补传数据。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EPO辅助定位功能</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终端支持EPO辅助定位功能，增强定位效果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拐点补传</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当设备方向角大于一定的预设角度时，立即上传一条位置数据，优化轨迹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22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远程升级</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支持远程固件升级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低功耗</w:t>
            </w:r>
          </w:p>
        </w:tc>
        <w:tc>
          <w:tcPr>
            <w:tcW w:w="2226"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p>
          <w:p>
            <w:pPr>
              <w:rPr>
                <w:rFonts w:ascii="宋体" w:hAnsi="宋体"/>
                <w:color w:val="auto"/>
                <w:sz w:val="21"/>
                <w:szCs w:val="21"/>
                <w:highlight w:val="none"/>
              </w:rPr>
            </w:pPr>
            <w:r>
              <w:rPr>
                <w:rFonts w:hint="eastAsia" w:ascii="宋体" w:hAnsi="宋体"/>
                <w:color w:val="auto"/>
                <w:sz w:val="21"/>
                <w:szCs w:val="21"/>
                <w:highlight w:val="none"/>
              </w:rPr>
              <w:t>静止模式</w:t>
            </w:r>
          </w:p>
        </w:tc>
        <w:tc>
          <w:tcPr>
            <w:tcW w:w="563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3D三轴加速度传感器实时感知车辆震动状态，上电为运动模式，主机静止5分钟后为静止模式，有震动则立即进入运动模式</w:t>
            </w:r>
          </w:p>
        </w:tc>
      </w:tr>
    </w:tbl>
    <w:p>
      <w:pPr>
        <w:ind w:firstLine="480"/>
        <w:rPr>
          <w:rFonts w:ascii="宋体" w:hAnsi="宋体"/>
          <w:color w:val="auto"/>
          <w:szCs w:val="28"/>
          <w:highlight w:val="none"/>
        </w:rPr>
      </w:pPr>
      <w:r>
        <w:rPr>
          <w:rFonts w:hint="eastAsia" w:ascii="宋体" w:hAnsi="宋体"/>
          <w:color w:val="auto"/>
          <w:highlight w:val="none"/>
        </w:rPr>
        <w:t xml:space="preserve">B: </w:t>
      </w:r>
      <w:r>
        <w:rPr>
          <w:rFonts w:hint="eastAsia" w:ascii="宋体" w:hAnsi="宋体"/>
          <w:b/>
          <w:bCs/>
          <w:color w:val="auto"/>
          <w:highlight w:val="none"/>
        </w:rPr>
        <w:t>超长待机定位终端</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针对临时进入园区范围的车辆，可发放超长待机定位终端，对车辆状态进行监管。</w:t>
      </w:r>
    </w:p>
    <w:p>
      <w:pPr>
        <w:ind w:left="482"/>
        <w:rPr>
          <w:rFonts w:ascii="宋体" w:hAnsi="宋体"/>
          <w:color w:val="auto"/>
          <w:highlight w:val="none"/>
        </w:rPr>
      </w:pPr>
      <w:r>
        <w:rPr>
          <w:rFonts w:hint="eastAsia" w:ascii="宋体" w:hAnsi="宋体"/>
          <w:b/>
          <w:bCs/>
          <w:color w:val="auto"/>
          <w:highlight w:val="none"/>
        </w:rPr>
        <w:t>3、产品参数要求</w:t>
      </w:r>
      <w:r>
        <w:rPr>
          <w:rFonts w:hint="eastAsia" w:ascii="宋体" w:hAnsi="宋体"/>
          <w:color w:val="auto"/>
          <w:highlight w:val="none"/>
        </w:rPr>
        <w:t>：</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220"/>
        <w:gridCol w:w="3982"/>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22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项目</w:t>
            </w:r>
          </w:p>
        </w:tc>
        <w:tc>
          <w:tcPr>
            <w:tcW w:w="3982"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规格参数</w:t>
            </w:r>
          </w:p>
        </w:tc>
        <w:tc>
          <w:tcPr>
            <w:tcW w:w="240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工作电压</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DC 5V</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工作电流</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运动模式46mA@4V</w:t>
            </w:r>
          </w:p>
          <w:p>
            <w:pPr>
              <w:rPr>
                <w:rFonts w:ascii="宋体" w:hAnsi="宋体"/>
                <w:color w:val="auto"/>
                <w:sz w:val="21"/>
                <w:szCs w:val="21"/>
                <w:highlight w:val="none"/>
              </w:rPr>
            </w:pPr>
            <w:r>
              <w:rPr>
                <w:rFonts w:hint="eastAsia" w:ascii="宋体" w:hAnsi="宋体"/>
                <w:color w:val="auto"/>
                <w:sz w:val="21"/>
                <w:szCs w:val="21"/>
                <w:highlight w:val="none"/>
              </w:rPr>
              <w:t>静止电流 6.5mA@4V</w:t>
            </w:r>
          </w:p>
          <w:p>
            <w:pPr>
              <w:rPr>
                <w:rFonts w:ascii="宋体" w:hAnsi="宋体"/>
                <w:color w:val="auto"/>
                <w:sz w:val="21"/>
                <w:szCs w:val="21"/>
                <w:highlight w:val="none"/>
              </w:rPr>
            </w:pPr>
            <w:r>
              <w:rPr>
                <w:rFonts w:hint="eastAsia" w:ascii="宋体" w:hAnsi="宋体"/>
                <w:color w:val="auto"/>
                <w:sz w:val="21"/>
                <w:szCs w:val="21"/>
                <w:highlight w:val="none"/>
              </w:rPr>
              <w:t>省电模式 75uA@4V</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规格尺寸</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L86*W62*H30(mm)</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产品重量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255g</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定位方式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北斗定位</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定位误差</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小于10m （此数据受区域地形及时间等因素影响）</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通信网络</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GPRS</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通信方式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TCP</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工作范围</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-25℃/ +75℃</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贮存温度</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-40℃/ +85℃</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22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充电电池容量</w:t>
            </w:r>
          </w:p>
        </w:tc>
        <w:tc>
          <w:tcPr>
            <w:tcW w:w="398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10000mAh</w:t>
            </w:r>
          </w:p>
        </w:tc>
        <w:tc>
          <w:tcPr>
            <w:tcW w:w="2407"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p>
        </w:tc>
      </w:tr>
    </w:tbl>
    <w:p>
      <w:pPr>
        <w:ind w:left="482"/>
        <w:rPr>
          <w:rFonts w:ascii="宋体" w:hAnsi="宋体"/>
          <w:b/>
          <w:bCs/>
          <w:color w:val="auto"/>
          <w:szCs w:val="28"/>
          <w:highlight w:val="none"/>
        </w:rPr>
      </w:pPr>
      <w:r>
        <w:rPr>
          <w:rFonts w:hint="eastAsia" w:ascii="宋体" w:hAnsi="宋体"/>
          <w:b/>
          <w:bCs/>
          <w:color w:val="auto"/>
          <w:highlight w:val="none"/>
        </w:rPr>
        <w:t>4、产品整机功能要求: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195"/>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功能块</w:t>
            </w:r>
          </w:p>
        </w:tc>
        <w:tc>
          <w:tcPr>
            <w:tcW w:w="219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功能明细</w:t>
            </w:r>
          </w:p>
        </w:tc>
        <w:tc>
          <w:tcPr>
            <w:tcW w:w="5621"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跟踪定位</w:t>
            </w: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定时跟踪</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按照设置的时间间隔，且与上一条定位信息包偏离大于50米时回传经纬度定位信息。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restart"/>
            <w:tcBorders>
              <w:top w:val="nil"/>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车辆状态检测</w:t>
            </w: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光感报警</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终端的光感由不见光到见光时，终端上报光感报警。省电定时模式休眠后光感唤醒终端会上报光感报警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超速报警</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平台设置最大限速值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违停报警</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长时间位于道路上禁止停车区域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restart"/>
            <w:tcBorders>
              <w:top w:val="nil"/>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其他功能</w:t>
            </w: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盲区补传功能</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定位终端掉线无法上传时，储存数据最多600条，有信号时则正常上线补传数据。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EPO辅助定位功能</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终端支持EPO辅助定位功能，增强定位效果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拐点补传</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当设备方向角大于一定的预设角度时，立即上传一条位置数据，优化轨迹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远程升级</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支持远程固件升级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8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低功耗</w:t>
            </w:r>
          </w:p>
        </w:tc>
        <w:tc>
          <w:tcPr>
            <w:tcW w:w="21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定时唤醒</w:t>
            </w:r>
          </w:p>
        </w:tc>
        <w:tc>
          <w:tcPr>
            <w:tcW w:w="562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终端设置定时唤醒开启和回传时间间隔，终端进入休眠后开始计时，按设置的回传时间唤醒</w:t>
            </w:r>
          </w:p>
        </w:tc>
      </w:tr>
    </w:tbl>
    <w:p>
      <w:pPr>
        <w:pStyle w:val="3"/>
        <w:rPr>
          <w:color w:val="auto"/>
          <w:highlight w:val="none"/>
        </w:rPr>
      </w:pPr>
      <w:r>
        <w:rPr>
          <w:rFonts w:hint="eastAsia"/>
          <w:color w:val="auto"/>
          <w:highlight w:val="none"/>
        </w:rPr>
        <w:t>园区车辆管理平台</w:t>
      </w:r>
    </w:p>
    <w:p>
      <w:pPr>
        <w:pStyle w:val="4"/>
        <w:rPr>
          <w:color w:val="auto"/>
          <w:highlight w:val="none"/>
        </w:rPr>
      </w:pPr>
      <w:r>
        <w:rPr>
          <w:rFonts w:hint="eastAsia"/>
          <w:color w:val="auto"/>
          <w:highlight w:val="none"/>
        </w:rPr>
        <w:t>系统支撑软件平台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要求能够实现车辆出入园区、行驶、停靠等数据的处理。能够获取车载设备信息，能够对接企业相关数据。还应包括后端数据处理引擎、告警判断算法，前后端R</w:t>
      </w:r>
      <w:r>
        <w:rPr>
          <w:rFonts w:ascii="宋体" w:hAnsi="宋体"/>
          <w:color w:val="auto"/>
          <w:sz w:val="24"/>
          <w:szCs w:val="24"/>
          <w:highlight w:val="none"/>
        </w:rPr>
        <w:t>ESTFUL</w:t>
      </w:r>
      <w:r>
        <w:rPr>
          <w:rFonts w:hint="eastAsia" w:ascii="宋体" w:hAnsi="宋体"/>
          <w:color w:val="auto"/>
          <w:sz w:val="24"/>
          <w:szCs w:val="24"/>
          <w:highlight w:val="none"/>
        </w:rPr>
        <w:t>接口实现，前端显示框架等内容。要求实现聚合分散、异构的应用和信息资源进行，通过统一的访问入口，实现结构化数据资源、非结构化文档和互联网资源、各种应用系统跨数据库、跨系统平台的无缝接入和集成，提供一个支持信息访问、传递、以及协作的集成化环境，实现个性化业务应用的高效开发、集成、部署与管理。</w:t>
      </w:r>
    </w:p>
    <w:p>
      <w:pPr>
        <w:pStyle w:val="4"/>
        <w:rPr>
          <w:color w:val="auto"/>
          <w:highlight w:val="none"/>
        </w:rPr>
      </w:pPr>
      <w:r>
        <w:rPr>
          <w:rFonts w:hint="eastAsia"/>
          <w:color w:val="auto"/>
          <w:highlight w:val="none"/>
        </w:rPr>
        <w:t>数据接入引擎软件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要求能够实现J</w:t>
      </w:r>
      <w:r>
        <w:rPr>
          <w:rFonts w:ascii="宋体" w:hAnsi="宋体"/>
          <w:color w:val="auto"/>
          <w:sz w:val="24"/>
          <w:szCs w:val="24"/>
          <w:highlight w:val="none"/>
        </w:rPr>
        <w:t>T808</w:t>
      </w:r>
      <w:r>
        <w:rPr>
          <w:rFonts w:hint="eastAsia" w:ascii="宋体" w:hAnsi="宋体"/>
          <w:color w:val="auto"/>
          <w:sz w:val="24"/>
          <w:szCs w:val="24"/>
          <w:highlight w:val="none"/>
        </w:rPr>
        <w:t>协议服务端，要求能够对接各种支持该协议的车载设备入库、检测。支持车辆数据上报以及行驶状态告警。</w:t>
      </w:r>
    </w:p>
    <w:p>
      <w:pPr>
        <w:pStyle w:val="4"/>
        <w:rPr>
          <w:color w:val="auto"/>
          <w:highlight w:val="none"/>
        </w:rPr>
      </w:pPr>
      <w:r>
        <w:rPr>
          <w:rFonts w:hint="eastAsia"/>
          <w:color w:val="auto"/>
          <w:highlight w:val="none"/>
        </w:rPr>
        <w:t>实时历史数据库系统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要求支持主流数据库。能够存入各种车辆、车载设备、企业信息等。支持数据接入引擎以及系统支撑平台。要求能够对已注册车辆运行状态的实时数据及历史数据（位置、速度、告警），车辆告警信息统计、存储及分类管理。完成有效的数据存取，各种数据操作、查询处理、存取方法、完整性检查，保证相关的事务管理，事务的概念、调度与并发控制、执行管理及存取控制，安全性检验。</w:t>
      </w:r>
    </w:p>
    <w:p>
      <w:pPr>
        <w:pStyle w:val="4"/>
        <w:rPr>
          <w:color w:val="auto"/>
          <w:highlight w:val="none"/>
        </w:rPr>
      </w:pPr>
      <w:r>
        <w:rPr>
          <w:rFonts w:hint="eastAsia"/>
          <w:color w:val="auto"/>
          <w:highlight w:val="none"/>
        </w:rPr>
        <w:t>W</w:t>
      </w:r>
      <w:r>
        <w:rPr>
          <w:color w:val="auto"/>
          <w:highlight w:val="none"/>
        </w:rPr>
        <w:t>EB</w:t>
      </w:r>
      <w:r>
        <w:rPr>
          <w:rFonts w:hint="eastAsia"/>
          <w:color w:val="auto"/>
          <w:highlight w:val="none"/>
        </w:rPr>
        <w:t>前端展示系统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系统应支持在W</w:t>
      </w:r>
      <w:r>
        <w:rPr>
          <w:rFonts w:ascii="宋体" w:hAnsi="宋体"/>
          <w:color w:val="auto"/>
          <w:sz w:val="24"/>
          <w:szCs w:val="24"/>
          <w:highlight w:val="none"/>
        </w:rPr>
        <w:t>EB</w:t>
      </w:r>
      <w:r>
        <w:rPr>
          <w:rFonts w:hint="eastAsia" w:ascii="宋体" w:hAnsi="宋体"/>
          <w:color w:val="auto"/>
          <w:sz w:val="24"/>
          <w:szCs w:val="24"/>
          <w:highlight w:val="none"/>
        </w:rPr>
        <w:t>页面上展示完整的应用系统，并且可以实现以下描述的各项功能。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50"/>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4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首页</w:t>
            </w:r>
          </w:p>
        </w:tc>
        <w:tc>
          <w:tcPr>
            <w:tcW w:w="7140"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要求包含首页、数据看板等各项功能。首页中需要包含车辆的位置信息，轨迹信息。以及主要的车辆相关数据，需要包含单不仅限于车辆的驾驶员信息、告警信息、当日车辆入园总数、出院总数等相关信息。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信息管理</w:t>
            </w:r>
          </w:p>
        </w:tc>
        <w:tc>
          <w:tcPr>
            <w:tcW w:w="7140"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要求包含车辆信息、企业信息、人员信息、停车场信息、位置信息以及终端管理等功能。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数据查询</w:t>
            </w:r>
          </w:p>
        </w:tc>
        <w:tc>
          <w:tcPr>
            <w:tcW w:w="7140"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要求包含但不仅限于车辆查询、告警查询、轨迹查询、出入园区记录等功能。具体功能要求见招标文件对应模块详细描述。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统计分析</w:t>
            </w:r>
          </w:p>
        </w:tc>
        <w:tc>
          <w:tcPr>
            <w:tcW w:w="7140"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要求包含出入园区统计、告警统计等相关功能。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系统管理</w:t>
            </w:r>
          </w:p>
        </w:tc>
        <w:tc>
          <w:tcPr>
            <w:tcW w:w="7140" w:type="dxa"/>
            <w:tcBorders>
              <w:top w:val="single" w:color="auto" w:sz="4" w:space="0"/>
              <w:left w:val="nil"/>
              <w:bottom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要求包含用户管理等相关功能</w:t>
            </w:r>
          </w:p>
        </w:tc>
      </w:tr>
    </w:tbl>
    <w:p>
      <w:pPr>
        <w:pStyle w:val="4"/>
        <w:rPr>
          <w:color w:val="auto"/>
          <w:highlight w:val="none"/>
        </w:rPr>
      </w:pPr>
      <w:r>
        <w:rPr>
          <w:rFonts w:hint="eastAsia"/>
          <w:color w:val="auto"/>
          <w:highlight w:val="none"/>
        </w:rPr>
        <w:t>园区车辆GIS地图管理系统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系统应支持在GIS地图上显示园区内所有车辆的实时位置信息、行驶状态和车辆信息查询。同时支持对GIS地图进行缩放、拖动、标注和周界管理等操作。</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系统应支持功能如下表所示：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50"/>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4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搜索定位</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系统应支持用户通过环境要素的名称关键字在地图上快速找到需要的信息，并显示其名称、地址/位置、类型等属性信息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园区周界标注</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系统支持设定园区管理范围周界、主要进出路径检查点、指定停车场等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车辆查询</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系统应支持用户在地图上实时显示园区内各车辆位置及运行状态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地图标注</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系统应支持用户在地图上临时添加标注信息，并对添加的标注信息进行编辑和删除；支持文字、点位、线路、区域标注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地图截图</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系统应支持用户对地图上指定区域的显示内容进行记录、保存，以备存档查询，指定区域支持矩形方式截图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视图调整控制</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系统应支持对地图进行上下左右移动、快速返回全图、分级放大缩小、拖动地图等功能以帮助用户对当前可视地图区域进行调整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地理坐标</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系统应支持用户了解地图上指定位置（鼠标）的经纬度坐标值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75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地图比例显示</w:t>
            </w:r>
          </w:p>
        </w:tc>
        <w:tc>
          <w:tcPr>
            <w:tcW w:w="71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系统应支持用户了解当前可视地图与实际地形的大小对比情况</w:t>
            </w:r>
          </w:p>
        </w:tc>
      </w:tr>
    </w:tbl>
    <w:p>
      <w:pPr>
        <w:pStyle w:val="4"/>
        <w:rPr>
          <w:color w:val="auto"/>
          <w:highlight w:val="none"/>
        </w:rPr>
      </w:pPr>
      <w:r>
        <w:rPr>
          <w:rFonts w:hint="eastAsia"/>
          <w:color w:val="auto"/>
          <w:highlight w:val="none"/>
        </w:rPr>
        <w:t>车辆管理分析系统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系统应对进入园区车辆进行登记管理、违章车辆查询、驾驶人员身份管理和自动生成监管报表。</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系统应满足功能如下表所示：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68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68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8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车辆入园登记</w:t>
            </w:r>
          </w:p>
        </w:tc>
        <w:tc>
          <w:tcPr>
            <w:tcW w:w="718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通过平台登记进入园区的危化品车辆相关信息，信息包括危化品车辆的车牌、驾驶员信息以及联系方式等并发放车载设备。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驶出园区注销</w:t>
            </w:r>
          </w:p>
        </w:tc>
        <w:tc>
          <w:tcPr>
            <w:tcW w:w="718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危险化学品车辆到达出口后，由工作人员通过平台向监控中心发送解除监控指令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违章车辆查询</w:t>
            </w:r>
          </w:p>
        </w:tc>
        <w:tc>
          <w:tcPr>
            <w:tcW w:w="718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查询危化品车辆在产业园区内的违章情况，对于存在违章情况的车辆，在其出园区时按照相关法律法规进行处理或给予指导与建议，并在数据库中心登记相关违章信息，用于监管备案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运输车辆安全管理</w:t>
            </w:r>
          </w:p>
        </w:tc>
        <w:tc>
          <w:tcPr>
            <w:tcW w:w="718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完成对驾驶人员、押运人员的信息管理、身份验证、行车出发和到达时间及驾驶时间记录与跟踪等功能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报表系统</w:t>
            </w:r>
          </w:p>
        </w:tc>
        <w:tc>
          <w:tcPr>
            <w:tcW w:w="718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生成相应的报表数据，如进出园区日志查询、状态查询、ACC状态、报警记录、里程统计、停车报表等</w:t>
            </w:r>
          </w:p>
        </w:tc>
      </w:tr>
    </w:tbl>
    <w:p>
      <w:pPr>
        <w:pStyle w:val="4"/>
        <w:rPr>
          <w:color w:val="auto"/>
          <w:highlight w:val="none"/>
        </w:rPr>
      </w:pPr>
      <w:r>
        <w:rPr>
          <w:rFonts w:hint="eastAsia"/>
          <w:color w:val="auto"/>
          <w:highlight w:val="none"/>
        </w:rPr>
        <w:t>车辆在线监控系统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系统应支持对园区内车辆进行实时监控和状态分析，对于违章车辆提出告警，并告知相关人员。同时应支持回放功能，方便取证。</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系统应满足功能如下表所示：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53"/>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153"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6743"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15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车辆定位与跟踪</w:t>
            </w:r>
          </w:p>
        </w:tc>
        <w:tc>
          <w:tcPr>
            <w:tcW w:w="674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监控中心可随时了解车辆的实时位置，并能在电子地图上准确地显示车辆当时的状态（如经度，纬度，速度，行驶方向等信息）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15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车辆查询与监视</w:t>
            </w:r>
          </w:p>
        </w:tc>
        <w:tc>
          <w:tcPr>
            <w:tcW w:w="674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在系统运行的过程中，系统中的任何车辆都是可以查询的，并在必要时可以进行监视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15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轨迹显示与回放</w:t>
            </w:r>
          </w:p>
        </w:tc>
        <w:tc>
          <w:tcPr>
            <w:tcW w:w="674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车辆运行的轨迹可以在地图上以车动图不动的绝对运动方式显示、回放和刷新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15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车辆告警提醒</w:t>
            </w:r>
          </w:p>
        </w:tc>
        <w:tc>
          <w:tcPr>
            <w:tcW w:w="674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车辆在园区行驶时发生超速、偏离路线等情况时，系统自动计算出相关违规车辆，并在软件上突出显示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15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信息交互与发布</w:t>
            </w:r>
          </w:p>
        </w:tc>
        <w:tc>
          <w:tcPr>
            <w:tcW w:w="6743"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负责监控中心各类信息的分发、跟踪处理、信息交互，实现对运输车辆状态的远程查询、远程调度与管理等功能，保证车辆在园区安全行驶</w:t>
            </w:r>
          </w:p>
        </w:tc>
      </w:tr>
    </w:tbl>
    <w:p>
      <w:pPr>
        <w:pStyle w:val="4"/>
        <w:rPr>
          <w:color w:val="auto"/>
          <w:highlight w:val="none"/>
        </w:rPr>
      </w:pPr>
      <w:r>
        <w:rPr>
          <w:rFonts w:hint="eastAsia"/>
          <w:color w:val="auto"/>
          <w:highlight w:val="none"/>
        </w:rPr>
        <w:t>危化品车辆无死角视频监控系统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为了加强园区危化品车辆停车场管理，需要建设危化品车辆停车场无死角监控系统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系统应满足功能如下表所示：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095"/>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43"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09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679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4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0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外来车辆监控</w:t>
            </w:r>
          </w:p>
        </w:tc>
        <w:tc>
          <w:tcPr>
            <w:tcW w:w="67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针对临时进园车辆，园区设置东、西两个车辆检查站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09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自有车辆监控</w:t>
            </w:r>
          </w:p>
        </w:tc>
        <w:tc>
          <w:tcPr>
            <w:tcW w:w="679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针对园区、企业自有车辆，登记各车辆信息后安装固定式车载定位终端。固定式车载终端由车辆供电，免维护</w:t>
            </w:r>
          </w:p>
        </w:tc>
      </w:tr>
    </w:tbl>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系统应满足设备参数要求如下表所示：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产品</w:t>
            </w:r>
          </w:p>
        </w:tc>
        <w:tc>
          <w:tcPr>
            <w:tcW w:w="8134"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200万超星光电动变焦高清网络摄像机</w:t>
            </w:r>
          </w:p>
        </w:tc>
        <w:tc>
          <w:tcPr>
            <w:tcW w:w="813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采用1/1.8"逐行扫描CMOS传感器</w:t>
            </w:r>
          </w:p>
          <w:p>
            <w:pPr>
              <w:rPr>
                <w:rFonts w:ascii="宋体" w:hAnsi="宋体"/>
                <w:color w:val="auto"/>
                <w:sz w:val="21"/>
                <w:szCs w:val="21"/>
                <w:highlight w:val="none"/>
              </w:rPr>
            </w:pPr>
            <w:r>
              <w:rPr>
                <w:rFonts w:hint="eastAsia" w:ascii="宋体" w:hAnsi="宋体"/>
                <w:color w:val="auto"/>
                <w:sz w:val="21"/>
                <w:szCs w:val="21"/>
                <w:highlight w:val="none"/>
              </w:rPr>
              <w:t>支持2.8-12mm电动变焦镜头，手动/自动对焦模式可选</w:t>
            </w:r>
          </w:p>
          <w:p>
            <w:pPr>
              <w:rPr>
                <w:rFonts w:ascii="宋体" w:hAnsi="宋体"/>
                <w:color w:val="auto"/>
                <w:sz w:val="21"/>
                <w:szCs w:val="21"/>
                <w:highlight w:val="none"/>
              </w:rPr>
            </w:pPr>
            <w:r>
              <w:rPr>
                <w:rFonts w:hint="eastAsia" w:ascii="宋体" w:hAnsi="宋体"/>
                <w:color w:val="auto"/>
                <w:sz w:val="21"/>
                <w:szCs w:val="21"/>
                <w:highlight w:val="none"/>
              </w:rPr>
              <w:t>采用先进的H.265/H.264视频编码算法，压缩比高，实现低带宽高画质；</w:t>
            </w:r>
          </w:p>
          <w:p>
            <w:pPr>
              <w:rPr>
                <w:rFonts w:ascii="宋体" w:hAnsi="宋体"/>
                <w:color w:val="auto"/>
                <w:sz w:val="21"/>
                <w:szCs w:val="21"/>
                <w:highlight w:val="none"/>
              </w:rPr>
            </w:pPr>
            <w:r>
              <w:rPr>
                <w:rFonts w:hint="eastAsia" w:ascii="宋体" w:hAnsi="宋体"/>
                <w:color w:val="auto"/>
                <w:sz w:val="21"/>
                <w:szCs w:val="21"/>
                <w:highlight w:val="none"/>
              </w:rPr>
              <w:t>最大输出分辨率1920*1080@25fps/30fps，支持三码流传输</w:t>
            </w:r>
          </w:p>
          <w:p>
            <w:pPr>
              <w:rPr>
                <w:rFonts w:ascii="宋体" w:hAnsi="宋体"/>
                <w:color w:val="auto"/>
                <w:sz w:val="21"/>
                <w:szCs w:val="21"/>
                <w:highlight w:val="none"/>
              </w:rPr>
            </w:pPr>
            <w:r>
              <w:rPr>
                <w:rFonts w:hint="eastAsia" w:ascii="宋体" w:hAnsi="宋体"/>
                <w:color w:val="auto"/>
                <w:sz w:val="21"/>
                <w:szCs w:val="21"/>
                <w:highlight w:val="none"/>
              </w:rPr>
              <w:t>支持2D/3D降噪以及数字宽动态，支持透雾功能</w:t>
            </w:r>
          </w:p>
          <w:p>
            <w:pPr>
              <w:rPr>
                <w:rFonts w:ascii="宋体" w:hAnsi="宋体"/>
                <w:color w:val="auto"/>
                <w:sz w:val="21"/>
                <w:szCs w:val="21"/>
                <w:highlight w:val="none"/>
              </w:rPr>
            </w:pPr>
            <w:r>
              <w:rPr>
                <w:rFonts w:hint="eastAsia" w:ascii="宋体" w:hAnsi="宋体"/>
                <w:color w:val="auto"/>
                <w:sz w:val="21"/>
                <w:szCs w:val="21"/>
                <w:highlight w:val="none"/>
              </w:rPr>
              <w:t>采用高灵敏度传感器，满足星光级监控需求</w:t>
            </w:r>
          </w:p>
          <w:p>
            <w:pPr>
              <w:rPr>
                <w:rFonts w:ascii="宋体" w:hAnsi="宋体"/>
                <w:color w:val="auto"/>
                <w:sz w:val="21"/>
                <w:szCs w:val="21"/>
                <w:highlight w:val="none"/>
              </w:rPr>
            </w:pPr>
            <w:r>
              <w:rPr>
                <w:rFonts w:hint="eastAsia" w:ascii="宋体" w:hAnsi="宋体"/>
                <w:color w:val="auto"/>
                <w:sz w:val="21"/>
                <w:szCs w:val="21"/>
                <w:highlight w:val="none"/>
              </w:rPr>
              <w:t>支持人脸检测、周界入侵、物品遗留/盗移、跨越围栏、逆行检测、徘徊检测、密度检测、数量统计、车牌检测、人头统计、图像偏色检测、图像虚焦检测、摄像机移位检测等高级智能化功能</w:t>
            </w:r>
          </w:p>
          <w:p>
            <w:pPr>
              <w:rPr>
                <w:rFonts w:ascii="宋体" w:hAnsi="宋体"/>
                <w:color w:val="auto"/>
                <w:sz w:val="21"/>
                <w:szCs w:val="21"/>
                <w:highlight w:val="none"/>
              </w:rPr>
            </w:pPr>
            <w:r>
              <w:rPr>
                <w:rFonts w:hint="eastAsia" w:ascii="宋体" w:hAnsi="宋体"/>
                <w:color w:val="auto"/>
                <w:sz w:val="21"/>
                <w:szCs w:val="21"/>
                <w:highlight w:val="none"/>
              </w:rPr>
              <w:t>支持三种视频诊断功能：图像偏色检测、图像虚焦检测、摄像机移位检测</w:t>
            </w:r>
          </w:p>
          <w:p>
            <w:pPr>
              <w:rPr>
                <w:rFonts w:ascii="宋体" w:hAnsi="宋体"/>
                <w:color w:val="auto"/>
                <w:sz w:val="21"/>
                <w:szCs w:val="21"/>
                <w:highlight w:val="none"/>
              </w:rPr>
            </w:pPr>
            <w:r>
              <w:rPr>
                <w:rFonts w:hint="eastAsia" w:ascii="宋体" w:hAnsi="宋体"/>
                <w:color w:val="auto"/>
                <w:sz w:val="21"/>
                <w:szCs w:val="21"/>
                <w:highlight w:val="none"/>
              </w:rPr>
              <w:t>支持走廊模式、感兴趣区域（ROI）</w:t>
            </w:r>
          </w:p>
          <w:p>
            <w:pPr>
              <w:rPr>
                <w:rFonts w:ascii="宋体" w:hAnsi="宋体"/>
                <w:color w:val="auto"/>
                <w:sz w:val="21"/>
                <w:szCs w:val="21"/>
                <w:highlight w:val="none"/>
              </w:rPr>
            </w:pPr>
            <w:r>
              <w:rPr>
                <w:rFonts w:hint="eastAsia" w:ascii="宋体" w:hAnsi="宋体"/>
                <w:color w:val="auto"/>
                <w:sz w:val="21"/>
                <w:szCs w:val="21"/>
                <w:highlight w:val="none"/>
              </w:rPr>
              <w:t>支持数字水印加密，防止数据被篡改</w:t>
            </w:r>
          </w:p>
          <w:p>
            <w:pPr>
              <w:rPr>
                <w:rFonts w:ascii="宋体" w:hAnsi="宋体"/>
                <w:color w:val="auto"/>
                <w:sz w:val="21"/>
                <w:szCs w:val="21"/>
                <w:highlight w:val="none"/>
              </w:rPr>
            </w:pPr>
            <w:r>
              <w:rPr>
                <w:rFonts w:hint="eastAsia" w:ascii="宋体" w:hAnsi="宋体"/>
                <w:color w:val="auto"/>
                <w:sz w:val="21"/>
                <w:szCs w:val="21"/>
                <w:highlight w:val="none"/>
              </w:rPr>
              <w:t>支持IR_CUT（红外滤片式自动切换），实现真正的日夜监控</w:t>
            </w:r>
          </w:p>
          <w:p>
            <w:pPr>
              <w:rPr>
                <w:rFonts w:ascii="宋体" w:hAnsi="宋体"/>
                <w:color w:val="auto"/>
                <w:sz w:val="21"/>
                <w:szCs w:val="21"/>
                <w:highlight w:val="none"/>
              </w:rPr>
            </w:pPr>
            <w:r>
              <w:rPr>
                <w:rFonts w:hint="eastAsia" w:ascii="宋体" w:hAnsi="宋体"/>
                <w:color w:val="auto"/>
                <w:sz w:val="21"/>
                <w:szCs w:val="21"/>
                <w:highlight w:val="none"/>
              </w:rPr>
              <w:t>采用高效阵列红外灯，红外距离最远50米</w:t>
            </w:r>
          </w:p>
          <w:p>
            <w:pPr>
              <w:rPr>
                <w:rFonts w:ascii="宋体" w:hAnsi="宋体"/>
                <w:color w:val="auto"/>
                <w:sz w:val="21"/>
                <w:szCs w:val="21"/>
                <w:highlight w:val="none"/>
              </w:rPr>
            </w:pPr>
            <w:r>
              <w:rPr>
                <w:rFonts w:hint="eastAsia" w:ascii="宋体" w:hAnsi="宋体"/>
                <w:color w:val="auto"/>
                <w:sz w:val="21"/>
                <w:szCs w:val="21"/>
                <w:highlight w:val="none"/>
              </w:rPr>
              <w:t>红外增透面板，提高红外光透过率</w:t>
            </w:r>
          </w:p>
          <w:p>
            <w:pPr>
              <w:rPr>
                <w:rFonts w:ascii="宋体" w:hAnsi="宋体"/>
                <w:color w:val="auto"/>
                <w:sz w:val="21"/>
                <w:szCs w:val="21"/>
                <w:highlight w:val="none"/>
              </w:rPr>
            </w:pPr>
            <w:r>
              <w:rPr>
                <w:rFonts w:hint="eastAsia" w:ascii="宋体" w:hAnsi="宋体"/>
                <w:color w:val="auto"/>
                <w:sz w:val="21"/>
                <w:szCs w:val="21"/>
                <w:highlight w:val="none"/>
              </w:rPr>
              <w:t>支持手机直连监控，支持私网穿透</w:t>
            </w:r>
          </w:p>
          <w:p>
            <w:pPr>
              <w:rPr>
                <w:rFonts w:ascii="宋体" w:hAnsi="宋体"/>
                <w:color w:val="auto"/>
                <w:sz w:val="21"/>
                <w:szCs w:val="21"/>
                <w:highlight w:val="none"/>
              </w:rPr>
            </w:pPr>
            <w:r>
              <w:rPr>
                <w:rFonts w:hint="eastAsia" w:ascii="宋体" w:hAnsi="宋体"/>
                <w:color w:val="auto"/>
                <w:sz w:val="21"/>
                <w:szCs w:val="21"/>
                <w:highlight w:val="none"/>
              </w:rPr>
              <w:t>支持Onvif/CGI/GB28181</w:t>
            </w:r>
          </w:p>
          <w:p>
            <w:pPr>
              <w:rPr>
                <w:rFonts w:ascii="宋体" w:hAnsi="宋体"/>
                <w:color w:val="auto"/>
                <w:sz w:val="21"/>
                <w:szCs w:val="21"/>
                <w:highlight w:val="none"/>
              </w:rPr>
            </w:pPr>
            <w:r>
              <w:rPr>
                <w:rFonts w:hint="eastAsia" w:ascii="宋体" w:hAnsi="宋体"/>
                <w:color w:val="auto"/>
                <w:sz w:val="21"/>
                <w:szCs w:val="21"/>
                <w:highlight w:val="none"/>
              </w:rPr>
              <w:t>支持移动侦测，网络异常，遮挡报警等智能报警</w:t>
            </w:r>
          </w:p>
          <w:p>
            <w:pPr>
              <w:rPr>
                <w:rFonts w:ascii="宋体" w:hAnsi="宋体"/>
                <w:color w:val="auto"/>
                <w:sz w:val="21"/>
                <w:szCs w:val="21"/>
                <w:highlight w:val="none"/>
              </w:rPr>
            </w:pPr>
            <w:r>
              <w:rPr>
                <w:rFonts w:hint="eastAsia" w:ascii="宋体" w:hAnsi="宋体"/>
                <w:color w:val="auto"/>
                <w:sz w:val="21"/>
                <w:szCs w:val="21"/>
                <w:highlight w:val="none"/>
              </w:rPr>
              <w:t>支持JPEG抓图，抓图分辨率为最大编码分辨率</w:t>
            </w:r>
          </w:p>
          <w:p>
            <w:pPr>
              <w:rPr>
                <w:rFonts w:ascii="宋体" w:hAnsi="宋体"/>
                <w:color w:val="auto"/>
                <w:sz w:val="21"/>
                <w:szCs w:val="21"/>
                <w:highlight w:val="none"/>
              </w:rPr>
            </w:pPr>
            <w:r>
              <w:rPr>
                <w:rFonts w:hint="eastAsia" w:ascii="宋体" w:hAnsi="宋体"/>
                <w:color w:val="auto"/>
                <w:sz w:val="21"/>
                <w:szCs w:val="21"/>
                <w:highlight w:val="none"/>
              </w:rPr>
              <w:t>支持音频/报警/RS485/模拟输出等全功能接口</w:t>
            </w:r>
          </w:p>
          <w:p>
            <w:pPr>
              <w:rPr>
                <w:rFonts w:ascii="宋体" w:hAnsi="宋体"/>
                <w:color w:val="auto"/>
                <w:sz w:val="21"/>
                <w:szCs w:val="21"/>
                <w:highlight w:val="none"/>
              </w:rPr>
            </w:pPr>
            <w:r>
              <w:rPr>
                <w:rFonts w:hint="eastAsia" w:ascii="宋体" w:hAnsi="宋体"/>
                <w:color w:val="auto"/>
                <w:sz w:val="21"/>
                <w:szCs w:val="21"/>
                <w:highlight w:val="none"/>
              </w:rPr>
              <w:t>支持POE供电，支持reset复位按键，支持本地TF卡存储（最大支持128G）</w:t>
            </w:r>
          </w:p>
          <w:p>
            <w:pPr>
              <w:rPr>
                <w:rFonts w:ascii="宋体" w:hAnsi="宋体"/>
                <w:color w:val="auto"/>
                <w:sz w:val="21"/>
                <w:szCs w:val="21"/>
                <w:highlight w:val="none"/>
              </w:rPr>
            </w:pPr>
            <w:r>
              <w:rPr>
                <w:rFonts w:hint="eastAsia" w:ascii="宋体" w:hAnsi="宋体"/>
                <w:color w:val="auto"/>
                <w:sz w:val="21"/>
                <w:szCs w:val="21"/>
                <w:highlight w:val="none"/>
              </w:rPr>
              <w:t>符合IP66级防水防尘设计</w:t>
            </w:r>
          </w:p>
          <w:p>
            <w:pPr>
              <w:rPr>
                <w:rFonts w:ascii="宋体" w:hAnsi="宋体"/>
                <w:color w:val="auto"/>
                <w:sz w:val="21"/>
                <w:szCs w:val="21"/>
                <w:highlight w:val="none"/>
              </w:rPr>
            </w:pPr>
            <w:r>
              <w:rPr>
                <w:rFonts w:hint="eastAsia" w:ascii="宋体" w:hAnsi="宋体"/>
                <w:color w:val="auto"/>
                <w:sz w:val="21"/>
                <w:szCs w:val="21"/>
                <w:highlight w:val="none"/>
              </w:rPr>
              <w:t>支持电源DC12V（±25%）/ POE，-A型号支持AC24V（±15%）/POE</w:t>
            </w:r>
          </w:p>
          <w:p>
            <w:pPr>
              <w:rPr>
                <w:rFonts w:ascii="宋体" w:hAnsi="宋体"/>
                <w:color w:val="auto"/>
                <w:sz w:val="21"/>
                <w:szCs w:val="21"/>
                <w:highlight w:val="none"/>
              </w:rPr>
            </w:pPr>
            <w:r>
              <w:rPr>
                <w:rFonts w:hint="eastAsia" w:ascii="宋体" w:hAnsi="宋体"/>
                <w:color w:val="auto"/>
                <w:sz w:val="21"/>
                <w:szCs w:val="21"/>
                <w:highlight w:val="none"/>
              </w:rPr>
              <w:t>支持支架安装：壁装/吊装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200万高清网络球机</w:t>
            </w:r>
          </w:p>
        </w:tc>
        <w:tc>
          <w:tcPr>
            <w:tcW w:w="813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采用高性能传感器，图像清晰，最大分辨率可达1920x1080</w:t>
            </w:r>
          </w:p>
          <w:p>
            <w:pPr>
              <w:rPr>
                <w:rFonts w:ascii="宋体" w:hAnsi="宋体"/>
                <w:color w:val="auto"/>
                <w:sz w:val="21"/>
                <w:szCs w:val="21"/>
                <w:highlight w:val="none"/>
              </w:rPr>
            </w:pPr>
            <w:r>
              <w:rPr>
                <w:rFonts w:hint="eastAsia" w:ascii="宋体" w:hAnsi="宋体"/>
                <w:color w:val="auto"/>
                <w:sz w:val="21"/>
                <w:szCs w:val="21"/>
                <w:highlight w:val="none"/>
              </w:rPr>
              <w:t>精密电机驱动，反应灵敏，运转平稳，精度偏差少于0.1度，在任何速度下图像无抖动；支持20倍光学变倍，16倍数字变倍</w:t>
            </w:r>
          </w:p>
          <w:p>
            <w:pPr>
              <w:rPr>
                <w:rFonts w:ascii="宋体" w:hAnsi="宋体"/>
                <w:color w:val="auto"/>
                <w:sz w:val="21"/>
                <w:szCs w:val="21"/>
                <w:highlight w:val="none"/>
              </w:rPr>
            </w:pPr>
            <w:r>
              <w:rPr>
                <w:rFonts w:hint="eastAsia" w:ascii="宋体" w:hAnsi="宋体"/>
                <w:color w:val="auto"/>
                <w:sz w:val="21"/>
                <w:szCs w:val="21"/>
                <w:highlight w:val="none"/>
              </w:rPr>
              <w:t>支持自动光圈、自动聚焦、自动白平衡、背光补偿</w:t>
            </w:r>
          </w:p>
          <w:p>
            <w:pPr>
              <w:rPr>
                <w:rFonts w:ascii="宋体" w:hAnsi="宋体"/>
                <w:color w:val="auto"/>
                <w:sz w:val="21"/>
                <w:szCs w:val="21"/>
                <w:highlight w:val="none"/>
              </w:rPr>
            </w:pPr>
            <w:r>
              <w:rPr>
                <w:rFonts w:hint="eastAsia" w:ascii="宋体" w:hAnsi="宋体"/>
                <w:color w:val="auto"/>
                <w:sz w:val="21"/>
                <w:szCs w:val="21"/>
                <w:highlight w:val="none"/>
              </w:rPr>
              <w:t>支持超低照度，0.05Lux/F1.4(彩色)，0.01Lux/F1.4(黑白)，0 Lux with IR</w:t>
            </w:r>
          </w:p>
          <w:p>
            <w:pPr>
              <w:rPr>
                <w:rFonts w:ascii="宋体" w:hAnsi="宋体"/>
                <w:color w:val="auto"/>
                <w:sz w:val="21"/>
                <w:szCs w:val="21"/>
                <w:highlight w:val="none"/>
              </w:rPr>
            </w:pPr>
            <w:r>
              <w:rPr>
                <w:rFonts w:hint="eastAsia" w:ascii="宋体" w:hAnsi="宋体"/>
                <w:color w:val="auto"/>
                <w:sz w:val="21"/>
                <w:szCs w:val="21"/>
                <w:highlight w:val="none"/>
              </w:rPr>
              <w:t>信噪比≥53.8db,延时≤241ms</w:t>
            </w:r>
          </w:p>
          <w:p>
            <w:pPr>
              <w:rPr>
                <w:rFonts w:ascii="宋体" w:hAnsi="宋体"/>
                <w:color w:val="auto"/>
                <w:sz w:val="21"/>
                <w:szCs w:val="21"/>
                <w:highlight w:val="none"/>
              </w:rPr>
            </w:pPr>
            <w:r>
              <w:rPr>
                <w:rFonts w:hint="eastAsia" w:ascii="宋体" w:hAnsi="宋体"/>
                <w:color w:val="auto"/>
                <w:sz w:val="21"/>
                <w:szCs w:val="21"/>
                <w:highlight w:val="none"/>
              </w:rPr>
              <w:t>支持双码流技术</w:t>
            </w:r>
          </w:p>
          <w:p>
            <w:pPr>
              <w:rPr>
                <w:rFonts w:ascii="宋体" w:hAnsi="宋体"/>
                <w:color w:val="auto"/>
                <w:sz w:val="21"/>
                <w:szCs w:val="21"/>
                <w:highlight w:val="none"/>
              </w:rPr>
            </w:pPr>
            <w:r>
              <w:rPr>
                <w:rFonts w:hint="eastAsia" w:ascii="宋体" w:hAnsi="宋体"/>
                <w:color w:val="auto"/>
                <w:sz w:val="21"/>
                <w:szCs w:val="21"/>
                <w:highlight w:val="none"/>
              </w:rPr>
              <w:t>支持H.265/H.264/MJPEG视频压缩算法</w:t>
            </w:r>
          </w:p>
          <w:p>
            <w:pPr>
              <w:rPr>
                <w:rFonts w:ascii="宋体" w:hAnsi="宋体"/>
                <w:color w:val="auto"/>
                <w:sz w:val="21"/>
                <w:szCs w:val="21"/>
                <w:highlight w:val="none"/>
              </w:rPr>
            </w:pPr>
            <w:r>
              <w:rPr>
                <w:rFonts w:hint="eastAsia" w:ascii="宋体" w:hAnsi="宋体"/>
                <w:color w:val="auto"/>
                <w:sz w:val="21"/>
                <w:szCs w:val="21"/>
                <w:highlight w:val="none"/>
              </w:rPr>
              <w:t>支持多级别视频质量配置</w:t>
            </w:r>
          </w:p>
          <w:p>
            <w:pPr>
              <w:rPr>
                <w:rFonts w:ascii="宋体" w:hAnsi="宋体"/>
                <w:color w:val="auto"/>
                <w:sz w:val="21"/>
                <w:szCs w:val="21"/>
                <w:highlight w:val="none"/>
              </w:rPr>
            </w:pPr>
            <w:r>
              <w:rPr>
                <w:rFonts w:hint="eastAsia" w:ascii="宋体" w:hAnsi="宋体"/>
                <w:color w:val="auto"/>
                <w:sz w:val="21"/>
                <w:szCs w:val="21"/>
                <w:highlight w:val="none"/>
              </w:rPr>
              <w:t>支持实时视频输出分辨率为1080p和720p</w:t>
            </w:r>
          </w:p>
          <w:p>
            <w:pPr>
              <w:rPr>
                <w:rFonts w:ascii="宋体" w:hAnsi="宋体"/>
                <w:color w:val="auto"/>
                <w:sz w:val="21"/>
                <w:szCs w:val="21"/>
                <w:highlight w:val="none"/>
              </w:rPr>
            </w:pPr>
            <w:r>
              <w:rPr>
                <w:rFonts w:hint="eastAsia" w:ascii="宋体" w:hAnsi="宋体"/>
                <w:color w:val="auto"/>
                <w:sz w:val="21"/>
                <w:szCs w:val="21"/>
                <w:highlight w:val="none"/>
              </w:rPr>
              <w:t>内置高速云台，旋转速度灵活，可根据用户监控的角度快速响应；</w:t>
            </w:r>
          </w:p>
          <w:p>
            <w:pPr>
              <w:rPr>
                <w:rFonts w:ascii="宋体" w:hAnsi="宋体"/>
                <w:color w:val="auto"/>
                <w:sz w:val="21"/>
                <w:szCs w:val="21"/>
                <w:highlight w:val="none"/>
              </w:rPr>
            </w:pPr>
            <w:r>
              <w:rPr>
                <w:rFonts w:hint="eastAsia" w:ascii="宋体" w:hAnsi="宋体"/>
                <w:color w:val="auto"/>
                <w:sz w:val="21"/>
                <w:szCs w:val="21"/>
                <w:highlight w:val="none"/>
              </w:rPr>
              <w:t>支持300个 预置位，满足客户多方位定点的监控，水平预置点速度最高可达240°/s,垂直预置点速度最高可达200°/s</w:t>
            </w:r>
          </w:p>
          <w:p>
            <w:pPr>
              <w:rPr>
                <w:rFonts w:ascii="宋体" w:hAnsi="宋体"/>
                <w:color w:val="auto"/>
                <w:sz w:val="21"/>
                <w:szCs w:val="21"/>
                <w:highlight w:val="none"/>
              </w:rPr>
            </w:pPr>
            <w:r>
              <w:rPr>
                <w:rFonts w:hint="eastAsia" w:ascii="宋体" w:hAnsi="宋体"/>
                <w:color w:val="auto"/>
                <w:sz w:val="21"/>
                <w:szCs w:val="21"/>
                <w:highlight w:val="none"/>
              </w:rPr>
              <w:t>支持守望功能，预置点/花样扫描/巡航扫描/自动扫描/垂直扫描/随机扫描/帧扫描/全景扫描可在空闲状态停留指定时间后自动调用(包括上电后进入的空闲状态)</w:t>
            </w:r>
          </w:p>
          <w:p>
            <w:pPr>
              <w:rPr>
                <w:rFonts w:ascii="宋体" w:hAnsi="宋体"/>
                <w:color w:val="auto"/>
                <w:sz w:val="21"/>
                <w:szCs w:val="21"/>
                <w:highlight w:val="none"/>
              </w:rPr>
            </w:pPr>
            <w:r>
              <w:rPr>
                <w:rFonts w:hint="eastAsia" w:ascii="宋体" w:hAnsi="宋体"/>
                <w:color w:val="auto"/>
                <w:sz w:val="21"/>
                <w:szCs w:val="21"/>
                <w:highlight w:val="none"/>
              </w:rPr>
              <w:t>支持Micro SD/SDHC/SDXC卡（最大支持128G）卡本地存储，能有效解决由于网络故障引起的视频丢失问题</w:t>
            </w:r>
          </w:p>
          <w:p>
            <w:pPr>
              <w:rPr>
                <w:rFonts w:ascii="宋体" w:hAnsi="宋体"/>
                <w:color w:val="auto"/>
                <w:sz w:val="21"/>
                <w:szCs w:val="21"/>
                <w:highlight w:val="none"/>
              </w:rPr>
            </w:pPr>
            <w:r>
              <w:rPr>
                <w:rFonts w:hint="eastAsia" w:ascii="宋体" w:hAnsi="宋体"/>
                <w:color w:val="auto"/>
                <w:sz w:val="21"/>
                <w:szCs w:val="21"/>
                <w:highlight w:val="none"/>
              </w:rPr>
              <w:t>支持NAS存储录像，录像可断网续传</w:t>
            </w:r>
          </w:p>
          <w:p>
            <w:pPr>
              <w:rPr>
                <w:rFonts w:ascii="宋体" w:hAnsi="宋体"/>
                <w:color w:val="auto"/>
                <w:sz w:val="21"/>
                <w:szCs w:val="21"/>
                <w:highlight w:val="none"/>
              </w:rPr>
            </w:pPr>
            <w:r>
              <w:rPr>
                <w:rFonts w:hint="eastAsia" w:ascii="宋体" w:hAnsi="宋体"/>
                <w:color w:val="auto"/>
                <w:sz w:val="21"/>
                <w:szCs w:val="21"/>
                <w:highlight w:val="none"/>
              </w:rPr>
              <w:t>室外球达到IP66防护等级</w:t>
            </w:r>
          </w:p>
          <w:p>
            <w:pPr>
              <w:rPr>
                <w:rFonts w:ascii="宋体" w:hAnsi="宋体"/>
                <w:color w:val="auto"/>
                <w:sz w:val="21"/>
                <w:szCs w:val="21"/>
                <w:highlight w:val="none"/>
              </w:rPr>
            </w:pPr>
            <w:r>
              <w:rPr>
                <w:rFonts w:hint="eastAsia" w:ascii="宋体" w:hAnsi="宋体"/>
                <w:color w:val="auto"/>
                <w:sz w:val="21"/>
                <w:szCs w:val="21"/>
                <w:highlight w:val="none"/>
              </w:rPr>
              <w:t>支持TVS4000V防雷、防突破、防浪涌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网络硬盘录像机</w:t>
            </w:r>
          </w:p>
        </w:tc>
        <w:tc>
          <w:tcPr>
            <w:tcW w:w="8134"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可接驳符合ONVIF、RTSP标准及众多主流厂商的网络摄像机</w:t>
            </w:r>
          </w:p>
          <w:p>
            <w:pPr>
              <w:rPr>
                <w:rFonts w:ascii="宋体" w:hAnsi="宋体"/>
                <w:color w:val="auto"/>
                <w:sz w:val="21"/>
                <w:szCs w:val="21"/>
                <w:highlight w:val="none"/>
              </w:rPr>
            </w:pPr>
            <w:r>
              <w:rPr>
                <w:rFonts w:hint="eastAsia" w:ascii="宋体" w:hAnsi="宋体"/>
                <w:color w:val="auto"/>
                <w:sz w:val="21"/>
                <w:szCs w:val="21"/>
                <w:highlight w:val="none"/>
              </w:rPr>
              <w:t>支持VGA、HDMI同步输出， HDMI视频输出分辨率最高可达4K， VGA视频输出分辨率最高可达1920*1080</w:t>
            </w:r>
          </w:p>
          <w:p>
            <w:pPr>
              <w:rPr>
                <w:rFonts w:ascii="宋体" w:hAnsi="宋体"/>
                <w:color w:val="auto"/>
                <w:sz w:val="21"/>
                <w:szCs w:val="21"/>
                <w:highlight w:val="none"/>
              </w:rPr>
            </w:pPr>
            <w:r>
              <w:rPr>
                <w:rFonts w:hint="eastAsia" w:ascii="宋体" w:hAnsi="宋体"/>
                <w:color w:val="auto"/>
                <w:sz w:val="21"/>
                <w:szCs w:val="21"/>
                <w:highlight w:val="none"/>
              </w:rPr>
              <w:t>支持双HDMI非同源高清输出</w:t>
            </w:r>
          </w:p>
          <w:p>
            <w:pPr>
              <w:rPr>
                <w:rFonts w:ascii="宋体" w:hAnsi="宋体"/>
                <w:color w:val="auto"/>
                <w:sz w:val="21"/>
                <w:szCs w:val="21"/>
                <w:highlight w:val="none"/>
              </w:rPr>
            </w:pPr>
            <w:r>
              <w:rPr>
                <w:rFonts w:hint="eastAsia" w:ascii="宋体" w:hAnsi="宋体"/>
                <w:color w:val="auto"/>
                <w:sz w:val="21"/>
                <w:szCs w:val="21"/>
                <w:highlight w:val="none"/>
              </w:rPr>
              <w:t>支持H.265视频解码，支持H.265、H.264编码前端混合自适应接入</w:t>
            </w:r>
          </w:p>
          <w:p>
            <w:pPr>
              <w:rPr>
                <w:rFonts w:ascii="宋体" w:hAnsi="宋体"/>
                <w:color w:val="auto"/>
                <w:sz w:val="21"/>
                <w:szCs w:val="21"/>
                <w:highlight w:val="none"/>
              </w:rPr>
            </w:pPr>
            <w:r>
              <w:rPr>
                <w:rFonts w:hint="eastAsia" w:ascii="宋体" w:hAnsi="宋体"/>
                <w:color w:val="auto"/>
                <w:sz w:val="21"/>
                <w:szCs w:val="21"/>
                <w:highlight w:val="none"/>
              </w:rPr>
              <w:t>支持一键添加网络摄像机</w:t>
            </w:r>
          </w:p>
          <w:p>
            <w:pPr>
              <w:rPr>
                <w:rFonts w:ascii="宋体" w:hAnsi="宋体"/>
                <w:color w:val="auto"/>
                <w:sz w:val="21"/>
                <w:szCs w:val="21"/>
                <w:highlight w:val="none"/>
              </w:rPr>
            </w:pPr>
            <w:r>
              <w:rPr>
                <w:rFonts w:hint="eastAsia" w:ascii="宋体" w:hAnsi="宋体"/>
                <w:color w:val="auto"/>
                <w:sz w:val="21"/>
                <w:szCs w:val="21"/>
                <w:highlight w:val="none"/>
              </w:rPr>
              <w:t>支持最高800万像素网络摄像机预览、录像及回放</w:t>
            </w:r>
          </w:p>
          <w:p>
            <w:pPr>
              <w:rPr>
                <w:rFonts w:ascii="宋体" w:hAnsi="宋体"/>
                <w:color w:val="auto"/>
                <w:sz w:val="21"/>
                <w:szCs w:val="21"/>
                <w:highlight w:val="none"/>
              </w:rPr>
            </w:pPr>
            <w:r>
              <w:rPr>
                <w:rFonts w:hint="eastAsia" w:ascii="宋体" w:hAnsi="宋体"/>
                <w:color w:val="auto"/>
                <w:sz w:val="21"/>
                <w:szCs w:val="21"/>
                <w:highlight w:val="none"/>
              </w:rPr>
              <w:t>网络视频接入带宽最高可达256Mbps，支持最高64路高清网络视频全实时通道录像</w:t>
            </w:r>
          </w:p>
          <w:p>
            <w:pPr>
              <w:rPr>
                <w:rFonts w:ascii="宋体" w:hAnsi="宋体"/>
                <w:color w:val="auto"/>
                <w:sz w:val="21"/>
                <w:szCs w:val="21"/>
                <w:highlight w:val="none"/>
              </w:rPr>
            </w:pPr>
            <w:r>
              <w:rPr>
                <w:rFonts w:hint="eastAsia" w:ascii="宋体" w:hAnsi="宋体"/>
                <w:color w:val="auto"/>
                <w:sz w:val="21"/>
                <w:szCs w:val="21"/>
                <w:highlight w:val="none"/>
              </w:rPr>
              <w:t>最大支持32路通道同步回放，支持16路200万H.265高清视频同步解码</w:t>
            </w:r>
          </w:p>
          <w:p>
            <w:pPr>
              <w:rPr>
                <w:rFonts w:ascii="宋体" w:hAnsi="宋体"/>
                <w:color w:val="auto"/>
                <w:sz w:val="21"/>
                <w:szCs w:val="21"/>
                <w:highlight w:val="none"/>
              </w:rPr>
            </w:pPr>
            <w:r>
              <w:rPr>
                <w:rFonts w:hint="eastAsia" w:ascii="宋体" w:hAnsi="宋体"/>
                <w:color w:val="auto"/>
                <w:sz w:val="21"/>
                <w:szCs w:val="21"/>
                <w:highlight w:val="none"/>
              </w:rPr>
              <w:t>支持智能分析，内置1路人脸检测或2路周界检测（部分型号），可实现基于人脸数据或周界事件的检索与录像回放</w:t>
            </w:r>
          </w:p>
          <w:p>
            <w:pPr>
              <w:rPr>
                <w:rFonts w:ascii="宋体" w:hAnsi="宋体"/>
                <w:color w:val="auto"/>
                <w:sz w:val="21"/>
                <w:szCs w:val="21"/>
                <w:highlight w:val="none"/>
              </w:rPr>
            </w:pPr>
            <w:r>
              <w:rPr>
                <w:rFonts w:hint="eastAsia" w:ascii="宋体" w:hAnsi="宋体"/>
                <w:color w:val="auto"/>
                <w:sz w:val="21"/>
                <w:szCs w:val="21"/>
                <w:highlight w:val="none"/>
              </w:rPr>
              <w:t>标准2U机箱设计，支持机架式安装</w:t>
            </w:r>
          </w:p>
          <w:p>
            <w:pPr>
              <w:rPr>
                <w:rFonts w:ascii="宋体" w:hAnsi="宋体"/>
                <w:color w:val="auto"/>
                <w:sz w:val="21"/>
                <w:szCs w:val="21"/>
                <w:highlight w:val="none"/>
              </w:rPr>
            </w:pPr>
            <w:r>
              <w:rPr>
                <w:rFonts w:hint="eastAsia" w:ascii="宋体" w:hAnsi="宋体"/>
                <w:color w:val="auto"/>
                <w:sz w:val="21"/>
                <w:szCs w:val="21"/>
                <w:highlight w:val="none"/>
              </w:rPr>
              <w:t>支持外接报警设备</w:t>
            </w:r>
          </w:p>
          <w:p>
            <w:pPr>
              <w:rPr>
                <w:rFonts w:ascii="宋体" w:hAnsi="宋体"/>
                <w:color w:val="auto"/>
                <w:sz w:val="21"/>
                <w:szCs w:val="21"/>
                <w:highlight w:val="none"/>
              </w:rPr>
            </w:pPr>
            <w:r>
              <w:rPr>
                <w:rFonts w:hint="eastAsia" w:ascii="宋体" w:hAnsi="宋体"/>
                <w:color w:val="auto"/>
                <w:sz w:val="21"/>
                <w:szCs w:val="21"/>
                <w:highlight w:val="none"/>
              </w:rPr>
              <w:t>支持8个SATA 硬盘，1个ESATA接口，硬盘容量无限制</w:t>
            </w:r>
          </w:p>
          <w:p>
            <w:pPr>
              <w:rPr>
                <w:rFonts w:ascii="宋体" w:hAnsi="宋体"/>
                <w:color w:val="auto"/>
                <w:sz w:val="21"/>
                <w:szCs w:val="21"/>
                <w:highlight w:val="none"/>
              </w:rPr>
            </w:pPr>
            <w:r>
              <w:rPr>
                <w:rFonts w:hint="eastAsia" w:ascii="宋体" w:hAnsi="宋体"/>
                <w:color w:val="auto"/>
                <w:sz w:val="21"/>
                <w:szCs w:val="21"/>
                <w:highlight w:val="none"/>
              </w:rPr>
              <w:t>支持硬盘休眠技术，大幅度延长硬盘使用寿命、降低整机功耗</w:t>
            </w:r>
          </w:p>
          <w:p>
            <w:pPr>
              <w:rPr>
                <w:rFonts w:ascii="宋体" w:hAnsi="宋体"/>
                <w:color w:val="auto"/>
                <w:sz w:val="21"/>
                <w:szCs w:val="21"/>
                <w:highlight w:val="none"/>
              </w:rPr>
            </w:pPr>
            <w:r>
              <w:rPr>
                <w:rFonts w:hint="eastAsia" w:ascii="宋体" w:hAnsi="宋体"/>
                <w:color w:val="auto"/>
                <w:sz w:val="21"/>
                <w:szCs w:val="21"/>
                <w:highlight w:val="none"/>
              </w:rPr>
              <w:t>支持硬盘双冗余技术，实现重要数据的双备份，有效保障录像安全</w:t>
            </w:r>
          </w:p>
          <w:p>
            <w:pPr>
              <w:rPr>
                <w:rFonts w:ascii="宋体" w:hAnsi="宋体"/>
                <w:color w:val="auto"/>
                <w:sz w:val="21"/>
                <w:szCs w:val="21"/>
                <w:highlight w:val="none"/>
              </w:rPr>
            </w:pPr>
            <w:r>
              <w:rPr>
                <w:rFonts w:hint="eastAsia" w:ascii="宋体" w:hAnsi="宋体"/>
                <w:color w:val="auto"/>
                <w:sz w:val="21"/>
                <w:szCs w:val="21"/>
                <w:highlight w:val="none"/>
              </w:rPr>
              <w:t>支持硬盘分组及通道分组存储管理技术，可实现不同通道不同录像时长的控制功能</w:t>
            </w:r>
          </w:p>
          <w:p>
            <w:pPr>
              <w:rPr>
                <w:rFonts w:ascii="宋体" w:hAnsi="宋体"/>
                <w:color w:val="auto"/>
                <w:sz w:val="21"/>
                <w:szCs w:val="21"/>
                <w:highlight w:val="none"/>
              </w:rPr>
            </w:pPr>
            <w:r>
              <w:rPr>
                <w:rFonts w:hint="eastAsia" w:ascii="宋体" w:hAnsi="宋体"/>
                <w:color w:val="auto"/>
                <w:sz w:val="21"/>
                <w:szCs w:val="21"/>
                <w:highlight w:val="none"/>
              </w:rPr>
              <w:t>支持硬盘S.M.A.R.T技术，并支持硬盘坏道跳过，大幅度减少因硬盘故障导致的数据丢失</w:t>
            </w:r>
          </w:p>
          <w:p>
            <w:pPr>
              <w:rPr>
                <w:rFonts w:ascii="宋体" w:hAnsi="宋体"/>
                <w:color w:val="auto"/>
                <w:sz w:val="21"/>
                <w:szCs w:val="21"/>
                <w:highlight w:val="none"/>
              </w:rPr>
            </w:pPr>
            <w:r>
              <w:rPr>
                <w:rFonts w:hint="eastAsia" w:ascii="宋体" w:hAnsi="宋体"/>
                <w:color w:val="auto"/>
                <w:sz w:val="21"/>
                <w:szCs w:val="21"/>
                <w:highlight w:val="none"/>
              </w:rPr>
              <w:t>采用嵌入式Linux操作系统和专有的带数据库的文件系统，查询、检索更为快速和准确，数据安全更有保障</w:t>
            </w:r>
          </w:p>
          <w:p>
            <w:pPr>
              <w:rPr>
                <w:rFonts w:ascii="宋体" w:hAnsi="宋体"/>
                <w:color w:val="auto"/>
                <w:sz w:val="21"/>
                <w:szCs w:val="21"/>
                <w:highlight w:val="none"/>
              </w:rPr>
            </w:pPr>
            <w:r>
              <w:rPr>
                <w:rFonts w:hint="eastAsia" w:ascii="宋体" w:hAnsi="宋体"/>
                <w:color w:val="auto"/>
                <w:sz w:val="21"/>
                <w:szCs w:val="21"/>
                <w:highlight w:val="none"/>
              </w:rPr>
              <w:t>支持第三方云存储服务，支持抓图同步、录像备份功能，支持Dropbox、Google Drive等多厂家云盘</w:t>
            </w:r>
          </w:p>
          <w:p>
            <w:pPr>
              <w:rPr>
                <w:rFonts w:ascii="宋体" w:hAnsi="宋体"/>
                <w:color w:val="auto"/>
                <w:sz w:val="21"/>
                <w:szCs w:val="21"/>
                <w:highlight w:val="none"/>
              </w:rPr>
            </w:pPr>
            <w:r>
              <w:rPr>
                <w:rFonts w:hint="eastAsia" w:ascii="宋体" w:hAnsi="宋体"/>
                <w:color w:val="auto"/>
                <w:sz w:val="21"/>
                <w:szCs w:val="21"/>
                <w:highlight w:val="none"/>
              </w:rPr>
              <w:t>内置VSS 云服务，支持P2P服务，实现浏览器、手机客户端(VSS Mobile)、PC客户端互联网访问，支持报警消息推送、邮件报警等</w:t>
            </w:r>
          </w:p>
          <w:p>
            <w:pPr>
              <w:rPr>
                <w:rFonts w:ascii="宋体" w:hAnsi="宋体"/>
                <w:color w:val="auto"/>
                <w:sz w:val="21"/>
                <w:szCs w:val="21"/>
                <w:highlight w:val="none"/>
              </w:rPr>
            </w:pPr>
            <w:r>
              <w:rPr>
                <w:rFonts w:hint="eastAsia" w:ascii="宋体" w:hAnsi="宋体"/>
                <w:color w:val="auto"/>
                <w:sz w:val="21"/>
                <w:szCs w:val="21"/>
                <w:highlight w:val="none"/>
              </w:rPr>
              <w:t>专业型、综合型数字录像设备,当设备探测到视频入侵报警和/或收到报警联动触发信号时,应能启动设备相应的通道进行联动记录。设备应能预录报警触发前≥5s的视(音)频</w:t>
            </w:r>
          </w:p>
          <w:p>
            <w:pPr>
              <w:rPr>
                <w:rFonts w:ascii="宋体" w:hAnsi="宋体"/>
                <w:color w:val="auto"/>
                <w:sz w:val="21"/>
                <w:szCs w:val="21"/>
                <w:highlight w:val="none"/>
              </w:rPr>
            </w:pPr>
            <w:r>
              <w:rPr>
                <w:rFonts w:hint="eastAsia" w:ascii="宋体" w:hAnsi="宋体"/>
                <w:color w:val="auto"/>
                <w:sz w:val="21"/>
                <w:szCs w:val="21"/>
                <w:highlight w:val="none"/>
              </w:rPr>
              <w:t>支持网络即插即用、 SMTP、SSL邮件报警</w:t>
            </w:r>
          </w:p>
          <w:p>
            <w:pPr>
              <w:rPr>
                <w:rFonts w:ascii="宋体" w:hAnsi="宋体"/>
                <w:color w:val="auto"/>
                <w:sz w:val="21"/>
                <w:szCs w:val="21"/>
                <w:highlight w:val="none"/>
              </w:rPr>
            </w:pPr>
            <w:r>
              <w:rPr>
                <w:rFonts w:hint="eastAsia" w:ascii="宋体" w:hAnsi="宋体"/>
                <w:color w:val="auto"/>
                <w:sz w:val="21"/>
                <w:szCs w:val="21"/>
                <w:highlight w:val="none"/>
              </w:rPr>
              <w:t>需具备3C认证报告，应具有报警联动的接口,能支持无源的开路和/或闭路信号接入,能实时响应并启动记录和输出联动信号。其报警响应时间、记录启动延时、报警前预录时间等应在产品标准中明确规定,并在产品技术文件中明示。</w:t>
            </w:r>
          </w:p>
        </w:tc>
      </w:tr>
    </w:tbl>
    <w:p>
      <w:pPr>
        <w:pStyle w:val="4"/>
        <w:rPr>
          <w:color w:val="auto"/>
          <w:highlight w:val="none"/>
        </w:rPr>
      </w:pPr>
      <w:r>
        <w:rPr>
          <w:rFonts w:hint="eastAsia"/>
          <w:color w:val="auto"/>
          <w:highlight w:val="none"/>
        </w:rPr>
        <w:t>消息推送系统</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监测平台告警信息推送至指定服务人员、执法人员、应急平台或主管领导， 车辆异常信息及周边应急信息推送至驾驶员。</w:t>
      </w:r>
    </w:p>
    <w:p>
      <w:pPr>
        <w:pStyle w:val="2"/>
        <w:rPr>
          <w:color w:val="auto"/>
          <w:highlight w:val="none"/>
        </w:rPr>
      </w:pPr>
      <w:r>
        <w:rPr>
          <w:rFonts w:hint="eastAsia"/>
          <w:color w:val="auto"/>
          <w:highlight w:val="none"/>
        </w:rPr>
        <w:t>应急联动</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按照平战结合的应急管理理念，基于应急一张图搭建可视化的应急响应系统，包括应急管理、应急预案、应急指挥、应急监测。日常应用主要实现应急资源、应急预案、应急案例的数字化、可视化、精细化管理。事故发生实现事故联合响应、图上资源分析、风险分析、事故影响分析，一键生成救援处置方案，辅助事故救援。</w:t>
      </w:r>
    </w:p>
    <w:p>
      <w:pPr>
        <w:pStyle w:val="3"/>
        <w:rPr>
          <w:color w:val="auto"/>
          <w:highlight w:val="none"/>
        </w:rPr>
      </w:pPr>
      <w:r>
        <w:rPr>
          <w:rFonts w:hint="eastAsia"/>
          <w:color w:val="auto"/>
          <w:highlight w:val="none"/>
        </w:rPr>
        <w:t>应急管理</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483"/>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0"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3"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0"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3"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应急库</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建立不同方面的资料信息库，包含风险源、危化品、应急物资、应急知识库、事故案例等，并支持对信息的增加、删除、编辑、查询。</w:t>
            </w:r>
          </w:p>
          <w:p>
            <w:pPr>
              <w:pStyle w:val="67"/>
              <w:rPr>
                <w:color w:val="auto"/>
                <w:highlight w:val="none"/>
              </w:rPr>
            </w:pPr>
            <w:r>
              <w:rPr>
                <w:rFonts w:hint="eastAsia"/>
                <w:color w:val="auto"/>
                <w:highlight w:val="none"/>
              </w:rPr>
              <w:t>1</w:t>
            </w:r>
            <w:r>
              <w:rPr>
                <w:rFonts w:hint="eastAsia" w:ascii="宋体" w:hAnsi="宋体"/>
                <w:color w:val="auto"/>
                <w:highlight w:val="none"/>
              </w:rPr>
              <w:t>）风险源：包括基础信息、化学物质、环境风险防范、应急处置救援资源、周边环境及保护目标、厂区图等。</w:t>
            </w:r>
          </w:p>
          <w:p>
            <w:pPr>
              <w:pStyle w:val="67"/>
              <w:rPr>
                <w:color w:val="auto"/>
                <w:highlight w:val="none"/>
              </w:rPr>
            </w:pPr>
            <w:r>
              <w:rPr>
                <w:rFonts w:hint="eastAsia"/>
                <w:color w:val="auto"/>
                <w:highlight w:val="none"/>
              </w:rPr>
              <w:t>2</w:t>
            </w:r>
            <w:r>
              <w:rPr>
                <w:rFonts w:hint="eastAsia" w:ascii="宋体" w:hAnsi="宋体"/>
                <w:color w:val="auto"/>
                <w:highlight w:val="none"/>
              </w:rPr>
              <w:t>）危化品：包括理化常数、环境影响、监测方法、环境标准、应急处置方法等。</w:t>
            </w:r>
            <w:r>
              <w:rPr>
                <w:color w:val="auto"/>
                <w:highlight w:val="none"/>
              </w:rPr>
              <w:t> </w:t>
            </w:r>
          </w:p>
          <w:p>
            <w:pPr>
              <w:pStyle w:val="67"/>
              <w:rPr>
                <w:color w:val="auto"/>
                <w:highlight w:val="none"/>
              </w:rPr>
            </w:pPr>
            <w:r>
              <w:rPr>
                <w:rFonts w:hint="eastAsia"/>
                <w:color w:val="auto"/>
                <w:highlight w:val="none"/>
              </w:rPr>
              <w:t>3</w:t>
            </w:r>
            <w:r>
              <w:rPr>
                <w:rFonts w:hint="eastAsia" w:ascii="宋体" w:hAnsi="宋体"/>
                <w:color w:val="auto"/>
                <w:highlight w:val="none"/>
              </w:rPr>
              <w:t>）应急物资：包括物资装备类型、物资名称、物资数据、所处仓库、联系人、联系电话等。</w:t>
            </w:r>
          </w:p>
          <w:p>
            <w:pPr>
              <w:pStyle w:val="67"/>
              <w:rPr>
                <w:color w:val="auto"/>
                <w:highlight w:val="none"/>
              </w:rPr>
            </w:pPr>
            <w:r>
              <w:rPr>
                <w:rFonts w:hint="eastAsia"/>
                <w:color w:val="auto"/>
                <w:highlight w:val="none"/>
              </w:rPr>
              <w:t xml:space="preserve"> 4</w:t>
            </w:r>
            <w:r>
              <w:rPr>
                <w:rFonts w:hint="eastAsia" w:ascii="宋体" w:hAnsi="宋体"/>
                <w:color w:val="auto"/>
                <w:highlight w:val="none"/>
              </w:rPr>
              <w:t>）应急知识库：包括应急处理处置技术、应急监测方法、政策法规、规范性文件、环保标准、突发环境事件预防知识等；</w:t>
            </w:r>
            <w:r>
              <w:rPr>
                <w:color w:val="auto"/>
                <w:highlight w:val="none"/>
              </w:rPr>
              <w:t> </w:t>
            </w:r>
          </w:p>
          <w:p>
            <w:pPr>
              <w:pStyle w:val="67"/>
              <w:rPr>
                <w:color w:val="auto"/>
                <w:highlight w:val="none"/>
              </w:rPr>
            </w:pPr>
            <w:r>
              <w:rPr>
                <w:rFonts w:hint="eastAsia"/>
                <w:color w:val="auto"/>
                <w:highlight w:val="none"/>
              </w:rPr>
              <w:t>5</w:t>
            </w:r>
            <w:r>
              <w:rPr>
                <w:rFonts w:hint="eastAsia" w:ascii="宋体" w:hAnsi="宋体"/>
                <w:color w:val="auto"/>
                <w:highlight w:val="none"/>
              </w:rPr>
              <w:t>）事故案例：，包括事故名称、事故类型、事故等级、事故时间、事故来源、所属区域、主要污染物、伤亡人数、转移人员、经济损失、事故地点、事故原因、对环境的影响、应急处置情况、事故总结信息等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0"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3"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应急资源</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对应急资源建立详细的资料信息库，包括应急人员、应急车辆、避难场所、单兵设施等，支持对应急资源信息的增加、删除、编辑、查询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0"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3"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应急专家</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应急专家库分国际级、省级、市级、后补专家，包括专家姓名、单位、职称、专业特长、联系方式、参与的应急案例等；支持对应急专家信息的增加、删除、编辑、查询。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0"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483"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应急机构</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应急机构分为处置机构、监测机构、联动机构、救援队伍，对组织机构的增加、删除、编辑、查询。</w:t>
            </w:r>
          </w:p>
        </w:tc>
      </w:tr>
    </w:tbl>
    <w:p>
      <w:pPr>
        <w:pStyle w:val="3"/>
        <w:rPr>
          <w:color w:val="auto"/>
          <w:szCs w:val="32"/>
          <w:highlight w:val="none"/>
        </w:rPr>
      </w:pPr>
      <w:r>
        <w:rPr>
          <w:rFonts w:hint="eastAsia"/>
          <w:color w:val="auto"/>
          <w:highlight w:val="none"/>
        </w:rPr>
        <w:t>应急预案</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应急预案分为政府预案、园区预案、企业预案；包括预案名称、编制或发布时间、编制或发布单位、预案内容等；支持对应急预案信息的增加、删除、编辑、查询。</w:t>
      </w:r>
    </w:p>
    <w:p>
      <w:pPr>
        <w:pStyle w:val="3"/>
        <w:rPr>
          <w:color w:val="auto"/>
          <w:highlight w:val="none"/>
        </w:rPr>
      </w:pPr>
      <w:r>
        <w:rPr>
          <w:rFonts w:hint="eastAsia"/>
          <w:color w:val="auto"/>
          <w:highlight w:val="none"/>
        </w:rPr>
        <w:t>应急指挥</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事件管理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1</w:t>
            </w:r>
            <w:r>
              <w:rPr>
                <w:rFonts w:hint="eastAsia" w:ascii="宋体" w:hAnsi="宋体"/>
                <w:color w:val="auto"/>
                <w:highlight w:val="none"/>
              </w:rPr>
              <w:t>、接报：对突发环境事件信息进行接警受理录入，包括事故名称、信息来源、事故地点、事故时间、事故类型、接报时间、污染物、事故描述等详细信息；</w:t>
            </w:r>
          </w:p>
          <w:p>
            <w:pPr>
              <w:pStyle w:val="67"/>
              <w:rPr>
                <w:color w:val="auto"/>
                <w:highlight w:val="none"/>
              </w:rPr>
            </w:pPr>
            <w:r>
              <w:rPr>
                <w:rFonts w:hint="eastAsia"/>
                <w:color w:val="auto"/>
                <w:highlight w:val="none"/>
              </w:rPr>
              <w:t>2</w:t>
            </w:r>
            <w:r>
              <w:rPr>
                <w:rFonts w:hint="eastAsia" w:ascii="宋体" w:hAnsi="宋体"/>
                <w:color w:val="auto"/>
                <w:highlight w:val="none"/>
              </w:rPr>
              <w:t>、初报：对事件初步核实处置情况进行上报，主要内容包括事故接报情况、事故基本核实情况、事故现场处置情况、下一步工作、最新进展情况等。</w:t>
            </w:r>
          </w:p>
          <w:p>
            <w:pPr>
              <w:pStyle w:val="67"/>
              <w:rPr>
                <w:color w:val="auto"/>
                <w:highlight w:val="none"/>
              </w:rPr>
            </w:pPr>
            <w:r>
              <w:rPr>
                <w:rFonts w:hint="eastAsia"/>
                <w:color w:val="auto"/>
                <w:highlight w:val="none"/>
              </w:rPr>
              <w:t>3</w:t>
            </w:r>
            <w:r>
              <w:rPr>
                <w:rFonts w:hint="eastAsia" w:ascii="宋体" w:hAnsi="宋体"/>
                <w:color w:val="auto"/>
                <w:highlight w:val="none"/>
              </w:rPr>
              <w:t>、续报：在初报的基础上适时对事件后续进展情况进行上报，主要内容包括事故基本情况、后续处置情况、现场监测情况、下一步工作、最新进展情况等。</w:t>
            </w:r>
          </w:p>
          <w:p>
            <w:pPr>
              <w:pStyle w:val="67"/>
              <w:rPr>
                <w:color w:val="auto"/>
                <w:highlight w:val="none"/>
              </w:rPr>
            </w:pPr>
            <w:r>
              <w:rPr>
                <w:rFonts w:hint="eastAsia"/>
                <w:color w:val="auto"/>
                <w:highlight w:val="none"/>
              </w:rPr>
              <w:t>4</w:t>
            </w:r>
            <w:r>
              <w:rPr>
                <w:rFonts w:hint="eastAsia" w:ascii="宋体" w:hAnsi="宋体"/>
                <w:color w:val="auto"/>
                <w:highlight w:val="none"/>
              </w:rPr>
              <w:t>、终报：在应急终止后对事故结果和处置完毕后对周边环境的影响情况进行上报。</w:t>
            </w:r>
          </w:p>
          <w:p>
            <w:pPr>
              <w:pStyle w:val="67"/>
              <w:rPr>
                <w:color w:val="auto"/>
                <w:highlight w:val="none"/>
              </w:rPr>
            </w:pPr>
            <w:r>
              <w:rPr>
                <w:rFonts w:hint="eastAsia"/>
                <w:color w:val="auto"/>
                <w:highlight w:val="none"/>
              </w:rPr>
              <w:t>5</w:t>
            </w:r>
            <w:r>
              <w:rPr>
                <w:rFonts w:hint="eastAsia" w:ascii="宋体" w:hAnsi="宋体"/>
                <w:color w:val="auto"/>
                <w:highlight w:val="none"/>
              </w:rPr>
              <w:t>、事件箱：事件箱记录保存所有事件档案，可查看事件信息列表，包括事件编号、事故名称、事故时间、事故类型、信息来源、接报途径、污染类型、事故状态（已接报、已初报、应急终止、已终报、总结归档完成）、相关附件（初报文档、续报文档、终报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处置指挥</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1</w:t>
            </w:r>
            <w:r>
              <w:rPr>
                <w:rFonts w:hint="eastAsia" w:ascii="宋体" w:hAnsi="宋体"/>
                <w:color w:val="auto"/>
                <w:highlight w:val="none"/>
              </w:rPr>
              <w:t>、事件加载：统自动加载需要指挥处置的事件列表信息，指挥员选择相应事件后，系统自动加载事件的信息，并在事件基本信息看板中显示。</w:t>
            </w:r>
          </w:p>
          <w:p>
            <w:pPr>
              <w:pStyle w:val="67"/>
              <w:rPr>
                <w:color w:val="auto"/>
                <w:highlight w:val="none"/>
              </w:rPr>
            </w:pPr>
            <w:r>
              <w:rPr>
                <w:rFonts w:hint="eastAsia"/>
                <w:color w:val="auto"/>
                <w:highlight w:val="none"/>
              </w:rPr>
              <w:t>2</w:t>
            </w:r>
            <w:r>
              <w:rPr>
                <w:rFonts w:hint="eastAsia" w:ascii="宋体" w:hAnsi="宋体"/>
                <w:color w:val="auto"/>
                <w:highlight w:val="none"/>
              </w:rPr>
              <w:t>、预案加载：系统根据事件信息与指挥员信息自动加载可执行的预案列表信息，指挥员选择相应预案后，系统自动加载预案中的组织结构信息与相应的资源信息。</w:t>
            </w:r>
          </w:p>
          <w:p>
            <w:pPr>
              <w:pStyle w:val="67"/>
              <w:rPr>
                <w:color w:val="auto"/>
                <w:highlight w:val="none"/>
              </w:rPr>
            </w:pPr>
            <w:r>
              <w:rPr>
                <w:rFonts w:hint="eastAsia"/>
                <w:color w:val="auto"/>
                <w:highlight w:val="none"/>
              </w:rPr>
              <w:t>3</w:t>
            </w:r>
            <w:r>
              <w:rPr>
                <w:rFonts w:hint="eastAsia" w:ascii="宋体" w:hAnsi="宋体"/>
                <w:color w:val="auto"/>
                <w:highlight w:val="none"/>
              </w:rPr>
              <w:t>、基本信息看板和信息推送：显示当前处置事件的基本情况，包括：事件发生时间、已持续时长、发生地点、事件性质、主要污染物及数量、污染源、事件起因及系统推荐的相关参考信息提醒（如相关案例）等</w:t>
            </w:r>
          </w:p>
          <w:p>
            <w:pPr>
              <w:pStyle w:val="67"/>
              <w:rPr>
                <w:color w:val="auto"/>
                <w:highlight w:val="none"/>
              </w:rPr>
            </w:pPr>
            <w:r>
              <w:rPr>
                <w:rFonts w:hint="eastAsia"/>
                <w:color w:val="auto"/>
                <w:highlight w:val="none"/>
              </w:rPr>
              <w:t>4</w:t>
            </w:r>
            <w:r>
              <w:rPr>
                <w:rFonts w:hint="eastAsia" w:ascii="宋体" w:hAnsi="宋体"/>
                <w:color w:val="auto"/>
                <w:highlight w:val="none"/>
              </w:rPr>
              <w:t>、应急成员信息看板和通信调度：显示当前应急预案的相关应急成员，包括应急角色、姓名、职务、单位等；可与应急成员联系，快速便捷地进行调度指挥。</w:t>
            </w:r>
          </w:p>
          <w:p>
            <w:pPr>
              <w:pStyle w:val="67"/>
              <w:rPr>
                <w:color w:val="auto"/>
                <w:highlight w:val="none"/>
              </w:rPr>
            </w:pPr>
            <w:r>
              <w:rPr>
                <w:rFonts w:hint="eastAsia"/>
                <w:color w:val="auto"/>
                <w:highlight w:val="none"/>
              </w:rPr>
              <w:t>5</w:t>
            </w:r>
            <w:r>
              <w:rPr>
                <w:rFonts w:hint="eastAsia" w:ascii="宋体" w:hAnsi="宋体"/>
                <w:color w:val="auto"/>
                <w:highlight w:val="none"/>
              </w:rPr>
              <w:t>、应急监测信息看板：反映整体污染情况，使指挥员对污染程度有客观准确地判定。</w:t>
            </w:r>
          </w:p>
          <w:p>
            <w:pPr>
              <w:pStyle w:val="67"/>
              <w:rPr>
                <w:color w:val="auto"/>
                <w:highlight w:val="none"/>
              </w:rPr>
            </w:pPr>
            <w:r>
              <w:rPr>
                <w:rFonts w:hint="eastAsia"/>
                <w:color w:val="auto"/>
                <w:highlight w:val="none"/>
              </w:rPr>
              <w:t>6</w:t>
            </w:r>
            <w:r>
              <w:rPr>
                <w:rFonts w:hint="eastAsia" w:ascii="宋体" w:hAnsi="宋体"/>
                <w:color w:val="auto"/>
                <w:highlight w:val="none"/>
              </w:rPr>
              <w:t>、气象数据接入：系统支持气象数据接入，包括天气、温度、风向等因素，为判断污染扩散以及制定救援方案提供决策辅助</w:t>
            </w:r>
          </w:p>
          <w:p>
            <w:pPr>
              <w:pStyle w:val="67"/>
              <w:rPr>
                <w:color w:val="auto"/>
                <w:highlight w:val="none"/>
              </w:rPr>
            </w:pPr>
            <w:r>
              <w:rPr>
                <w:rFonts w:hint="eastAsia"/>
                <w:color w:val="auto"/>
                <w:highlight w:val="none"/>
              </w:rPr>
              <w:t>7</w:t>
            </w:r>
            <w:r>
              <w:rPr>
                <w:rFonts w:hint="eastAsia" w:ascii="宋体" w:hAnsi="宋体"/>
                <w:color w:val="auto"/>
                <w:highlight w:val="none"/>
              </w:rPr>
              <w:t>、资源一张图：专题资源查询和调度基于电子地图，根据指定的专题类型对相关资源进行查询和调度。</w:t>
            </w:r>
          </w:p>
          <w:p>
            <w:pPr>
              <w:pStyle w:val="67"/>
              <w:rPr>
                <w:color w:val="auto"/>
                <w:highlight w:val="none"/>
              </w:rPr>
            </w:pPr>
            <w:r>
              <w:rPr>
                <w:rFonts w:hint="eastAsia"/>
                <w:color w:val="auto"/>
                <w:highlight w:val="none"/>
              </w:rPr>
              <w:t>8</w:t>
            </w:r>
            <w:r>
              <w:rPr>
                <w:rFonts w:hint="eastAsia" w:ascii="宋体" w:hAnsi="宋体"/>
                <w:color w:val="auto"/>
                <w:highlight w:val="none"/>
              </w:rPr>
              <w:t>、地图标绘：系统提供电子地图的标绘和编辑功能，根据应急指挥需要方便地编辑各种方案，如</w:t>
            </w:r>
            <w:r>
              <w:rPr>
                <w:rFonts w:hint="eastAsia" w:cs="Calibri"/>
                <w:color w:val="auto"/>
                <w:highlight w:val="none"/>
              </w:rPr>
              <w:t>:</w:t>
            </w:r>
            <w:r>
              <w:rPr>
                <w:rFonts w:hint="eastAsia" w:ascii="宋体" w:hAnsi="宋体"/>
                <w:color w:val="auto"/>
                <w:highlight w:val="none"/>
              </w:rPr>
              <w:t>态势图、配置图、战术图等，并可在处警或指挥过程中显示和执行。</w:t>
            </w:r>
          </w:p>
          <w:p>
            <w:pPr>
              <w:pStyle w:val="67"/>
              <w:rPr>
                <w:color w:val="auto"/>
                <w:highlight w:val="none"/>
              </w:rPr>
            </w:pPr>
            <w:r>
              <w:rPr>
                <w:rFonts w:hint="eastAsia"/>
                <w:color w:val="auto"/>
                <w:highlight w:val="none"/>
              </w:rPr>
              <w:t>9</w:t>
            </w:r>
            <w:r>
              <w:rPr>
                <w:rFonts w:hint="eastAsia" w:ascii="宋体" w:hAnsi="宋体"/>
                <w:color w:val="auto"/>
                <w:highlight w:val="none"/>
              </w:rPr>
              <w:t>、模型分析：基于电子地图，根据事故源污染物泄漏情况、事故现场及周边的地理特征、气象情况，借助大气污染扩散模型对环境污染扩散进行模拟预测分析。</w:t>
            </w:r>
          </w:p>
          <w:p>
            <w:pPr>
              <w:pStyle w:val="67"/>
              <w:rPr>
                <w:color w:val="auto"/>
                <w:highlight w:val="none"/>
              </w:rPr>
            </w:pPr>
            <w:r>
              <w:rPr>
                <w:rFonts w:hint="eastAsia"/>
                <w:color w:val="auto"/>
                <w:highlight w:val="none"/>
              </w:rPr>
              <w:t>10</w:t>
            </w:r>
            <w:r>
              <w:rPr>
                <w:rFonts w:hint="eastAsia" w:ascii="宋体" w:hAnsi="宋体"/>
                <w:color w:val="auto"/>
                <w:highlight w:val="none"/>
              </w:rPr>
              <w:t>、事件纪要：对事件的进展情况、发展态势以及指挥部对应急处置的重大问题讨论、行动决议等进行记录</w:t>
            </w:r>
          </w:p>
          <w:p>
            <w:pPr>
              <w:pStyle w:val="67"/>
              <w:rPr>
                <w:color w:val="auto"/>
                <w:highlight w:val="none"/>
              </w:rPr>
            </w:pPr>
            <w:r>
              <w:rPr>
                <w:rFonts w:hint="eastAsia"/>
                <w:color w:val="auto"/>
                <w:highlight w:val="none"/>
              </w:rPr>
              <w:t>11</w:t>
            </w:r>
            <w:r>
              <w:rPr>
                <w:rFonts w:hint="eastAsia" w:ascii="宋体" w:hAnsi="宋体"/>
                <w:color w:val="auto"/>
                <w:highlight w:val="none"/>
              </w:rPr>
              <w:t>、事件报送：应急处置过程中，需及时将事故信息、处置情况、下一步措施等按照规范化的格式上报给上级和相关单位。</w:t>
            </w:r>
          </w:p>
        </w:tc>
      </w:tr>
    </w:tbl>
    <w:p>
      <w:pPr>
        <w:pStyle w:val="3"/>
        <w:rPr>
          <w:color w:val="auto"/>
          <w:szCs w:val="32"/>
          <w:highlight w:val="none"/>
        </w:rPr>
      </w:pPr>
      <w:r>
        <w:rPr>
          <w:rFonts w:hint="eastAsia"/>
          <w:color w:val="auto"/>
          <w:highlight w:val="none"/>
        </w:rPr>
        <w:t>应急监测</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监测数据上报在事故现场及时将采集的样品数据或者采集分析得出的污染物浓度数据输入到系统中。</w:t>
      </w:r>
    </w:p>
    <w:p>
      <w:pPr>
        <w:pStyle w:val="3"/>
        <w:rPr>
          <w:color w:val="auto"/>
          <w:highlight w:val="none"/>
        </w:rPr>
      </w:pPr>
      <w:r>
        <w:rPr>
          <w:rFonts w:hint="eastAsia"/>
          <w:color w:val="auto"/>
          <w:highlight w:val="none"/>
        </w:rPr>
        <w:t>移动端A</w:t>
      </w:r>
      <w:r>
        <w:rPr>
          <w:color w:val="auto"/>
          <w:highlight w:val="none"/>
        </w:rPr>
        <w:t>PP</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信息看板</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应支持查看</w:t>
            </w:r>
            <w:r>
              <w:rPr>
                <w:rFonts w:hint="eastAsia" w:ascii="宋体" w:hAnsi="宋体"/>
                <w:color w:val="auto"/>
                <w:highlight w:val="none"/>
              </w:rPr>
              <w:t>最新事件列表及地图分布、应急资源目录与数量、历年应急事件统计以及系统功能菜单。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应急资源查询</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应急资源查询应支持对风险源信息、危险品信息、组织机构、应急资源、应急预案、应急专家、事故案例、应急知识库的快速查询。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监测上报</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ascii="宋体" w:hAnsi="宋体"/>
                <w:color w:val="auto"/>
                <w:highlight w:val="none"/>
              </w:rPr>
              <w:t>监测数据上报应支持，在事故现场及时将采集的样品数据或者采集分析得出的污染物浓度数据输入到系统中，并通过无线网络实时同步到环境应急指挥中心。</w:t>
            </w:r>
          </w:p>
        </w:tc>
      </w:tr>
    </w:tbl>
    <w:p>
      <w:pPr>
        <w:pStyle w:val="3"/>
        <w:rPr>
          <w:color w:val="auto"/>
          <w:szCs w:val="32"/>
          <w:highlight w:val="none"/>
        </w:rPr>
      </w:pPr>
      <w:r>
        <w:rPr>
          <w:rFonts w:hint="eastAsia"/>
          <w:color w:val="auto"/>
          <w:highlight w:val="none"/>
        </w:rPr>
        <w:t>智慧党建</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智慧党建平台的建设内容概括为：数据+平台+终端。</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数据：梳理各级党员、流动党员、党组织等数据的标准信息，通过数据清洗进行建档立卡以及数据关联，并对这些信息能够维护更新，同时也能为组织部提供新增党员及党组织时的审核功能，满足其日常工作的需求，数据是平台运行的保障，规范化、标准化的数据体系是平台可持续发展的基础。</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平台：支持面向公众、党员、党组织的不同角色的应用，功能包括：信息宣传、文件查看、在线学习、组织活动、党务服务、统计分析、在线互动以及运维管理等等。构建一网延伸、多元参与的格局。</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移动端：面向广大党员提供移动办公工具，主要功能包括：党建信息、党群联系、党员空间（积分排名、组织活动、在线学习、查看比学、选拔任用、在线反馈、党员论坛、个人资料、党费缴纳、通讯录）；面向广大领导用户提供大屏展示系统，可全局掌握党建工作进展情况。</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453"/>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b/>
                <w:bCs/>
                <w:color w:val="auto"/>
                <w:highlight w:val="none"/>
              </w:rPr>
            </w:pPr>
            <w:r>
              <w:rPr>
                <w:rFonts w:hint="eastAsia" w:ascii="宋体" w:hAnsi="宋体"/>
                <w:b/>
                <w:bCs/>
                <w:color w:val="auto"/>
                <w:highlight w:val="none"/>
              </w:rPr>
              <w:t>序号</w:t>
            </w:r>
          </w:p>
        </w:tc>
        <w:tc>
          <w:tcPr>
            <w:tcW w:w="2453" w:type="dxa"/>
            <w:tcBorders>
              <w:top w:val="single" w:color="auto" w:sz="4" w:space="0"/>
              <w:left w:val="nil"/>
              <w:bottom w:val="single" w:color="auto" w:sz="4" w:space="0"/>
              <w:right w:val="single" w:color="auto" w:sz="4" w:space="0"/>
            </w:tcBorders>
          </w:tcPr>
          <w:p>
            <w:pPr>
              <w:pStyle w:val="67"/>
              <w:jc w:val="center"/>
              <w:rPr>
                <w:rFonts w:ascii="宋体" w:hAnsi="宋体"/>
                <w:b/>
                <w:bCs/>
                <w:color w:val="auto"/>
                <w:highlight w:val="none"/>
              </w:rPr>
            </w:pPr>
            <w:r>
              <w:rPr>
                <w:rFonts w:hint="eastAsia" w:ascii="宋体" w:hAnsi="宋体"/>
                <w:b/>
                <w:bCs/>
                <w:color w:val="auto"/>
                <w:highlight w:val="none"/>
              </w:rPr>
              <w:t>内容</w:t>
            </w:r>
          </w:p>
        </w:tc>
        <w:tc>
          <w:tcPr>
            <w:tcW w:w="6441" w:type="dxa"/>
            <w:tcBorders>
              <w:top w:val="single" w:color="auto" w:sz="4" w:space="0"/>
              <w:left w:val="nil"/>
              <w:bottom w:val="single" w:color="auto" w:sz="4" w:space="0"/>
              <w:right w:val="single" w:color="auto" w:sz="4" w:space="0"/>
            </w:tcBorders>
          </w:tcPr>
          <w:p>
            <w:pPr>
              <w:pStyle w:val="67"/>
              <w:jc w:val="center"/>
              <w:rPr>
                <w:rFonts w:ascii="宋体" w:hAnsi="宋体"/>
                <w:b/>
                <w:bCs/>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1</w:t>
            </w:r>
          </w:p>
        </w:tc>
        <w:tc>
          <w:tcPr>
            <w:tcW w:w="245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公众服务门户网站</w:t>
            </w:r>
          </w:p>
        </w:tc>
        <w:tc>
          <w:tcPr>
            <w:tcW w:w="644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为公众提供党务服务/政策宣传、信息传播、工作公开透明等。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2</w:t>
            </w:r>
          </w:p>
        </w:tc>
        <w:tc>
          <w:tcPr>
            <w:tcW w:w="245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党员服务子系统</w:t>
            </w:r>
          </w:p>
        </w:tc>
        <w:tc>
          <w:tcPr>
            <w:tcW w:w="644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为广大党员用户提供的一站式、一键式的服务平台。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3</w:t>
            </w:r>
          </w:p>
        </w:tc>
        <w:tc>
          <w:tcPr>
            <w:tcW w:w="245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党建工作子管理系统</w:t>
            </w:r>
          </w:p>
        </w:tc>
        <w:tc>
          <w:tcPr>
            <w:tcW w:w="644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面向各级党组织用户的使用，为党建日常工作提供信息化办公平台，避免以往的纸质模式。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4</w:t>
            </w:r>
          </w:p>
        </w:tc>
        <w:tc>
          <w:tcPr>
            <w:tcW w:w="245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终端建设</w:t>
            </w:r>
          </w:p>
        </w:tc>
        <w:tc>
          <w:tcPr>
            <w:tcW w:w="6441" w:type="dxa"/>
            <w:tcBorders>
              <w:top w:val="single" w:color="auto" w:sz="4" w:space="0"/>
              <w:left w:val="nil"/>
              <w:bottom w:val="single" w:color="auto" w:sz="4" w:space="0"/>
              <w:right w:val="single" w:color="auto" w:sz="4" w:space="0"/>
            </w:tcBorders>
            <w:vAlign w:val="center"/>
          </w:tcPr>
          <w:p>
            <w:pPr>
              <w:pStyle w:val="67"/>
              <w:numPr>
                <w:ilvl w:val="0"/>
                <w:numId w:val="5"/>
              </w:numPr>
              <w:rPr>
                <w:rFonts w:ascii="宋体" w:hAnsi="宋体"/>
                <w:color w:val="auto"/>
                <w:highlight w:val="none"/>
              </w:rPr>
            </w:pPr>
            <w:r>
              <w:rPr>
                <w:rFonts w:hint="eastAsia" w:ascii="宋体" w:hAnsi="宋体"/>
                <w:color w:val="auto"/>
                <w:highlight w:val="none"/>
              </w:rPr>
              <w:t>党务通（微信版）：建设智慧党建微信客户端作为党员的专业微信服务门户。</w:t>
            </w:r>
          </w:p>
          <w:p>
            <w:pPr>
              <w:pStyle w:val="67"/>
              <w:numPr>
                <w:ilvl w:val="0"/>
                <w:numId w:val="5"/>
              </w:numPr>
              <w:rPr>
                <w:rFonts w:ascii="宋体" w:hAnsi="宋体"/>
                <w:color w:val="auto"/>
                <w:highlight w:val="none"/>
              </w:rPr>
            </w:pPr>
            <w:r>
              <w:rPr>
                <w:rFonts w:hint="eastAsia" w:ascii="宋体" w:hAnsi="宋体"/>
                <w:color w:val="auto"/>
                <w:highlight w:val="none"/>
              </w:rPr>
              <w:t>党建大屏：为领导用户提供的党建大屏系统，展示党建工作的动态，辅助领导科学决策。</w:t>
            </w:r>
          </w:p>
        </w:tc>
      </w:tr>
    </w:tbl>
    <w:p>
      <w:pPr>
        <w:pStyle w:val="2"/>
        <w:rPr>
          <w:color w:val="auto"/>
          <w:highlight w:val="none"/>
        </w:rPr>
      </w:pPr>
      <w:r>
        <w:rPr>
          <w:rFonts w:hint="eastAsia"/>
          <w:color w:val="auto"/>
          <w:highlight w:val="none"/>
        </w:rPr>
        <w:t>公共监管</w:t>
      </w:r>
    </w:p>
    <w:p>
      <w:pPr>
        <w:pStyle w:val="3"/>
        <w:rPr>
          <w:color w:val="auto"/>
          <w:highlight w:val="none"/>
        </w:rPr>
      </w:pPr>
      <w:r>
        <w:rPr>
          <w:rFonts w:hint="eastAsia"/>
          <w:color w:val="auto"/>
          <w:highlight w:val="none"/>
        </w:rPr>
        <w:t>基础支撑</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系统配置</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维护一体化平台监测监控相关的基础信息，包括大气环境监测（监测点位、区域、监测因子、监测设备、计量单位、报警限值及空气质量标准等）、污染源监控（企业管理、废气排口等）以及其他配置。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基础信息</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包含基础信息（污染物分类、行政区划等）、信息代码、企业资源管理、企业菜单配置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权限管理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包含组织机构、权限管理。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数据采集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包含实时数据管理、原始数据查询、实时数据接入向导、服务控制管理、业务关联管理</w:t>
            </w:r>
          </w:p>
        </w:tc>
      </w:tr>
    </w:tbl>
    <w:p>
      <w:pPr>
        <w:pStyle w:val="3"/>
        <w:rPr>
          <w:color w:val="auto"/>
          <w:highlight w:val="none"/>
        </w:rPr>
      </w:pPr>
      <w:r>
        <w:rPr>
          <w:rFonts w:hint="eastAsia"/>
          <w:color w:val="auto"/>
          <w:highlight w:val="none"/>
        </w:rPr>
        <w:t>数据集成对接平台</w:t>
      </w:r>
    </w:p>
    <w:p>
      <w:pPr>
        <w:pStyle w:val="4"/>
        <w:rPr>
          <w:color w:val="auto"/>
          <w:highlight w:val="none"/>
        </w:rPr>
      </w:pPr>
      <w:r>
        <w:rPr>
          <w:rFonts w:hint="eastAsia"/>
          <w:color w:val="auto"/>
          <w:highlight w:val="none"/>
        </w:rPr>
        <w:t>监控数据采集传输系统</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接入管理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实时查看当前数据接入情况，并可查看监测点位原始报文，实现数据转发。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转发管理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实时查看当前数据接入情况，包括：接入协议、接收端口、数据类型、MN号、上传IP、上传端口、接入时间、当前状态等。同时可以查看监测点位原始报文。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数据查询</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实现数据转发，转发内容包括：接入数据类型、MN号、转发IP、转发端口、转发协议等。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数据接入</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可视化界面流程，实现数据向导式配置，配置类型包括：类型配置、协议配置、存储配置，配置完成执行存储数据库创建工作。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5</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类型配置</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实时数据接入向导配置基础，包括接入数据类型名称和接入数据类型编码。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6</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协议配置</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使用配置文件，配置接入协议，包括接入数据类型名称、接入数据类型编码、接入协议ID、接入协议名称、接入协议端口。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7</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存储配置</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数据存储配置，根据输入的数据类型名称和实时数据库名称，进行数据分表。配置成功后，显示接入数据类型、实时数据库名称、驱动、数据库地址、用户名及密码。</w:t>
            </w:r>
          </w:p>
        </w:tc>
      </w:tr>
    </w:tbl>
    <w:p>
      <w:pPr>
        <w:pStyle w:val="4"/>
        <w:rPr>
          <w:color w:val="auto"/>
          <w:highlight w:val="none"/>
        </w:rPr>
      </w:pPr>
      <w:r>
        <w:rPr>
          <w:rFonts w:hint="eastAsia"/>
          <w:color w:val="auto"/>
          <w:highlight w:val="none"/>
        </w:rPr>
        <w:t>与已有软件系统的集成</w:t>
      </w:r>
    </w:p>
    <w:p>
      <w:pPr>
        <w:spacing w:line="360" w:lineRule="auto"/>
        <w:ind w:firstLine="480"/>
        <w:rPr>
          <w:rFonts w:ascii="宋体" w:hAnsi="宋体"/>
          <w:color w:val="auto"/>
          <w:sz w:val="24"/>
          <w:szCs w:val="24"/>
          <w:highlight w:val="none"/>
        </w:rPr>
      </w:pPr>
      <w:r>
        <w:rPr>
          <w:rFonts w:ascii="宋体" w:hAnsi="宋体"/>
          <w:color w:val="auto"/>
          <w:sz w:val="24"/>
          <w:szCs w:val="24"/>
          <w:highlight w:val="none"/>
        </w:rPr>
        <w:t>园区目前已有的软件系统如下</w:t>
      </w:r>
      <w:r>
        <w:rPr>
          <w:rFonts w:hint="eastAsia" w:ascii="宋体" w:hAnsi="宋体"/>
          <w:color w:val="auto"/>
          <w:sz w:val="24"/>
          <w:szCs w:val="24"/>
          <w:highlight w:val="none"/>
        </w:rPr>
        <w:t>：</w:t>
      </w:r>
    </w:p>
    <w:p>
      <w:pPr>
        <w:spacing w:line="360" w:lineRule="auto"/>
        <w:ind w:firstLine="480"/>
        <w:rPr>
          <w:rFonts w:ascii="宋体" w:hAnsi="宋体"/>
          <w:color w:val="auto"/>
          <w:sz w:val="24"/>
          <w:szCs w:val="24"/>
          <w:highlight w:val="none"/>
        </w:rPr>
      </w:pPr>
      <w:r>
        <w:rPr>
          <w:rFonts w:ascii="宋体" w:hAnsi="宋体"/>
          <w:color w:val="auto"/>
          <w:sz w:val="24"/>
          <w:szCs w:val="24"/>
          <w:highlight w:val="none"/>
        </w:rPr>
        <w:t>鄂尔多斯市重点污染源环保平台、准格尔旗智慧安监平台、园区视频监控系统平台、园区生产企业生产自动化系统等。</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514"/>
        <w:gridCol w:w="1184"/>
        <w:gridCol w:w="1731"/>
        <w:gridCol w:w="1344"/>
        <w:gridCol w:w="200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1"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序号</w:t>
            </w:r>
          </w:p>
        </w:tc>
        <w:tc>
          <w:tcPr>
            <w:tcW w:w="1514"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系统名称</w:t>
            </w:r>
          </w:p>
        </w:tc>
        <w:tc>
          <w:tcPr>
            <w:tcW w:w="1184"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使用科室</w:t>
            </w:r>
          </w:p>
        </w:tc>
        <w:tc>
          <w:tcPr>
            <w:tcW w:w="1731"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主要用途</w:t>
            </w:r>
          </w:p>
        </w:tc>
        <w:tc>
          <w:tcPr>
            <w:tcW w:w="1344"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来源</w:t>
            </w:r>
          </w:p>
        </w:tc>
        <w:tc>
          <w:tcPr>
            <w:tcW w:w="2005" w:type="dxa"/>
            <w:shd w:val="clear" w:color="auto" w:fill="auto"/>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集成需求</w:t>
            </w:r>
          </w:p>
        </w:tc>
        <w:tc>
          <w:tcPr>
            <w:tcW w:w="1069" w:type="dxa"/>
            <w:vAlign w:val="center"/>
          </w:tcPr>
          <w:p>
            <w:pPr>
              <w:pStyle w:val="67"/>
              <w:jc w:val="center"/>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28" w:type="dxa"/>
            <w:gridSpan w:val="7"/>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环保平台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1</w:t>
            </w:r>
          </w:p>
        </w:tc>
        <w:tc>
          <w:tcPr>
            <w:tcW w:w="151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重点污染源自动监控与基础数据库系统V3.2</w:t>
            </w:r>
          </w:p>
        </w:tc>
        <w:tc>
          <w:tcPr>
            <w:tcW w:w="118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环保局</w:t>
            </w:r>
          </w:p>
        </w:tc>
        <w:tc>
          <w:tcPr>
            <w:tcW w:w="173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查看园区各企业废气、废水的污染排放情况，并作统计报表，统计分析等功能</w:t>
            </w:r>
          </w:p>
        </w:tc>
        <w:tc>
          <w:tcPr>
            <w:tcW w:w="134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鄂尔多斯市发，园区通过内网地址登陆</w:t>
            </w:r>
          </w:p>
        </w:tc>
        <w:tc>
          <w:tcPr>
            <w:tcW w:w="2005"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最大程度利用原有平台的数据和功能；</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为新增溯源系统提供数据</w:t>
            </w:r>
          </w:p>
        </w:tc>
        <w:tc>
          <w:tcPr>
            <w:tcW w:w="1069" w:type="dxa"/>
            <w:vAlign w:val="center"/>
          </w:tcPr>
          <w:p>
            <w:pPr>
              <w:pStyle w:val="67"/>
              <w:rPr>
                <w:rFonts w:ascii="Times New Roman" w:hAnsi="Times New Roman" w:cs="Times New Roman"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2</w:t>
            </w:r>
          </w:p>
        </w:tc>
        <w:tc>
          <w:tcPr>
            <w:tcW w:w="151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空气站数据系统</w:t>
            </w:r>
          </w:p>
        </w:tc>
        <w:tc>
          <w:tcPr>
            <w:tcW w:w="118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环保局</w:t>
            </w:r>
          </w:p>
        </w:tc>
        <w:tc>
          <w:tcPr>
            <w:tcW w:w="173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查看园区管委会楼顶常规6参数站的数据</w:t>
            </w:r>
          </w:p>
        </w:tc>
        <w:tc>
          <w:tcPr>
            <w:tcW w:w="134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鄂尔多斯市发，园区通过内网地址登陆</w:t>
            </w:r>
          </w:p>
        </w:tc>
        <w:tc>
          <w:tcPr>
            <w:tcW w:w="2005"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最大程度利用原有平台的数据和功能；</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为新增溯源系统提供数据</w:t>
            </w:r>
          </w:p>
        </w:tc>
        <w:tc>
          <w:tcPr>
            <w:tcW w:w="1069" w:type="dxa"/>
            <w:vAlign w:val="center"/>
          </w:tcPr>
          <w:p>
            <w:pPr>
              <w:pStyle w:val="67"/>
              <w:rPr>
                <w:rFonts w:ascii="Times New Roman" w:hAnsi="Times New Roman" w:cs="Times New Roman"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28" w:type="dxa"/>
            <w:gridSpan w:val="7"/>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安监平台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3</w:t>
            </w:r>
          </w:p>
        </w:tc>
        <w:tc>
          <w:tcPr>
            <w:tcW w:w="151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安全生产信息化监管平台</w:t>
            </w:r>
          </w:p>
        </w:tc>
        <w:tc>
          <w:tcPr>
            <w:tcW w:w="1184"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安监局</w:t>
            </w:r>
          </w:p>
        </w:tc>
        <w:tc>
          <w:tcPr>
            <w:tcW w:w="1731"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主要包括一企一档、监察执法、隐患排查、危险源管控、应急救援、在线备查、调度管理、查询统计等</w:t>
            </w:r>
          </w:p>
        </w:tc>
        <w:tc>
          <w:tcPr>
            <w:tcW w:w="1344" w:type="dxa"/>
            <w:shd w:val="clear" w:color="auto" w:fill="auto"/>
            <w:vAlign w:val="center"/>
          </w:tcPr>
          <w:p>
            <w:pPr>
              <w:pStyle w:val="67"/>
              <w:rPr>
                <w:rFonts w:ascii="Times New Roman" w:hAnsi="Times New Roman" w:cs="Times New Roman" w:eastAsiaTheme="majorEastAsia"/>
                <w:color w:val="auto"/>
                <w:highlight w:val="none"/>
              </w:rPr>
            </w:pPr>
            <w:r>
              <w:rPr>
                <w:rFonts w:hint="eastAsia" w:ascii="Times New Roman" w:hAnsi="Times New Roman" w:cs="Times New Roman" w:eastAsiaTheme="majorEastAsia"/>
                <w:color w:val="auto"/>
                <w:highlight w:val="none"/>
              </w:rPr>
              <w:t>准格尔</w:t>
            </w:r>
            <w:r>
              <w:rPr>
                <w:rFonts w:ascii="Times New Roman" w:hAnsi="Times New Roman" w:cs="Times New Roman" w:eastAsiaTheme="majorEastAsia"/>
                <w:color w:val="auto"/>
                <w:highlight w:val="none"/>
              </w:rPr>
              <w:t>旗建设，园区通过内网地址登陆</w:t>
            </w:r>
          </w:p>
        </w:tc>
        <w:tc>
          <w:tcPr>
            <w:tcW w:w="2005" w:type="dxa"/>
            <w:shd w:val="clear" w:color="auto" w:fill="auto"/>
            <w:vAlign w:val="center"/>
          </w:tcPr>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最大程度利用原有平台的数据和功能；</w:t>
            </w:r>
          </w:p>
          <w:p>
            <w:pPr>
              <w:pStyle w:val="67"/>
              <w:rPr>
                <w:rFonts w:ascii="Times New Roman" w:hAnsi="Times New Roman" w:cs="Times New Roman" w:eastAsiaTheme="majorEastAsia"/>
                <w:color w:val="auto"/>
                <w:highlight w:val="none"/>
              </w:rPr>
            </w:pPr>
            <w:r>
              <w:rPr>
                <w:rFonts w:ascii="Times New Roman" w:hAnsi="Times New Roman" w:cs="Times New Roman" w:eastAsiaTheme="majorEastAsia"/>
                <w:color w:val="auto"/>
                <w:highlight w:val="none"/>
              </w:rPr>
              <w:t>为新增园区安监平台提供数据</w:t>
            </w:r>
          </w:p>
        </w:tc>
        <w:tc>
          <w:tcPr>
            <w:tcW w:w="1069" w:type="dxa"/>
          </w:tcPr>
          <w:p>
            <w:pPr>
              <w:pStyle w:val="67"/>
              <w:rPr>
                <w:rFonts w:ascii="Times New Roman" w:hAnsi="Times New Roman" w:cs="Times New Roman" w:eastAsiaTheme="majorEastAsia"/>
                <w:color w:val="auto"/>
                <w:highlight w:val="none"/>
              </w:rPr>
            </w:pPr>
          </w:p>
        </w:tc>
      </w:tr>
    </w:tbl>
    <w:p>
      <w:pPr>
        <w:pStyle w:val="3"/>
        <w:rPr>
          <w:color w:val="auto"/>
          <w:highlight w:val="none"/>
        </w:rPr>
      </w:pPr>
      <w:r>
        <w:rPr>
          <w:rFonts w:hint="eastAsia"/>
          <w:color w:val="auto"/>
          <w:highlight w:val="none"/>
        </w:rPr>
        <w:t>园区“一张图”</w:t>
      </w:r>
    </w:p>
    <w:p>
      <w:pPr>
        <w:pStyle w:val="64"/>
        <w:numPr>
          <w:ilvl w:val="0"/>
          <w:numId w:val="6"/>
        </w:numPr>
        <w:ind w:firstLineChars="0"/>
        <w:rPr>
          <w:color w:val="auto"/>
          <w:highlight w:val="none"/>
        </w:rPr>
      </w:pPr>
      <w:r>
        <w:rPr>
          <w:rFonts w:hint="eastAsia"/>
          <w:color w:val="auto"/>
          <w:highlight w:val="none"/>
        </w:rPr>
        <w:t>G</w:t>
      </w:r>
      <w:r>
        <w:rPr>
          <w:color w:val="auto"/>
          <w:highlight w:val="none"/>
        </w:rPr>
        <w:t>IS</w:t>
      </w:r>
      <w:r>
        <w:rPr>
          <w:rFonts w:hint="eastAsia"/>
          <w:color w:val="auto"/>
          <w:highlight w:val="none"/>
        </w:rPr>
        <w:t>地图</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结合GIS地图，直观展示园区综合管理、环保、安全、能源、应急等业务信息，从空间、时间、类型等多维度进行分析呈现，为园区管理者综合决策提供依据。</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综合管理</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依托</w:t>
            </w:r>
            <w:r>
              <w:rPr>
                <w:rFonts w:hint="eastAsia" w:cs="Calibri"/>
                <w:color w:val="auto"/>
                <w:highlight w:val="none"/>
              </w:rPr>
              <w:t>GIS</w:t>
            </w:r>
            <w:r>
              <w:rPr>
                <w:rFonts w:hint="eastAsia" w:ascii="宋体" w:hAnsi="宋体"/>
                <w:color w:val="auto"/>
                <w:highlight w:val="none"/>
              </w:rPr>
              <w:t>地图，对园区综合管理信息进行多维度分析和展示，如园区企业、公共设施运行情况，企业综合评价结果，管廊管网运行情况等，并可叠加企业、监测点位、视频等多个图层，实现园区信息的立体化展示。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园区环保</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依托</w:t>
            </w:r>
            <w:r>
              <w:rPr>
                <w:rFonts w:hint="eastAsia" w:cs="Calibri"/>
                <w:color w:val="auto"/>
                <w:highlight w:val="none"/>
              </w:rPr>
              <w:t>GIS</w:t>
            </w:r>
            <w:r>
              <w:rPr>
                <w:rFonts w:hint="eastAsia" w:ascii="宋体" w:hAnsi="宋体"/>
                <w:color w:val="auto"/>
                <w:highlight w:val="none"/>
              </w:rPr>
              <w:t>地图，对园区环保管理信息进行多维度分析和展示，如大气环境、污染源排口、移动监测等测点分布及运行状态展示；点位超标、异常、断线等信息提醒；企业环保业务挂图作战、环保评价信息分析和展示等。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园区安全</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依托</w:t>
            </w:r>
            <w:r>
              <w:rPr>
                <w:rFonts w:hint="eastAsia" w:cs="Calibri"/>
                <w:color w:val="auto"/>
                <w:highlight w:val="none"/>
              </w:rPr>
              <w:t>GIS</w:t>
            </w:r>
            <w:r>
              <w:rPr>
                <w:rFonts w:hint="eastAsia" w:ascii="宋体" w:hAnsi="宋体"/>
                <w:color w:val="auto"/>
                <w:highlight w:val="none"/>
              </w:rPr>
              <w:t>地图，对园区安全管理信息进行多维度分析和展示，如重大危险源分布以及参数监测，安全视频监控，安全点位报警，风险源等级分布，企业安全业务信息、安全评价信息分析和展示等。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园区应急</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依托</w:t>
            </w:r>
            <w:r>
              <w:rPr>
                <w:rFonts w:hint="eastAsia" w:cs="Calibri"/>
                <w:color w:val="auto"/>
                <w:highlight w:val="none"/>
              </w:rPr>
              <w:t>GIS</w:t>
            </w:r>
            <w:r>
              <w:rPr>
                <w:rFonts w:hint="eastAsia" w:ascii="宋体" w:hAnsi="宋体"/>
                <w:color w:val="auto"/>
                <w:highlight w:val="none"/>
              </w:rPr>
              <w:t>地图，对园区应急管理信息进行多维度分析和展示，如应急物资、资源分布情况，应急预案完成情况，应急演练完成情况以及企业应急相关业务、应急评价信息分析和展示等。</w:t>
            </w:r>
          </w:p>
        </w:tc>
      </w:tr>
    </w:tbl>
    <w:p>
      <w:pPr>
        <w:pStyle w:val="64"/>
        <w:numPr>
          <w:ilvl w:val="0"/>
          <w:numId w:val="6"/>
        </w:numPr>
        <w:ind w:firstLineChars="0"/>
        <w:rPr>
          <w:color w:val="auto"/>
          <w:highlight w:val="none"/>
        </w:rPr>
      </w:pPr>
      <w:r>
        <w:rPr>
          <w:color w:val="auto"/>
          <w:highlight w:val="none"/>
        </w:rPr>
        <w:t>GIS</w:t>
      </w:r>
      <w:r>
        <w:rPr>
          <w:rFonts w:hint="eastAsia"/>
          <w:color w:val="auto"/>
          <w:highlight w:val="none"/>
        </w:rPr>
        <w:t>地图数据</w:t>
      </w:r>
    </w:p>
    <w:p>
      <w:pPr>
        <w:pStyle w:val="83"/>
        <w:numPr>
          <w:ilvl w:val="0"/>
          <w:numId w:val="7"/>
        </w:numPr>
        <w:adjustRightInd w:val="0"/>
        <w:snapToGrid w:val="0"/>
        <w:spacing w:before="156" w:beforeLines="50" w:line="360" w:lineRule="auto"/>
        <w:ind w:firstLineChars="0"/>
        <w:jc w:val="left"/>
        <w:rPr>
          <w:rFonts w:ascii="Times New Roman" w:hAnsi="Times New Roman"/>
          <w:color w:val="auto"/>
          <w:sz w:val="24"/>
          <w:szCs w:val="24"/>
          <w:highlight w:val="none"/>
        </w:rPr>
      </w:pPr>
      <w:r>
        <w:rPr>
          <w:rFonts w:hint="eastAsia" w:ascii="宋体" w:hAnsi="宋体"/>
          <w:color w:val="auto"/>
          <w:kern w:val="0"/>
          <w:sz w:val="24"/>
          <w:szCs w:val="24"/>
          <w:highlight w:val="none"/>
        </w:rPr>
        <w:t>所选用的</w:t>
      </w:r>
      <w:r>
        <w:rPr>
          <w:rFonts w:hint="eastAsia" w:ascii="Times New Roman" w:hAnsi="Times New Roman"/>
          <w:color w:val="auto"/>
          <w:kern w:val="0"/>
          <w:sz w:val="24"/>
          <w:szCs w:val="24"/>
          <w:highlight w:val="none"/>
        </w:rPr>
        <w:t>GIS</w:t>
      </w:r>
      <w:r>
        <w:rPr>
          <w:rFonts w:hint="eastAsia" w:ascii="宋体" w:hAnsi="宋体"/>
          <w:color w:val="auto"/>
          <w:kern w:val="0"/>
          <w:sz w:val="24"/>
          <w:szCs w:val="24"/>
          <w:highlight w:val="none"/>
        </w:rPr>
        <w:t>平台必须是</w:t>
      </w:r>
      <w:r>
        <w:rPr>
          <w:rFonts w:ascii="宋体" w:hAnsi="宋体"/>
          <w:color w:val="auto"/>
          <w:kern w:val="0"/>
          <w:sz w:val="24"/>
          <w:szCs w:val="24"/>
          <w:highlight w:val="none"/>
        </w:rPr>
        <w:t>国产</w:t>
      </w:r>
      <w:r>
        <w:rPr>
          <w:rFonts w:hint="eastAsia" w:ascii="宋体" w:hAnsi="宋体"/>
          <w:color w:val="auto"/>
          <w:kern w:val="0"/>
          <w:sz w:val="24"/>
          <w:szCs w:val="24"/>
          <w:highlight w:val="none"/>
        </w:rPr>
        <w:t>、</w:t>
      </w:r>
      <w:r>
        <w:rPr>
          <w:rFonts w:ascii="宋体" w:hAnsi="宋体"/>
          <w:color w:val="auto"/>
          <w:kern w:val="0"/>
          <w:sz w:val="24"/>
          <w:szCs w:val="24"/>
          <w:highlight w:val="none"/>
        </w:rPr>
        <w:t>安全自主可控的</w:t>
      </w:r>
      <w:r>
        <w:rPr>
          <w:rFonts w:ascii="Times New Roman" w:hAnsi="Times New Roman"/>
          <w:color w:val="auto"/>
          <w:kern w:val="0"/>
          <w:sz w:val="24"/>
          <w:szCs w:val="24"/>
          <w:highlight w:val="none"/>
        </w:rPr>
        <w:t>GIS</w:t>
      </w:r>
      <w:r>
        <w:rPr>
          <w:rFonts w:ascii="宋体" w:hAnsi="宋体"/>
          <w:color w:val="auto"/>
          <w:kern w:val="0"/>
          <w:sz w:val="24"/>
          <w:szCs w:val="24"/>
          <w:highlight w:val="none"/>
        </w:rPr>
        <w:t>平台</w:t>
      </w:r>
      <w:r>
        <w:rPr>
          <w:rFonts w:hint="eastAsia" w:ascii="宋体" w:hAnsi="宋体"/>
          <w:color w:val="auto"/>
          <w:kern w:val="0"/>
          <w:sz w:val="24"/>
          <w:szCs w:val="24"/>
          <w:highlight w:val="none"/>
        </w:rPr>
        <w:t>，具有自主知识产权；</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ascii="宋体" w:hAnsi="宋体"/>
          <w:color w:val="auto"/>
          <w:kern w:val="0"/>
          <w:sz w:val="24"/>
          <w:szCs w:val="24"/>
          <w:highlight w:val="none"/>
        </w:rPr>
        <w:t>原生支持</w:t>
      </w:r>
      <w:r>
        <w:rPr>
          <w:rFonts w:ascii="Times New Roman" w:hAnsi="Times New Roman"/>
          <w:color w:val="auto"/>
          <w:kern w:val="0"/>
          <w:sz w:val="24"/>
          <w:szCs w:val="24"/>
          <w:highlight w:val="none"/>
        </w:rPr>
        <w:t>Windows</w:t>
      </w:r>
      <w:r>
        <w:rPr>
          <w:rFonts w:ascii="宋体" w:hAnsi="宋体"/>
          <w:color w:val="auto"/>
          <w:kern w:val="0"/>
          <w:sz w:val="24"/>
          <w:szCs w:val="24"/>
          <w:highlight w:val="none"/>
        </w:rPr>
        <w:t>、</w:t>
      </w:r>
      <w:r>
        <w:rPr>
          <w:rFonts w:ascii="Times New Roman" w:hAnsi="Times New Roman"/>
          <w:color w:val="auto"/>
          <w:kern w:val="0"/>
          <w:sz w:val="24"/>
          <w:szCs w:val="24"/>
          <w:highlight w:val="none"/>
        </w:rPr>
        <w:t>Linux</w:t>
      </w:r>
      <w:r>
        <w:rPr>
          <w:rFonts w:ascii="宋体" w:hAnsi="宋体"/>
          <w:color w:val="auto"/>
          <w:kern w:val="0"/>
          <w:sz w:val="24"/>
          <w:szCs w:val="24"/>
          <w:highlight w:val="none"/>
        </w:rPr>
        <w:t>（</w:t>
      </w:r>
      <w:r>
        <w:rPr>
          <w:rFonts w:ascii="Times New Roman" w:hAnsi="Times New Roman"/>
          <w:color w:val="auto"/>
          <w:kern w:val="0"/>
          <w:sz w:val="24"/>
          <w:szCs w:val="24"/>
          <w:highlight w:val="none"/>
        </w:rPr>
        <w:t>Ubuntu</w:t>
      </w:r>
      <w:r>
        <w:rPr>
          <w:rFonts w:ascii="宋体" w:hAnsi="宋体"/>
          <w:color w:val="auto"/>
          <w:kern w:val="0"/>
          <w:sz w:val="24"/>
          <w:szCs w:val="24"/>
          <w:highlight w:val="none"/>
        </w:rPr>
        <w:t>、</w:t>
      </w:r>
      <w:r>
        <w:rPr>
          <w:rFonts w:ascii="Times New Roman" w:hAnsi="Times New Roman"/>
          <w:color w:val="auto"/>
          <w:kern w:val="0"/>
          <w:sz w:val="24"/>
          <w:szCs w:val="24"/>
          <w:highlight w:val="none"/>
        </w:rPr>
        <w:t>RedHat</w:t>
      </w:r>
      <w:r>
        <w:rPr>
          <w:rFonts w:ascii="宋体" w:hAnsi="宋体"/>
          <w:color w:val="auto"/>
          <w:kern w:val="0"/>
          <w:sz w:val="24"/>
          <w:szCs w:val="24"/>
          <w:highlight w:val="none"/>
        </w:rPr>
        <w:t>、</w:t>
      </w:r>
      <w:r>
        <w:rPr>
          <w:rFonts w:ascii="Times New Roman" w:hAnsi="Times New Roman"/>
          <w:color w:val="auto"/>
          <w:kern w:val="0"/>
          <w:sz w:val="24"/>
          <w:szCs w:val="24"/>
          <w:highlight w:val="none"/>
        </w:rPr>
        <w:t>Suse</w:t>
      </w:r>
      <w:r>
        <w:rPr>
          <w:rFonts w:ascii="宋体" w:hAnsi="宋体"/>
          <w:color w:val="auto"/>
          <w:kern w:val="0"/>
          <w:sz w:val="24"/>
          <w:szCs w:val="24"/>
          <w:highlight w:val="none"/>
        </w:rPr>
        <w:t>、</w:t>
      </w:r>
      <w:r>
        <w:rPr>
          <w:rFonts w:ascii="Times New Roman" w:hAnsi="Times New Roman"/>
          <w:color w:val="auto"/>
          <w:kern w:val="0"/>
          <w:sz w:val="24"/>
          <w:szCs w:val="24"/>
          <w:highlight w:val="none"/>
        </w:rPr>
        <w:t>CentOS</w:t>
      </w:r>
      <w:r>
        <w:rPr>
          <w:rFonts w:ascii="宋体" w:hAnsi="宋体"/>
          <w:color w:val="auto"/>
          <w:kern w:val="0"/>
          <w:sz w:val="24"/>
          <w:szCs w:val="24"/>
          <w:highlight w:val="none"/>
        </w:rPr>
        <w:t>、中标麒麟）、</w:t>
      </w:r>
      <w:r>
        <w:rPr>
          <w:rFonts w:ascii="Times New Roman" w:hAnsi="Times New Roman"/>
          <w:color w:val="auto"/>
          <w:kern w:val="0"/>
          <w:sz w:val="24"/>
          <w:szCs w:val="24"/>
          <w:highlight w:val="none"/>
        </w:rPr>
        <w:t>Unix</w:t>
      </w:r>
      <w:r>
        <w:rPr>
          <w:rFonts w:ascii="宋体" w:hAnsi="宋体"/>
          <w:color w:val="auto"/>
          <w:kern w:val="0"/>
          <w:sz w:val="24"/>
          <w:szCs w:val="24"/>
          <w:highlight w:val="none"/>
        </w:rPr>
        <w:t>（</w:t>
      </w:r>
      <w:r>
        <w:rPr>
          <w:rFonts w:ascii="Times New Roman" w:hAnsi="Times New Roman"/>
          <w:color w:val="auto"/>
          <w:kern w:val="0"/>
          <w:sz w:val="24"/>
          <w:szCs w:val="24"/>
          <w:highlight w:val="none"/>
        </w:rPr>
        <w:t>AIX</w:t>
      </w:r>
      <w:r>
        <w:rPr>
          <w:rFonts w:ascii="宋体" w:hAnsi="宋体"/>
          <w:color w:val="auto"/>
          <w:kern w:val="0"/>
          <w:sz w:val="24"/>
          <w:szCs w:val="24"/>
          <w:highlight w:val="none"/>
        </w:rPr>
        <w:t>）等多种</w:t>
      </w:r>
      <w:r>
        <w:rPr>
          <w:rFonts w:hint="eastAsia" w:ascii="Times New Roman" w:hAnsi="Times New Roman"/>
          <w:color w:val="auto"/>
          <w:kern w:val="0"/>
          <w:sz w:val="24"/>
          <w:szCs w:val="24"/>
          <w:highlight w:val="none"/>
        </w:rPr>
        <w:t>64</w:t>
      </w:r>
      <w:r>
        <w:rPr>
          <w:rFonts w:hint="eastAsia" w:ascii="宋体" w:hAnsi="宋体"/>
          <w:color w:val="auto"/>
          <w:kern w:val="0"/>
          <w:sz w:val="24"/>
          <w:szCs w:val="24"/>
          <w:highlight w:val="none"/>
        </w:rPr>
        <w:t>位</w:t>
      </w:r>
      <w:r>
        <w:rPr>
          <w:rFonts w:ascii="宋体" w:hAnsi="宋体"/>
          <w:color w:val="auto"/>
          <w:kern w:val="0"/>
          <w:sz w:val="24"/>
          <w:szCs w:val="24"/>
          <w:highlight w:val="none"/>
        </w:rPr>
        <w:t>操作系统；</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ascii="宋体" w:hAnsi="宋体"/>
          <w:color w:val="auto"/>
          <w:kern w:val="0"/>
          <w:sz w:val="24"/>
          <w:szCs w:val="24"/>
          <w:highlight w:val="none"/>
        </w:rPr>
        <w:t>支持多种关系型数据库，包括：</w:t>
      </w:r>
      <w:r>
        <w:rPr>
          <w:rFonts w:ascii="Times New Roman" w:hAnsi="Times New Roman"/>
          <w:color w:val="auto"/>
          <w:kern w:val="0"/>
          <w:sz w:val="24"/>
          <w:szCs w:val="24"/>
          <w:highlight w:val="none"/>
        </w:rPr>
        <w:t>SQL Server</w:t>
      </w:r>
      <w:r>
        <w:rPr>
          <w:rFonts w:ascii="宋体" w:hAnsi="宋体"/>
          <w:color w:val="auto"/>
          <w:kern w:val="0"/>
          <w:sz w:val="24"/>
          <w:szCs w:val="24"/>
          <w:highlight w:val="none"/>
        </w:rPr>
        <w:t>、</w:t>
      </w:r>
      <w:r>
        <w:rPr>
          <w:rFonts w:ascii="Times New Roman" w:hAnsi="Times New Roman"/>
          <w:color w:val="auto"/>
          <w:kern w:val="0"/>
          <w:sz w:val="24"/>
          <w:szCs w:val="24"/>
          <w:highlight w:val="none"/>
        </w:rPr>
        <w:t>Oracle</w:t>
      </w:r>
      <w:r>
        <w:rPr>
          <w:rFonts w:ascii="宋体" w:hAnsi="宋体"/>
          <w:color w:val="auto"/>
          <w:kern w:val="0"/>
          <w:sz w:val="24"/>
          <w:szCs w:val="24"/>
          <w:highlight w:val="none"/>
        </w:rPr>
        <w:t>、</w:t>
      </w:r>
      <w:r>
        <w:rPr>
          <w:rFonts w:ascii="Times New Roman" w:hAnsi="Times New Roman"/>
          <w:color w:val="auto"/>
          <w:kern w:val="0"/>
          <w:sz w:val="24"/>
          <w:szCs w:val="24"/>
          <w:highlight w:val="none"/>
        </w:rPr>
        <w:t>Oracle Spatial</w:t>
      </w:r>
      <w:r>
        <w:rPr>
          <w:rFonts w:ascii="宋体" w:hAnsi="宋体"/>
          <w:color w:val="auto"/>
          <w:kern w:val="0"/>
          <w:sz w:val="24"/>
          <w:szCs w:val="24"/>
          <w:highlight w:val="none"/>
        </w:rPr>
        <w:t>、</w:t>
      </w:r>
      <w:r>
        <w:rPr>
          <w:rFonts w:ascii="Times New Roman" w:hAnsi="Times New Roman"/>
          <w:color w:val="auto"/>
          <w:kern w:val="0"/>
          <w:sz w:val="24"/>
          <w:szCs w:val="24"/>
          <w:highlight w:val="none"/>
        </w:rPr>
        <w:t>KingbaseES</w:t>
      </w:r>
      <w:r>
        <w:rPr>
          <w:rFonts w:ascii="宋体" w:hAnsi="宋体"/>
          <w:color w:val="auto"/>
          <w:kern w:val="0"/>
          <w:sz w:val="24"/>
          <w:szCs w:val="24"/>
          <w:highlight w:val="none"/>
        </w:rPr>
        <w:t>、</w:t>
      </w:r>
      <w:r>
        <w:rPr>
          <w:rFonts w:ascii="Times New Roman" w:hAnsi="Times New Roman"/>
          <w:color w:val="auto"/>
          <w:kern w:val="0"/>
          <w:sz w:val="24"/>
          <w:szCs w:val="24"/>
          <w:highlight w:val="none"/>
        </w:rPr>
        <w:t>BeyonDB</w:t>
      </w:r>
      <w:r>
        <w:rPr>
          <w:rFonts w:ascii="宋体" w:hAnsi="宋体"/>
          <w:color w:val="auto"/>
          <w:kern w:val="0"/>
          <w:sz w:val="24"/>
          <w:szCs w:val="24"/>
          <w:highlight w:val="none"/>
        </w:rPr>
        <w:t>、</w:t>
      </w:r>
      <w:r>
        <w:rPr>
          <w:rFonts w:ascii="Times New Roman" w:hAnsi="Times New Roman"/>
          <w:color w:val="auto"/>
          <w:kern w:val="0"/>
          <w:sz w:val="24"/>
          <w:szCs w:val="24"/>
          <w:highlight w:val="none"/>
        </w:rPr>
        <w:t>IBM DB2</w:t>
      </w:r>
      <w:r>
        <w:rPr>
          <w:rFonts w:ascii="宋体" w:hAnsi="宋体"/>
          <w:color w:val="auto"/>
          <w:kern w:val="0"/>
          <w:sz w:val="24"/>
          <w:szCs w:val="24"/>
          <w:highlight w:val="none"/>
        </w:rPr>
        <w:t>、</w:t>
      </w:r>
      <w:r>
        <w:rPr>
          <w:rFonts w:ascii="Times New Roman" w:hAnsi="Times New Roman"/>
          <w:color w:val="auto"/>
          <w:kern w:val="0"/>
          <w:sz w:val="24"/>
          <w:szCs w:val="24"/>
          <w:highlight w:val="none"/>
        </w:rPr>
        <w:t>PostgreSQL</w:t>
      </w:r>
      <w:r>
        <w:rPr>
          <w:rFonts w:ascii="宋体" w:hAnsi="宋体"/>
          <w:color w:val="auto"/>
          <w:kern w:val="0"/>
          <w:sz w:val="24"/>
          <w:szCs w:val="24"/>
          <w:highlight w:val="none"/>
        </w:rPr>
        <w:t>、</w:t>
      </w:r>
      <w:r>
        <w:rPr>
          <w:rFonts w:ascii="Times New Roman" w:hAnsi="Times New Roman"/>
          <w:color w:val="auto"/>
          <w:kern w:val="0"/>
          <w:sz w:val="24"/>
          <w:szCs w:val="24"/>
          <w:highlight w:val="none"/>
        </w:rPr>
        <w:t>MySQL</w:t>
      </w:r>
      <w:r>
        <w:rPr>
          <w:rFonts w:ascii="宋体" w:hAnsi="宋体"/>
          <w:color w:val="auto"/>
          <w:kern w:val="0"/>
          <w:sz w:val="24"/>
          <w:szCs w:val="24"/>
          <w:highlight w:val="none"/>
        </w:rPr>
        <w:t>等；</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hint="eastAsia" w:ascii="宋体" w:hAnsi="宋体"/>
          <w:color w:val="auto"/>
          <w:kern w:val="0"/>
          <w:sz w:val="24"/>
          <w:szCs w:val="24"/>
          <w:highlight w:val="none"/>
        </w:rPr>
        <w:t>支持发布空间分析服务，提供对空间要素和数据的分析功能，包括对数据集和几何对象的缓冲区分析、叠加分析、表面分析、插值分析等；</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hint="eastAsia" w:ascii="宋体" w:hAnsi="宋体"/>
          <w:color w:val="auto"/>
          <w:kern w:val="0"/>
          <w:sz w:val="24"/>
          <w:szCs w:val="24"/>
          <w:highlight w:val="none"/>
        </w:rPr>
        <w:t>支持</w:t>
      </w:r>
      <w:r>
        <w:rPr>
          <w:rFonts w:hint="eastAsia" w:ascii="Times New Roman" w:hAnsi="Times New Roman"/>
          <w:color w:val="auto"/>
          <w:kern w:val="0"/>
          <w:sz w:val="24"/>
          <w:szCs w:val="24"/>
          <w:highlight w:val="none"/>
        </w:rPr>
        <w:t>UDB</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UDD</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Shp</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Tab</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Dwg</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Kml</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Kmz</w:t>
      </w:r>
      <w:r>
        <w:rPr>
          <w:rFonts w:hint="eastAsia" w:ascii="宋体" w:hAnsi="宋体"/>
          <w:color w:val="auto"/>
          <w:kern w:val="0"/>
          <w:sz w:val="24"/>
          <w:szCs w:val="24"/>
          <w:highlight w:val="none"/>
        </w:rPr>
        <w:t>等主流矢量数据格式的导入、导出；支持</w:t>
      </w:r>
      <w:r>
        <w:rPr>
          <w:rFonts w:hint="eastAsia" w:ascii="Times New Roman" w:hAnsi="Times New Roman"/>
          <w:color w:val="auto"/>
          <w:kern w:val="0"/>
          <w:sz w:val="24"/>
          <w:szCs w:val="24"/>
          <w:highlight w:val="none"/>
        </w:rPr>
        <w:t>Bmp</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Jpg</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Tiff</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Png</w:t>
      </w:r>
      <w:r>
        <w:rPr>
          <w:rFonts w:hint="eastAsia" w:ascii="宋体" w:hAnsi="宋体"/>
          <w:color w:val="auto"/>
          <w:kern w:val="0"/>
          <w:sz w:val="24"/>
          <w:szCs w:val="24"/>
          <w:highlight w:val="none"/>
        </w:rPr>
        <w:t>、</w:t>
      </w:r>
      <w:r>
        <w:rPr>
          <w:rFonts w:hint="eastAsia" w:ascii="Times New Roman" w:hAnsi="Times New Roman"/>
          <w:color w:val="auto"/>
          <w:kern w:val="0"/>
          <w:sz w:val="24"/>
          <w:szCs w:val="24"/>
          <w:highlight w:val="none"/>
        </w:rPr>
        <w:t>Raw</w:t>
      </w:r>
      <w:r>
        <w:rPr>
          <w:rFonts w:hint="eastAsia" w:ascii="宋体" w:hAnsi="宋体"/>
          <w:color w:val="auto"/>
          <w:kern w:val="0"/>
          <w:sz w:val="24"/>
          <w:szCs w:val="24"/>
          <w:highlight w:val="none"/>
        </w:rPr>
        <w:t>等主流栅格数据格式的导入、导出；</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ascii="宋体" w:hAnsi="宋体"/>
          <w:color w:val="auto"/>
          <w:kern w:val="0"/>
          <w:sz w:val="24"/>
          <w:szCs w:val="24"/>
          <w:highlight w:val="none"/>
        </w:rPr>
        <w:t>支持将远程</w:t>
      </w:r>
      <w:r>
        <w:rPr>
          <w:rFonts w:ascii="Times New Roman" w:hAnsi="Times New Roman"/>
          <w:color w:val="auto"/>
          <w:kern w:val="0"/>
          <w:sz w:val="24"/>
          <w:szCs w:val="24"/>
          <w:highlight w:val="none"/>
        </w:rPr>
        <w:t>Web</w:t>
      </w:r>
      <w:r>
        <w:rPr>
          <w:rFonts w:ascii="宋体" w:hAnsi="宋体"/>
          <w:color w:val="auto"/>
          <w:kern w:val="0"/>
          <w:sz w:val="24"/>
          <w:szCs w:val="24"/>
          <w:highlight w:val="none"/>
        </w:rPr>
        <w:t>服务作为数据来源二次发布，支持的远程服务类型包括：</w:t>
      </w:r>
      <w:r>
        <w:rPr>
          <w:rFonts w:ascii="Times New Roman" w:hAnsi="Times New Roman"/>
          <w:color w:val="auto"/>
          <w:kern w:val="0"/>
          <w:sz w:val="24"/>
          <w:szCs w:val="24"/>
          <w:highlight w:val="none"/>
        </w:rPr>
        <w:t>REST</w:t>
      </w:r>
      <w:r>
        <w:rPr>
          <w:rFonts w:ascii="宋体" w:hAnsi="宋体"/>
          <w:color w:val="auto"/>
          <w:kern w:val="0"/>
          <w:sz w:val="24"/>
          <w:szCs w:val="24"/>
          <w:highlight w:val="none"/>
        </w:rPr>
        <w:t>服务、</w:t>
      </w:r>
      <w:r>
        <w:rPr>
          <w:rFonts w:ascii="Times New Roman" w:hAnsi="Times New Roman"/>
          <w:color w:val="auto"/>
          <w:kern w:val="0"/>
          <w:sz w:val="24"/>
          <w:szCs w:val="24"/>
          <w:highlight w:val="none"/>
        </w:rPr>
        <w:t>OGC</w:t>
      </w:r>
      <w:r>
        <w:rPr>
          <w:rFonts w:ascii="宋体" w:hAnsi="宋体"/>
          <w:color w:val="auto"/>
          <w:kern w:val="0"/>
          <w:sz w:val="24"/>
          <w:szCs w:val="24"/>
          <w:highlight w:val="none"/>
        </w:rPr>
        <w:t>标准服务、第三方在线服务，如天地图、百度地图</w:t>
      </w:r>
      <w:r>
        <w:rPr>
          <w:rFonts w:hint="eastAsia" w:ascii="宋体" w:hAnsi="宋体"/>
          <w:color w:val="auto"/>
          <w:kern w:val="0"/>
          <w:sz w:val="24"/>
          <w:szCs w:val="24"/>
          <w:highlight w:val="none"/>
        </w:rPr>
        <w:t>；</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ascii="宋体" w:hAnsi="宋体"/>
          <w:color w:val="auto"/>
          <w:kern w:val="0"/>
          <w:sz w:val="24"/>
          <w:szCs w:val="24"/>
          <w:highlight w:val="none"/>
        </w:rPr>
        <w:t>支持</w:t>
      </w:r>
      <w:r>
        <w:rPr>
          <w:rFonts w:ascii="Times New Roman" w:hAnsi="Times New Roman"/>
          <w:color w:val="auto"/>
          <w:kern w:val="0"/>
          <w:sz w:val="24"/>
          <w:szCs w:val="24"/>
          <w:highlight w:val="none"/>
        </w:rPr>
        <w:t>OGC</w:t>
      </w:r>
      <w:r>
        <w:rPr>
          <w:rFonts w:ascii="宋体" w:hAnsi="宋体"/>
          <w:color w:val="auto"/>
          <w:kern w:val="0"/>
          <w:sz w:val="24"/>
          <w:szCs w:val="24"/>
          <w:highlight w:val="none"/>
        </w:rPr>
        <w:t>标准等行业标准，包括</w:t>
      </w:r>
      <w:r>
        <w:rPr>
          <w:rFonts w:ascii="Times New Roman" w:hAnsi="Times New Roman"/>
          <w:color w:val="auto"/>
          <w:kern w:val="0"/>
          <w:sz w:val="24"/>
          <w:szCs w:val="24"/>
          <w:highlight w:val="none"/>
        </w:rPr>
        <w:t>:CSW</w:t>
      </w:r>
      <w:r>
        <w:rPr>
          <w:rFonts w:ascii="宋体" w:hAnsi="宋体"/>
          <w:color w:val="auto"/>
          <w:kern w:val="0"/>
          <w:sz w:val="24"/>
          <w:szCs w:val="24"/>
          <w:highlight w:val="none"/>
        </w:rPr>
        <w:t>、</w:t>
      </w:r>
      <w:r>
        <w:rPr>
          <w:rFonts w:ascii="Times New Roman" w:hAnsi="Times New Roman"/>
          <w:color w:val="auto"/>
          <w:kern w:val="0"/>
          <w:sz w:val="24"/>
          <w:szCs w:val="24"/>
          <w:highlight w:val="none"/>
        </w:rPr>
        <w:t>GML</w:t>
      </w:r>
      <w:r>
        <w:rPr>
          <w:rFonts w:ascii="宋体" w:hAnsi="宋体"/>
          <w:color w:val="auto"/>
          <w:kern w:val="0"/>
          <w:sz w:val="24"/>
          <w:szCs w:val="24"/>
          <w:highlight w:val="none"/>
        </w:rPr>
        <w:t>、</w:t>
      </w:r>
      <w:r>
        <w:rPr>
          <w:rFonts w:ascii="Times New Roman" w:hAnsi="Times New Roman"/>
          <w:color w:val="auto"/>
          <w:kern w:val="0"/>
          <w:sz w:val="24"/>
          <w:szCs w:val="24"/>
          <w:highlight w:val="none"/>
        </w:rPr>
        <w:t>KML</w:t>
      </w:r>
      <w:r>
        <w:rPr>
          <w:rFonts w:ascii="宋体" w:hAnsi="宋体"/>
          <w:color w:val="auto"/>
          <w:kern w:val="0"/>
          <w:sz w:val="24"/>
          <w:szCs w:val="24"/>
          <w:highlight w:val="none"/>
        </w:rPr>
        <w:t>、</w:t>
      </w:r>
      <w:r>
        <w:rPr>
          <w:rFonts w:ascii="Times New Roman" w:hAnsi="Times New Roman"/>
          <w:color w:val="auto"/>
          <w:kern w:val="0"/>
          <w:sz w:val="24"/>
          <w:szCs w:val="24"/>
          <w:highlight w:val="none"/>
        </w:rPr>
        <w:t>SLD</w:t>
      </w:r>
      <w:r>
        <w:rPr>
          <w:rFonts w:ascii="宋体" w:hAnsi="宋体"/>
          <w:color w:val="auto"/>
          <w:kern w:val="0"/>
          <w:sz w:val="24"/>
          <w:szCs w:val="24"/>
          <w:highlight w:val="none"/>
        </w:rPr>
        <w:t>、</w:t>
      </w:r>
      <w:r>
        <w:rPr>
          <w:rFonts w:ascii="Times New Roman" w:hAnsi="Times New Roman"/>
          <w:color w:val="auto"/>
          <w:kern w:val="0"/>
          <w:sz w:val="24"/>
          <w:szCs w:val="24"/>
          <w:highlight w:val="none"/>
        </w:rPr>
        <w:t>WCS</w:t>
      </w:r>
      <w:r>
        <w:rPr>
          <w:rFonts w:ascii="宋体" w:hAnsi="宋体"/>
          <w:color w:val="auto"/>
          <w:kern w:val="0"/>
          <w:sz w:val="24"/>
          <w:szCs w:val="24"/>
          <w:highlight w:val="none"/>
        </w:rPr>
        <w:t>、</w:t>
      </w:r>
      <w:r>
        <w:rPr>
          <w:rFonts w:ascii="Times New Roman" w:hAnsi="Times New Roman"/>
          <w:color w:val="auto"/>
          <w:kern w:val="0"/>
          <w:sz w:val="24"/>
          <w:szCs w:val="24"/>
          <w:highlight w:val="none"/>
        </w:rPr>
        <w:t>WFS</w:t>
      </w:r>
      <w:r>
        <w:rPr>
          <w:rFonts w:ascii="宋体" w:hAnsi="宋体"/>
          <w:color w:val="auto"/>
          <w:kern w:val="0"/>
          <w:sz w:val="24"/>
          <w:szCs w:val="24"/>
          <w:highlight w:val="none"/>
        </w:rPr>
        <w:t>、</w:t>
      </w:r>
      <w:r>
        <w:rPr>
          <w:rFonts w:ascii="Times New Roman" w:hAnsi="Times New Roman"/>
          <w:color w:val="auto"/>
          <w:kern w:val="0"/>
          <w:sz w:val="24"/>
          <w:szCs w:val="24"/>
          <w:highlight w:val="none"/>
        </w:rPr>
        <w:t>WMS</w:t>
      </w:r>
      <w:r>
        <w:rPr>
          <w:rFonts w:ascii="宋体" w:hAnsi="宋体"/>
          <w:color w:val="auto"/>
          <w:kern w:val="0"/>
          <w:sz w:val="24"/>
          <w:szCs w:val="24"/>
          <w:highlight w:val="none"/>
        </w:rPr>
        <w:t>、</w:t>
      </w:r>
      <w:r>
        <w:rPr>
          <w:rFonts w:ascii="Times New Roman" w:hAnsi="Times New Roman"/>
          <w:color w:val="auto"/>
          <w:kern w:val="0"/>
          <w:sz w:val="24"/>
          <w:szCs w:val="24"/>
          <w:highlight w:val="none"/>
        </w:rPr>
        <w:t>WMTS</w:t>
      </w:r>
      <w:r>
        <w:rPr>
          <w:rFonts w:ascii="宋体" w:hAnsi="宋体"/>
          <w:color w:val="auto"/>
          <w:kern w:val="0"/>
          <w:sz w:val="24"/>
          <w:szCs w:val="24"/>
          <w:highlight w:val="none"/>
        </w:rPr>
        <w:t>、</w:t>
      </w:r>
      <w:r>
        <w:rPr>
          <w:rFonts w:ascii="Times New Roman" w:hAnsi="Times New Roman"/>
          <w:color w:val="auto"/>
          <w:kern w:val="0"/>
          <w:sz w:val="24"/>
          <w:szCs w:val="24"/>
          <w:highlight w:val="none"/>
        </w:rPr>
        <w:t>WPS</w:t>
      </w:r>
      <w:r>
        <w:rPr>
          <w:rFonts w:ascii="宋体" w:hAnsi="宋体"/>
          <w:color w:val="auto"/>
          <w:kern w:val="0"/>
          <w:sz w:val="24"/>
          <w:szCs w:val="24"/>
          <w:highlight w:val="none"/>
        </w:rPr>
        <w:t>、</w:t>
      </w:r>
      <w:r>
        <w:rPr>
          <w:rFonts w:ascii="Times New Roman" w:hAnsi="Times New Roman"/>
          <w:color w:val="auto"/>
          <w:kern w:val="0"/>
          <w:sz w:val="24"/>
          <w:szCs w:val="24"/>
          <w:highlight w:val="none"/>
        </w:rPr>
        <w:t>GeoPackage</w:t>
      </w:r>
      <w:r>
        <w:rPr>
          <w:rFonts w:ascii="宋体" w:hAnsi="宋体"/>
          <w:color w:val="auto"/>
          <w:kern w:val="0"/>
          <w:sz w:val="24"/>
          <w:szCs w:val="24"/>
          <w:highlight w:val="none"/>
        </w:rPr>
        <w:t>、</w:t>
      </w:r>
      <w:r>
        <w:rPr>
          <w:rFonts w:ascii="Times New Roman" w:hAnsi="Times New Roman"/>
          <w:color w:val="auto"/>
          <w:kern w:val="0"/>
          <w:sz w:val="24"/>
          <w:szCs w:val="24"/>
          <w:highlight w:val="none"/>
        </w:rPr>
        <w:t>GeoRSS</w:t>
      </w:r>
      <w:r>
        <w:rPr>
          <w:rFonts w:ascii="宋体" w:hAnsi="宋体"/>
          <w:color w:val="auto"/>
          <w:kern w:val="0"/>
          <w:sz w:val="24"/>
          <w:szCs w:val="24"/>
          <w:highlight w:val="none"/>
        </w:rPr>
        <w:t>；</w:t>
      </w:r>
    </w:p>
    <w:p>
      <w:pPr>
        <w:pStyle w:val="83"/>
        <w:numPr>
          <w:ilvl w:val="0"/>
          <w:numId w:val="7"/>
        </w:numPr>
        <w:adjustRightInd w:val="0"/>
        <w:snapToGrid w:val="0"/>
        <w:spacing w:before="156" w:beforeLines="50" w:line="360" w:lineRule="auto"/>
        <w:ind w:firstLineChars="0"/>
        <w:jc w:val="left"/>
        <w:rPr>
          <w:rFonts w:ascii="Times New Roman" w:hAnsi="Times New Roman"/>
          <w:color w:val="auto"/>
          <w:kern w:val="0"/>
          <w:sz w:val="24"/>
          <w:szCs w:val="24"/>
          <w:highlight w:val="none"/>
        </w:rPr>
      </w:pPr>
      <w:r>
        <w:rPr>
          <w:rFonts w:ascii="宋体" w:hAnsi="宋体"/>
          <w:color w:val="auto"/>
          <w:kern w:val="0"/>
          <w:sz w:val="24"/>
          <w:szCs w:val="24"/>
          <w:highlight w:val="none"/>
        </w:rPr>
        <w:t>具备自主知识产权的服务器集群技术</w:t>
      </w:r>
      <w:r>
        <w:rPr>
          <w:rFonts w:hint="eastAsia" w:ascii="宋体" w:hAnsi="宋体"/>
          <w:color w:val="auto"/>
          <w:kern w:val="0"/>
          <w:sz w:val="24"/>
          <w:szCs w:val="24"/>
          <w:highlight w:val="none"/>
        </w:rPr>
        <w:t>，</w:t>
      </w:r>
      <w:r>
        <w:rPr>
          <w:rFonts w:ascii="宋体" w:hAnsi="宋体"/>
          <w:color w:val="auto"/>
          <w:kern w:val="0"/>
          <w:sz w:val="24"/>
          <w:szCs w:val="24"/>
          <w:highlight w:val="none"/>
        </w:rPr>
        <w:t>支持跨硬件平台、跨操作系统平台的异构集群；</w:t>
      </w:r>
    </w:p>
    <w:p>
      <w:pPr>
        <w:pStyle w:val="83"/>
        <w:numPr>
          <w:ilvl w:val="0"/>
          <w:numId w:val="7"/>
        </w:numPr>
        <w:adjustRightInd w:val="0"/>
        <w:snapToGrid w:val="0"/>
        <w:spacing w:before="156" w:beforeLines="50" w:line="360" w:lineRule="auto"/>
        <w:ind w:firstLineChars="0"/>
        <w:jc w:val="left"/>
        <w:rPr>
          <w:color w:val="auto"/>
          <w:kern w:val="0"/>
          <w:highlight w:val="none"/>
        </w:rPr>
      </w:pPr>
      <w:r>
        <w:rPr>
          <w:rFonts w:ascii="宋体" w:hAnsi="宋体"/>
          <w:color w:val="auto"/>
          <w:kern w:val="0"/>
          <w:sz w:val="24"/>
          <w:szCs w:val="24"/>
          <w:highlight w:val="none"/>
        </w:rPr>
        <w:t>客户端支持丰富的可视化技术，包括：麻点图、矢量图、属性图、态势图、标签图以及高性能矢量渲染技术、时空数据可视化；</w:t>
      </w:r>
    </w:p>
    <w:p>
      <w:pPr>
        <w:pStyle w:val="82"/>
        <w:numPr>
          <w:ilvl w:val="0"/>
          <w:numId w:val="7"/>
        </w:numPr>
        <w:spacing w:before="156" w:after="156"/>
        <w:rPr>
          <w:color w:val="auto"/>
          <w:highlight w:val="none"/>
        </w:rPr>
      </w:pPr>
      <w:r>
        <w:rPr>
          <w:rFonts w:hint="eastAsia" w:ascii="宋体" w:hAnsi="宋体"/>
          <w:color w:val="auto"/>
          <w:highlight w:val="none"/>
        </w:rPr>
        <w:t>支持大数据存储（</w:t>
      </w:r>
      <w:r>
        <w:rPr>
          <w:rFonts w:hint="eastAsia"/>
          <w:color w:val="auto"/>
          <w:highlight w:val="none"/>
        </w:rPr>
        <w:t>PostgreSQL</w:t>
      </w:r>
      <w:r>
        <w:rPr>
          <w:rFonts w:hint="eastAsia" w:ascii="宋体" w:hAnsi="宋体"/>
          <w:color w:val="auto"/>
          <w:highlight w:val="none"/>
        </w:rPr>
        <w:t>、</w:t>
      </w:r>
      <w:r>
        <w:rPr>
          <w:rFonts w:hint="eastAsia"/>
          <w:color w:val="auto"/>
          <w:highlight w:val="none"/>
        </w:rPr>
        <w:t>HDFS</w:t>
      </w:r>
      <w:r>
        <w:rPr>
          <w:rFonts w:hint="eastAsia" w:ascii="宋体" w:hAnsi="宋体"/>
          <w:color w:val="auto"/>
          <w:highlight w:val="none"/>
        </w:rPr>
        <w:t>、</w:t>
      </w:r>
      <w:r>
        <w:rPr>
          <w:rFonts w:hint="eastAsia"/>
          <w:color w:val="auto"/>
          <w:highlight w:val="none"/>
        </w:rPr>
        <w:t>MongoDB</w:t>
      </w:r>
      <w:r>
        <w:rPr>
          <w:rFonts w:hint="eastAsia" w:ascii="宋体" w:hAnsi="宋体"/>
          <w:color w:val="auto"/>
          <w:highlight w:val="none"/>
        </w:rPr>
        <w:t>、</w:t>
      </w:r>
      <w:r>
        <w:rPr>
          <w:rFonts w:hint="eastAsia"/>
          <w:color w:val="auto"/>
          <w:highlight w:val="none"/>
        </w:rPr>
        <w:t>elasticsearch</w:t>
      </w:r>
      <w:r>
        <w:rPr>
          <w:rFonts w:hint="eastAsia" w:ascii="宋体" w:hAnsi="宋体"/>
          <w:color w:val="auto"/>
          <w:highlight w:val="none"/>
        </w:rPr>
        <w:t>等），支持大数据软件</w:t>
      </w:r>
      <w:r>
        <w:rPr>
          <w:rFonts w:hint="eastAsia"/>
          <w:color w:val="auto"/>
          <w:highlight w:val="none"/>
        </w:rPr>
        <w:t>Spark</w:t>
      </w:r>
      <w:r>
        <w:rPr>
          <w:rFonts w:hint="eastAsia" w:ascii="宋体" w:hAnsi="宋体"/>
          <w:color w:val="auto"/>
          <w:highlight w:val="none"/>
        </w:rPr>
        <w:t>；</w:t>
      </w:r>
    </w:p>
    <w:p>
      <w:pPr>
        <w:pStyle w:val="82"/>
        <w:numPr>
          <w:ilvl w:val="0"/>
          <w:numId w:val="7"/>
        </w:numPr>
        <w:spacing w:before="156" w:after="156"/>
        <w:rPr>
          <w:color w:val="auto"/>
          <w:highlight w:val="none"/>
        </w:rPr>
      </w:pPr>
      <w:r>
        <w:rPr>
          <w:rFonts w:hint="eastAsia"/>
          <w:color w:val="auto"/>
          <w:highlight w:val="none"/>
        </w:rPr>
        <w:t xml:space="preserve">GIS </w:t>
      </w:r>
      <w:r>
        <w:rPr>
          <w:rFonts w:hint="eastAsia" w:ascii="宋体" w:hAnsi="宋体"/>
          <w:color w:val="auto"/>
          <w:highlight w:val="none"/>
        </w:rPr>
        <w:t xml:space="preserve">软件直接嵌入 </w:t>
      </w:r>
      <w:r>
        <w:rPr>
          <w:rFonts w:hint="eastAsia"/>
          <w:color w:val="auto"/>
          <w:highlight w:val="none"/>
        </w:rPr>
        <w:t>Spark</w:t>
      </w:r>
      <w:r>
        <w:rPr>
          <w:rFonts w:hint="eastAsia" w:ascii="宋体" w:hAnsi="宋体"/>
          <w:color w:val="auto"/>
          <w:highlight w:val="none"/>
        </w:rPr>
        <w:t>内运行，而非在外围作大数据分析结果可视化工具；</w:t>
      </w:r>
    </w:p>
    <w:p>
      <w:pPr>
        <w:pStyle w:val="82"/>
        <w:numPr>
          <w:ilvl w:val="0"/>
          <w:numId w:val="7"/>
        </w:numPr>
        <w:spacing w:before="156" w:after="156"/>
        <w:rPr>
          <w:rFonts w:eastAsia="雅黑"/>
          <w:color w:val="auto"/>
          <w:highlight w:val="none"/>
        </w:rPr>
      </w:pPr>
      <w:r>
        <w:rPr>
          <w:rFonts w:hint="eastAsia" w:ascii="宋体" w:hAnsi="宋体"/>
          <w:color w:val="auto"/>
          <w:highlight w:val="none"/>
        </w:rPr>
        <w:t>具有良好的中文支持，拥有简体中文版的软件、文档、手册，提供中文培训与产品资料；</w:t>
      </w:r>
    </w:p>
    <w:p>
      <w:pPr>
        <w:pStyle w:val="82"/>
        <w:numPr>
          <w:ilvl w:val="0"/>
          <w:numId w:val="7"/>
        </w:numPr>
        <w:spacing w:before="156" w:after="156"/>
        <w:rPr>
          <w:color w:val="auto"/>
          <w:highlight w:val="none"/>
        </w:rPr>
      </w:pPr>
      <w:r>
        <w:rPr>
          <w:rFonts w:hint="eastAsia"/>
          <w:color w:val="auto"/>
          <w:highlight w:val="none"/>
        </w:rPr>
        <w:t>地图内容必须包含大路工业园区内全部地图数据，比例尺要求：1:</w:t>
      </w:r>
      <w:r>
        <w:rPr>
          <w:color w:val="auto"/>
          <w:highlight w:val="none"/>
        </w:rPr>
        <w:t>2000.</w:t>
      </w:r>
    </w:p>
    <w:p>
      <w:pPr>
        <w:pStyle w:val="3"/>
        <w:rPr>
          <w:color w:val="auto"/>
          <w:highlight w:val="none"/>
        </w:rPr>
      </w:pPr>
      <w:r>
        <w:rPr>
          <w:rFonts w:hint="eastAsia"/>
          <w:color w:val="auto"/>
          <w:highlight w:val="none"/>
        </w:rPr>
        <w:t>分级预警管控</w:t>
      </w:r>
    </w:p>
    <w:tbl>
      <w:tblPr>
        <w:tblStyle w:val="22"/>
        <w:tblW w:w="9628" w:type="dxa"/>
        <w:tblInd w:w="0" w:type="dxa"/>
        <w:tblLayout w:type="fixed"/>
        <w:tblCellMar>
          <w:top w:w="0" w:type="dxa"/>
          <w:left w:w="108" w:type="dxa"/>
          <w:bottom w:w="0" w:type="dxa"/>
          <w:right w:w="108" w:type="dxa"/>
        </w:tblCellMar>
      </w:tblPr>
      <w:tblGrid>
        <w:gridCol w:w="798"/>
        <w:gridCol w:w="1284"/>
        <w:gridCol w:w="7546"/>
      </w:tblGrid>
      <w:tr>
        <w:tblPrEx>
          <w:tblCellMar>
            <w:top w:w="0" w:type="dxa"/>
            <w:left w:w="108" w:type="dxa"/>
            <w:bottom w:w="0" w:type="dxa"/>
            <w:right w:w="108" w:type="dxa"/>
          </w:tblCellMar>
        </w:tblPrEx>
        <w:trPr>
          <w:trHeight w:val="255"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84"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54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CellMar>
            <w:top w:w="0" w:type="dxa"/>
            <w:left w:w="108" w:type="dxa"/>
            <w:bottom w:w="0" w:type="dxa"/>
            <w:right w:w="108" w:type="dxa"/>
          </w:tblCellMar>
        </w:tblPrEx>
        <w:trPr>
          <w:trHeight w:val="28" w:hRule="atLeast"/>
        </w:trPr>
        <w:tc>
          <w:tcPr>
            <w:tcW w:w="7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报警管控</w:t>
            </w: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1、任务中心</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系统对接所在园区的环境监测系统，根据配置的报警规则和任务规则，生成相应的报警任务</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2、我的任务</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登陆账户需要处理的各类报警任务，并将处置记录进行提交，系统应支持当前任务处置记录填报以及历史处置情况</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3、报警查询</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按数据源、站点、报警类型、报警时间段来查询系统所发生的报警信息，支持以Excel文件的方式导出和删除记录</w:t>
            </w:r>
          </w:p>
        </w:tc>
      </w:tr>
      <w:tr>
        <w:tblPrEx>
          <w:tblCellMar>
            <w:top w:w="0" w:type="dxa"/>
            <w:left w:w="108" w:type="dxa"/>
            <w:bottom w:w="0" w:type="dxa"/>
            <w:right w:w="108" w:type="dxa"/>
          </w:tblCellMar>
        </w:tblPrEx>
        <w:trPr>
          <w:trHeight w:val="28" w:hRule="atLeast"/>
        </w:trPr>
        <w:tc>
          <w:tcPr>
            <w:tcW w:w="7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相关配置</w:t>
            </w: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1、报警产生配置</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系统管理员配置报警产生规则，报警产生规则、监测因子、报警等级、数据源，支持超标报警、趋势报警以及断线报警</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2、报警通知配置</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管理员给每个监测点进行报警通知配置，支持通知场景自定义</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3、任务产生配置</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可配置任务产生的条件，任务产生配置的内容包括任务规则名称、任务类型、任务级别、报警规则名称</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4、任务通知配置</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可配置各类任务的通知方式以及通知时段、场景、人员</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5、字典管理</w:t>
            </w:r>
          </w:p>
        </w:tc>
      </w:tr>
      <w:tr>
        <w:tblPrEx>
          <w:tblCellMar>
            <w:top w:w="0" w:type="dxa"/>
            <w:left w:w="108" w:type="dxa"/>
            <w:bottom w:w="0" w:type="dxa"/>
            <w:right w:w="108" w:type="dxa"/>
          </w:tblCellMar>
        </w:tblPrEx>
        <w:trPr>
          <w:trHeight w:val="28" w:hRule="atLeast"/>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5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对系统中报警级别/类型、任务级别/类型、数据源、通知方式进行维护</w:t>
            </w:r>
          </w:p>
        </w:tc>
      </w:tr>
    </w:tbl>
    <w:p>
      <w:pPr>
        <w:pStyle w:val="3"/>
        <w:rPr>
          <w:color w:val="auto"/>
          <w:szCs w:val="32"/>
          <w:highlight w:val="none"/>
        </w:rPr>
      </w:pPr>
      <w:r>
        <w:rPr>
          <w:rFonts w:hint="eastAsia"/>
          <w:color w:val="auto"/>
          <w:highlight w:val="none"/>
        </w:rPr>
        <w:t>一园一档</w:t>
      </w:r>
    </w:p>
    <w:p>
      <w:pPr>
        <w:spacing w:line="360" w:lineRule="auto"/>
        <w:ind w:firstLine="480"/>
        <w:rPr>
          <w:rFonts w:ascii="宋体" w:hAnsi="宋体"/>
          <w:color w:val="auto"/>
          <w:sz w:val="24"/>
          <w:szCs w:val="24"/>
          <w:highlight w:val="none"/>
        </w:rPr>
      </w:pPr>
      <w:r>
        <w:rPr>
          <w:rFonts w:ascii="宋体" w:hAnsi="宋体"/>
          <w:color w:val="auto"/>
          <w:sz w:val="24"/>
          <w:szCs w:val="24"/>
          <w:highlight w:val="none"/>
        </w:rPr>
        <w:t>一园一档包括园区档案、企业档案、消息通知等管理模块，实现园区、企业信息的管理以及消息的上传下达。</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园区档案</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含园区的基本信息、相关批文、环评信息、产业规划、管网资料、应急预案等基础信息，并可以汇集园区企业的危废、固废、危化品、特征污染物名录等信息，为园区管理者提供信息快速查询获取，企业重点信息汇总管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企业档案</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包含企业基本情况、重大危险源信息、污染排放信息、风险隐患等信息，并对企业内的废气排放等进行动态监测监控，实现企业档案“一表清”、“一数一源、一源多用”、企业动态监管。</w:t>
            </w:r>
          </w:p>
          <w:p>
            <w:pPr>
              <w:pStyle w:val="67"/>
              <w:rPr>
                <w:color w:val="auto"/>
                <w:highlight w:val="none"/>
              </w:rPr>
            </w:pPr>
            <w:r>
              <w:rPr>
                <w:rFonts w:hint="eastAsia"/>
                <w:color w:val="auto"/>
                <w:highlight w:val="none"/>
              </w:rPr>
              <w:t>1</w:t>
            </w:r>
            <w:r>
              <w:rPr>
                <w:rFonts w:hint="eastAsia" w:ascii="宋体" w:hAnsi="宋体"/>
                <w:color w:val="auto"/>
                <w:highlight w:val="none"/>
              </w:rPr>
              <w:t>）档案管理</w:t>
            </w:r>
          </w:p>
          <w:p>
            <w:pPr>
              <w:pStyle w:val="67"/>
              <w:rPr>
                <w:color w:val="auto"/>
                <w:highlight w:val="none"/>
              </w:rPr>
            </w:pPr>
            <w:r>
              <w:rPr>
                <w:rFonts w:hint="eastAsia"/>
                <w:color w:val="auto"/>
                <w:highlight w:val="none"/>
              </w:rPr>
              <w:t>按照“一企一档”的管理方式规范化、标准化管理企业基本信息、管理属性、安全信息档案，环境保护信息档案等。</w:t>
            </w:r>
          </w:p>
          <w:p>
            <w:pPr>
              <w:pStyle w:val="67"/>
              <w:rPr>
                <w:color w:val="auto"/>
                <w:highlight w:val="none"/>
              </w:rPr>
            </w:pPr>
            <w:r>
              <w:rPr>
                <w:rFonts w:hint="eastAsia"/>
                <w:color w:val="auto"/>
                <w:highlight w:val="none"/>
              </w:rPr>
              <w:t>2</w:t>
            </w:r>
            <w:r>
              <w:rPr>
                <w:rFonts w:hint="eastAsia" w:ascii="宋体" w:hAnsi="宋体"/>
                <w:color w:val="auto"/>
                <w:highlight w:val="none"/>
              </w:rPr>
              <w:t>）注销企业</w:t>
            </w:r>
          </w:p>
          <w:p>
            <w:pPr>
              <w:pStyle w:val="67"/>
              <w:rPr>
                <w:color w:val="auto"/>
                <w:highlight w:val="none"/>
              </w:rPr>
            </w:pPr>
            <w:r>
              <w:rPr>
                <w:rFonts w:hint="eastAsia"/>
                <w:color w:val="auto"/>
                <w:highlight w:val="none"/>
              </w:rPr>
              <w:t>查看企业注销的理由、注销的记录，可还原注销的企业。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消息通知</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园区管理端可以向企业批量发送通知公告、手动提醒、系统消息等，并且可以统计显示消息的阅读状态，方便园区消息的上传下达。</w:t>
            </w:r>
          </w:p>
        </w:tc>
      </w:tr>
    </w:tbl>
    <w:p>
      <w:pPr>
        <w:pStyle w:val="3"/>
        <w:rPr>
          <w:color w:val="auto"/>
          <w:szCs w:val="32"/>
          <w:highlight w:val="none"/>
        </w:rPr>
      </w:pPr>
      <w:r>
        <w:rPr>
          <w:rFonts w:hint="eastAsia"/>
          <w:color w:val="auto"/>
          <w:highlight w:val="none"/>
        </w:rPr>
        <w:t>视频中心</w:t>
      </w:r>
    </w:p>
    <w:p>
      <w:pPr>
        <w:pStyle w:val="4"/>
        <w:rPr>
          <w:color w:val="auto"/>
          <w:highlight w:val="none"/>
        </w:rPr>
      </w:pPr>
      <w:r>
        <w:rPr>
          <w:rFonts w:hint="eastAsia"/>
          <w:color w:val="auto"/>
          <w:highlight w:val="none"/>
        </w:rPr>
        <w:t>高空瞭望视频监控</w:t>
      </w:r>
    </w:p>
    <w:p>
      <w:pPr>
        <w:ind w:firstLine="482"/>
        <w:rPr>
          <w:rFonts w:ascii="宋体" w:hAnsi="宋体"/>
          <w:b/>
          <w:bCs/>
          <w:color w:val="auto"/>
          <w:highlight w:val="none"/>
        </w:rPr>
      </w:pPr>
      <w:r>
        <w:rPr>
          <w:rFonts w:hint="eastAsia" w:ascii="宋体" w:hAnsi="宋体"/>
          <w:b/>
          <w:bCs/>
          <w:color w:val="auto"/>
          <w:highlight w:val="none"/>
        </w:rPr>
        <w:t>网络链路要求：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视频监控图像传输对网络链路要求较高，至少2M光纤链路。</w:t>
      </w:r>
    </w:p>
    <w:p>
      <w:pPr>
        <w:pStyle w:val="5"/>
        <w:rPr>
          <w:color w:val="auto"/>
          <w:highlight w:val="none"/>
        </w:rPr>
      </w:pPr>
      <w:r>
        <w:rPr>
          <w:rFonts w:hint="eastAsia"/>
          <w:color w:val="auto"/>
          <w:highlight w:val="none"/>
        </w:rPr>
        <w:t>系统配置清单</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606"/>
        <w:gridCol w:w="570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606"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产品大类</w:t>
            </w:r>
          </w:p>
        </w:tc>
        <w:tc>
          <w:tcPr>
            <w:tcW w:w="5702"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产品名称</w:t>
            </w:r>
          </w:p>
        </w:tc>
        <w:tc>
          <w:tcPr>
            <w:tcW w:w="106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06"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云台</w:t>
            </w:r>
          </w:p>
        </w:tc>
        <w:tc>
          <w:tcPr>
            <w:tcW w:w="5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不低于200万重载星光级红外云台摄像机</w:t>
            </w:r>
          </w:p>
        </w:tc>
        <w:tc>
          <w:tcPr>
            <w:tcW w:w="10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06"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NVR</w:t>
            </w:r>
          </w:p>
        </w:tc>
        <w:tc>
          <w:tcPr>
            <w:tcW w:w="5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网络硬盘录像机</w:t>
            </w:r>
          </w:p>
        </w:tc>
        <w:tc>
          <w:tcPr>
            <w:tcW w:w="10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06"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硬盘</w:t>
            </w:r>
          </w:p>
        </w:tc>
        <w:tc>
          <w:tcPr>
            <w:tcW w:w="5702"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不低于4T监控专用硬盘</w:t>
            </w:r>
          </w:p>
        </w:tc>
        <w:tc>
          <w:tcPr>
            <w:tcW w:w="10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2套</w:t>
            </w:r>
          </w:p>
        </w:tc>
      </w:tr>
    </w:tbl>
    <w:p>
      <w:pPr>
        <w:pStyle w:val="5"/>
        <w:rPr>
          <w:color w:val="auto"/>
          <w:highlight w:val="none"/>
        </w:rPr>
      </w:pPr>
      <w:r>
        <w:rPr>
          <w:rFonts w:hint="eastAsia"/>
          <w:color w:val="auto"/>
          <w:highlight w:val="none"/>
        </w:rPr>
        <w:t>设备参数</w:t>
      </w:r>
    </w:p>
    <w:p>
      <w:pPr>
        <w:pStyle w:val="6"/>
        <w:rPr>
          <w:color w:val="auto"/>
          <w:highlight w:val="none"/>
        </w:rPr>
      </w:pPr>
      <w:r>
        <w:rPr>
          <w:rFonts w:hint="eastAsia"/>
          <w:color w:val="auto"/>
          <w:highlight w:val="none"/>
        </w:rPr>
        <w:t>云台</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15"/>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15"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62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可见光</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探测距离≥3</w:t>
            </w:r>
            <w:r>
              <w:rPr>
                <w:rFonts w:ascii="宋体" w:hAnsi="宋体"/>
                <w:color w:val="auto"/>
                <w:sz w:val="21"/>
                <w:szCs w:val="21"/>
                <w:highlight w:val="none"/>
              </w:rPr>
              <w:t>000</w:t>
            </w:r>
            <w:r>
              <w:rPr>
                <w:rFonts w:hint="eastAsia" w:ascii="宋体" w:hAnsi="宋体"/>
                <w:color w:val="auto"/>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有效像素</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不低于2</w:t>
            </w:r>
            <w:r>
              <w:rPr>
                <w:rFonts w:ascii="宋体" w:hAnsi="宋体"/>
                <w:color w:val="auto"/>
                <w:sz w:val="21"/>
                <w:szCs w:val="21"/>
                <w:highlight w:val="none"/>
              </w:rPr>
              <w:t>00</w:t>
            </w:r>
            <w:r>
              <w:rPr>
                <w:rFonts w:hint="eastAsia" w:ascii="宋体" w:hAnsi="宋体"/>
                <w:color w:val="auto"/>
                <w:sz w:val="21"/>
                <w:szCs w:val="21"/>
                <w:highlight w:val="none"/>
              </w:rPr>
              <w:t>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最低照度</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0.01Lux/F1.8(彩色),0.001Lux/F1.8(黑白)，0 Lux with 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焦距</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6.6-350mm，53倍光学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工作温度和湿度</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-40℃-70℃，  湿度小于95%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防护等级</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IP66、防雷、防浪涌、防突波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主码流分辨率</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不小于50Hz:50fps(1920×1080) ;60Hz:60fps(1920×1080)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视频压缩</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H.265/H.264（Baseline、Main、High Profile）/MJPEG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运动范围</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水平0°～360°连续旋转  垂直+40°～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运动速度</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水平0.1°～100°/s  垂直0.1°～40°/s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图像增强</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光学防抖、电子防抖、背光补偿、宽动态、区域曝光、区域聚焦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12</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网络接口</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RJ45网口，自适应10M/100M网络数据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13</w:t>
            </w:r>
          </w:p>
        </w:tc>
        <w:tc>
          <w:tcPr>
            <w:tcW w:w="121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模拟视频输出</w:t>
            </w:r>
          </w:p>
        </w:tc>
        <w:tc>
          <w:tcPr>
            <w:tcW w:w="762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BNC头</w:t>
            </w:r>
          </w:p>
        </w:tc>
      </w:tr>
    </w:tbl>
    <w:p>
      <w:pPr>
        <w:pStyle w:val="6"/>
        <w:rPr>
          <w:color w:val="auto"/>
          <w:szCs w:val="24"/>
          <w:highlight w:val="none"/>
        </w:rPr>
      </w:pPr>
      <w:r>
        <w:rPr>
          <w:rFonts w:hint="eastAsia"/>
          <w:color w:val="auto"/>
          <w:highlight w:val="none"/>
        </w:rPr>
        <w:t>网络硬盘录像机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681"/>
        <w:gridCol w:w="7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681"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169"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机架结构</w:t>
            </w:r>
          </w:p>
        </w:tc>
        <w:tc>
          <w:tcPr>
            <w:tcW w:w="716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2U标准机架式IP存储，嵌入式处理器，嵌入式软硬件设计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接入带宽</w:t>
            </w:r>
          </w:p>
        </w:tc>
        <w:tc>
          <w:tcPr>
            <w:tcW w:w="716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支持至少8路高清，128M带宽网络视频接入，256M网络带宽输出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硬盘驱动器</w:t>
            </w:r>
          </w:p>
        </w:tc>
        <w:tc>
          <w:tcPr>
            <w:tcW w:w="716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支持至少8个SATA盘位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RAID类型</w:t>
            </w:r>
          </w:p>
        </w:tc>
        <w:tc>
          <w:tcPr>
            <w:tcW w:w="716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支持RAID 0、1、5、6、10多种RAID模式及全局热备，多重保护数据安全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录像模式</w:t>
            </w:r>
          </w:p>
        </w:tc>
        <w:tc>
          <w:tcPr>
            <w:tcW w:w="7169"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支持关键视频添加标签和加锁保护、整机热备、断网续传等功能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681"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网口</w:t>
            </w:r>
          </w:p>
        </w:tc>
        <w:tc>
          <w:tcPr>
            <w:tcW w:w="7169"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不少于2个千兆以太网口，充分满足网络预览、回放以及备份应用</w:t>
            </w:r>
          </w:p>
        </w:tc>
      </w:tr>
    </w:tbl>
    <w:p>
      <w:pPr>
        <w:pStyle w:val="6"/>
        <w:rPr>
          <w:color w:val="auto"/>
          <w:szCs w:val="24"/>
          <w:highlight w:val="none"/>
        </w:rPr>
      </w:pPr>
      <w:r>
        <w:rPr>
          <w:rFonts w:hint="eastAsia"/>
          <w:color w:val="auto"/>
          <w:highlight w:val="none"/>
        </w:rPr>
        <w:t>视频专用存储硬盘</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3.5英寸 不低于4TB 容量</w:t>
      </w:r>
    </w:p>
    <w:p>
      <w:pPr>
        <w:pStyle w:val="4"/>
        <w:rPr>
          <w:color w:val="auto"/>
          <w:highlight w:val="none"/>
        </w:rPr>
      </w:pPr>
      <w:r>
        <w:rPr>
          <w:rFonts w:hint="eastAsia"/>
          <w:color w:val="auto"/>
          <w:highlight w:val="none"/>
        </w:rPr>
        <w:t>视频监控管理平台</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87"/>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087"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6783"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087"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视频监控</w:t>
            </w:r>
          </w:p>
        </w:tc>
        <w:tc>
          <w:tcPr>
            <w:tcW w:w="6783"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通过视频实时监控污染企业的主要排污口、监测设备、环境质量监测点、危险源以及公共区域等，支持污染物浓度数据叠加。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087"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录像管理</w:t>
            </w:r>
          </w:p>
        </w:tc>
        <w:tc>
          <w:tcPr>
            <w:tcW w:w="6783"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查询系统中所有产生的视频信息，可以快进、快退、暂停、播放、停止。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087"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相关配置</w:t>
            </w:r>
          </w:p>
        </w:tc>
        <w:tc>
          <w:tcPr>
            <w:tcW w:w="6783"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olor w:val="auto"/>
                <w:sz w:val="21"/>
                <w:szCs w:val="21"/>
                <w:highlight w:val="none"/>
              </w:rPr>
            </w:pPr>
            <w:r>
              <w:rPr>
                <w:rFonts w:hint="eastAsia" w:ascii="宋体" w:hAnsi="宋体"/>
                <w:color w:val="auto"/>
                <w:sz w:val="21"/>
                <w:szCs w:val="21"/>
                <w:highlight w:val="none"/>
              </w:rPr>
              <w:t>对当前系统所有设备进行统一有效管理，支持有系统配置权限的用户对设备进行配置和查询，主要包括DVR设置、设备类型、设备用途、监测因子。</w:t>
            </w:r>
          </w:p>
        </w:tc>
      </w:tr>
    </w:tbl>
    <w:p>
      <w:pPr>
        <w:pStyle w:val="2"/>
        <w:rPr>
          <w:color w:val="auto"/>
          <w:szCs w:val="32"/>
          <w:highlight w:val="none"/>
        </w:rPr>
      </w:pPr>
      <w:r>
        <w:rPr>
          <w:rFonts w:hint="eastAsia"/>
          <w:color w:val="auto"/>
          <w:highlight w:val="none"/>
        </w:rPr>
        <w:t>决策支撑</w:t>
      </w:r>
    </w:p>
    <w:p>
      <w:pPr>
        <w:pStyle w:val="3"/>
        <w:rPr>
          <w:color w:val="auto"/>
          <w:highlight w:val="none"/>
        </w:rPr>
      </w:pPr>
      <w:r>
        <w:rPr>
          <w:rFonts w:hint="eastAsia"/>
          <w:color w:val="auto"/>
          <w:highlight w:val="none"/>
        </w:rPr>
        <w:t>园区数据资源中心</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建设内容全面、业务广泛、数据规范、组织合理的信息资源体系，为管理、信息公开提供数据服务和信息支撑。</w:t>
      </w:r>
    </w:p>
    <w:p>
      <w:pPr>
        <w:pStyle w:val="4"/>
        <w:rPr>
          <w:color w:val="auto"/>
          <w:highlight w:val="none"/>
        </w:rPr>
      </w:pPr>
      <w:r>
        <w:rPr>
          <w:rFonts w:hint="eastAsia"/>
          <w:color w:val="auto"/>
          <w:highlight w:val="none"/>
        </w:rPr>
        <w:t>标准规范体系建设</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平台标准体系主要包括数据标准、服务标准及管理标准等三大类，主要用于规范系统建设过程中的技术要求和数据标准，屏蔽各部门、各系统、各业务之间的差异性，按需、有序、及时、有效的共享信息。</w:t>
      </w:r>
    </w:p>
    <w:p>
      <w:pPr>
        <w:pStyle w:val="4"/>
        <w:rPr>
          <w:color w:val="auto"/>
          <w:highlight w:val="none"/>
        </w:rPr>
      </w:pPr>
      <w:r>
        <w:rPr>
          <w:rFonts w:hint="eastAsia"/>
          <w:color w:val="auto"/>
          <w:highlight w:val="none"/>
        </w:rPr>
        <w:t>数据采集整合</w:t>
      </w:r>
    </w:p>
    <w:tbl>
      <w:tblPr>
        <w:tblStyle w:val="22"/>
        <w:tblW w:w="9628" w:type="dxa"/>
        <w:tblInd w:w="0" w:type="dxa"/>
        <w:tblLayout w:type="fixed"/>
        <w:tblCellMar>
          <w:top w:w="0" w:type="dxa"/>
          <w:left w:w="108" w:type="dxa"/>
          <w:bottom w:w="0" w:type="dxa"/>
          <w:right w:w="108" w:type="dxa"/>
        </w:tblCellMar>
      </w:tblPr>
      <w:tblGrid>
        <w:gridCol w:w="763"/>
        <w:gridCol w:w="1700"/>
        <w:gridCol w:w="7165"/>
      </w:tblGrid>
      <w:tr>
        <w:tblPrEx>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6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CellMar>
            <w:top w:w="0" w:type="dxa"/>
            <w:left w:w="108" w:type="dxa"/>
            <w:bottom w:w="0" w:type="dxa"/>
            <w:right w:w="108" w:type="dxa"/>
          </w:tblCellMar>
        </w:tblPrEx>
        <w:trPr>
          <w:trHeight w:val="28" w:hRule="atLeast"/>
        </w:trPr>
        <w:tc>
          <w:tcPr>
            <w:tcW w:w="763"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00"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数据在线填报</w:t>
            </w:r>
          </w:p>
        </w:tc>
        <w:tc>
          <w:tcPr>
            <w:tcW w:w="7165"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针对特有的业务数据且该数据不具备数据交换的特征，系统通过定制数据录入表单让用户直接进行在线数据填报，完成数据采集入库</w:t>
            </w:r>
          </w:p>
        </w:tc>
      </w:tr>
      <w:tr>
        <w:tblPrEx>
          <w:tblCellMar>
            <w:top w:w="0" w:type="dxa"/>
            <w:left w:w="108" w:type="dxa"/>
            <w:bottom w:w="0" w:type="dxa"/>
            <w:right w:w="108" w:type="dxa"/>
          </w:tblCellMar>
        </w:tblPrEx>
        <w:trPr>
          <w:trHeight w:val="28" w:hRule="atLeast"/>
        </w:trPr>
        <w:tc>
          <w:tcPr>
            <w:tcW w:w="763"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00"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数据交换整合</w:t>
            </w:r>
          </w:p>
        </w:tc>
        <w:tc>
          <w:tcPr>
            <w:tcW w:w="7165" w:type="dxa"/>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包括定时采集、手动采集、文件导入</w:t>
            </w:r>
          </w:p>
        </w:tc>
      </w:tr>
    </w:tbl>
    <w:p>
      <w:pPr>
        <w:pStyle w:val="4"/>
        <w:rPr>
          <w:color w:val="auto"/>
          <w:highlight w:val="none"/>
        </w:rPr>
      </w:pPr>
      <w:r>
        <w:rPr>
          <w:rFonts w:hint="eastAsia"/>
          <w:color w:val="auto"/>
          <w:highlight w:val="none"/>
        </w:rPr>
        <w:t>数据资源管理</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00"/>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6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基础信息管理</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维护和管理各业务应用系统在处理业务中均需要使用的各类基础性信息过对基础信息的管理，形成一致的数据资源中心的基础信息库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元数据管理</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包括元数据分类、元数据的采集与同步、元数据信息的管理与发布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数据查询</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系统为数据中心的数据提供可视化查询功能，如定制查询、动态模板查询等，同时支持数据导出等操作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数据资源管理</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系统采用统一的元数据标准对信息资源进行描述，数据中心的数据均视为资源进行统一管理</w:t>
            </w:r>
          </w:p>
        </w:tc>
      </w:tr>
    </w:tbl>
    <w:p>
      <w:pPr>
        <w:pStyle w:val="4"/>
        <w:rPr>
          <w:color w:val="auto"/>
          <w:highlight w:val="none"/>
        </w:rPr>
      </w:pPr>
      <w:r>
        <w:rPr>
          <w:rFonts w:hint="eastAsia"/>
          <w:color w:val="auto"/>
          <w:highlight w:val="none"/>
        </w:rPr>
        <w:t>文档管理</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文系统提供基于文档元数据的检索和基于文档内容的全文检索，并对查询结果进行在线浏览和下载。</w:t>
      </w:r>
    </w:p>
    <w:p>
      <w:pPr>
        <w:pStyle w:val="4"/>
        <w:rPr>
          <w:color w:val="auto"/>
          <w:highlight w:val="none"/>
        </w:rPr>
      </w:pPr>
      <w:r>
        <w:rPr>
          <w:rFonts w:hint="eastAsia"/>
          <w:color w:val="auto"/>
          <w:highlight w:val="none"/>
        </w:rPr>
        <w:t>资源共享中心</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00"/>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6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全文检索</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针对数据中心所采集的非结构化数据（如资源附件、扫描件等），系统提供基于文档元数据（如分类、标签、类型、时间等）的检索和基于文档内容的全文检索，并对查询结果进行在线浏览和下载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资源中心</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包括资源检索、资源注册、个人中心</w:t>
            </w:r>
          </w:p>
        </w:tc>
      </w:tr>
    </w:tbl>
    <w:p>
      <w:pPr>
        <w:pStyle w:val="4"/>
        <w:rPr>
          <w:color w:val="auto"/>
          <w:highlight w:val="none"/>
        </w:rPr>
      </w:pPr>
      <w:r>
        <w:rPr>
          <w:rFonts w:hint="eastAsia"/>
          <w:color w:val="auto"/>
          <w:highlight w:val="none"/>
        </w:rPr>
        <w:t>统计分析</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885"/>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gridSpan w:val="2"/>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1</w:t>
            </w:r>
          </w:p>
        </w:tc>
        <w:tc>
          <w:tcPr>
            <w:tcW w:w="1481" w:type="dxa"/>
            <w:vMerge w:val="restart"/>
            <w:tcBorders>
              <w:top w:val="single" w:color="auto" w:sz="4" w:space="0"/>
              <w:left w:val="nil"/>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环境质量综合分析</w:t>
            </w:r>
          </w:p>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通过对环境监测数据和相关信息的综合分析，科学、客观、完整地分析环境质量在时间、空间的分布规律和特征，提高为园区管理部门制定环境决策和实施环境管理服务的针对性和效能。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color w:val="auto"/>
                <w:highlight w:val="none"/>
              </w:rPr>
              <w:t>2</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通过对环境质量变化的原因分析，揭示环境质量变化与各影响环境质量变化因素的相关性，分析有关环境政策、规划、措施实施的环境效果，为环境污染防治提出重点方向和目标建议。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3</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根据环境质量综合分析的需要，促进环境监测战略、方针、技术路线和监测技术方法的完善和发展。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4</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提高环境质量报告和发布信息的科学化、公众化的水平。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5</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数据资源中心通过与环境地理信息系统相结合，建设园区环境综合分析平台，有效地利用数据分析模型和展现手段实现对环保数据的利用，实现灵活快速的查询和分析，并通过高度可视化方式进行直观展示。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6</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环境质量综合分析主要包括：大气环境质量分析、生态环境质量分析等。在对各类环境质量进行分析时，还可关联污染源数据进行联合分析。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7</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大气环境质量综合分析实现对园区大气特征因子与空气质量的综合分析，主要包括大气特征因子分布分析、特征因子排放浓度统计、空气监测数据统计、厂界特征因子预警统计等。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8</w:t>
            </w:r>
          </w:p>
        </w:tc>
        <w:tc>
          <w:tcPr>
            <w:tcW w:w="1481" w:type="dxa"/>
            <w:vMerge w:val="restart"/>
            <w:tcBorders>
              <w:left w:val="nil"/>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安监业务数据统计分析</w:t>
            </w:r>
          </w:p>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按照属地管理原则，园区用户可对本园区内各业务信息进行精确或模糊方式查询，支持数据库的全文检索功能。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9</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7165" w:type="dxa"/>
            <w:gridSpan w:val="2"/>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各级用户可对辖区内的业务信息按照各种方式进行统计分析，支持多字段组合查询统计功能，统计结果可打印输出。实现统计结果饼图、柱状图等方式的灵活直观展示，支持页面打印输出。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10</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885" w:type="dxa"/>
            <w:vMerge w:val="restart"/>
            <w:tcBorders>
              <w:top w:val="single" w:color="auto" w:sz="4" w:space="0"/>
              <w:left w:val="nil"/>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业务信息的统计</w:t>
            </w:r>
          </w:p>
        </w:tc>
        <w:tc>
          <w:tcPr>
            <w:tcW w:w="62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企业基础信息统计；可根据企业所属行业、企业所在位置、企业规模、经济类型、安全类别和标准化等级等基础信息进行统计分析。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11</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885" w:type="dxa"/>
            <w:vMerge w:val="continue"/>
            <w:tcBorders>
              <w:left w:val="nil"/>
              <w:right w:val="single" w:color="auto" w:sz="4" w:space="0"/>
            </w:tcBorders>
            <w:vAlign w:val="center"/>
          </w:tcPr>
          <w:p>
            <w:pPr>
              <w:rPr>
                <w:rFonts w:ascii="宋体" w:hAnsi="宋体"/>
                <w:color w:val="auto"/>
                <w:sz w:val="21"/>
                <w:szCs w:val="21"/>
                <w:highlight w:val="none"/>
              </w:rPr>
            </w:pPr>
          </w:p>
        </w:tc>
        <w:tc>
          <w:tcPr>
            <w:tcW w:w="62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企业分类分级信息统计；可根据对企业行业分类的无限分级实现对企业分类分级的信息进行统计分析。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12</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885" w:type="dxa"/>
            <w:vMerge w:val="continue"/>
            <w:tcBorders>
              <w:left w:val="nil"/>
              <w:right w:val="single" w:color="auto" w:sz="4" w:space="0"/>
            </w:tcBorders>
            <w:vAlign w:val="center"/>
          </w:tcPr>
          <w:p>
            <w:pPr>
              <w:rPr>
                <w:rFonts w:ascii="宋体" w:hAnsi="宋体"/>
                <w:color w:val="auto"/>
                <w:sz w:val="21"/>
                <w:szCs w:val="21"/>
                <w:highlight w:val="none"/>
              </w:rPr>
            </w:pPr>
          </w:p>
        </w:tc>
        <w:tc>
          <w:tcPr>
            <w:tcW w:w="62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重大事故隐患信息统计；可根据事故隐患整改完成、未完成数量统计。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color w:val="auto"/>
                <w:highlight w:val="none"/>
              </w:rPr>
            </w:pPr>
            <w:r>
              <w:rPr>
                <w:rFonts w:hint="eastAsia"/>
                <w:color w:val="auto"/>
                <w:highlight w:val="none"/>
              </w:rPr>
              <w:t>13</w:t>
            </w:r>
          </w:p>
        </w:tc>
        <w:tc>
          <w:tcPr>
            <w:tcW w:w="1481" w:type="dxa"/>
            <w:vMerge w:val="continue"/>
            <w:tcBorders>
              <w:left w:val="nil"/>
              <w:right w:val="single" w:color="auto" w:sz="4" w:space="0"/>
            </w:tcBorders>
            <w:vAlign w:val="center"/>
          </w:tcPr>
          <w:p>
            <w:pPr>
              <w:rPr>
                <w:rFonts w:ascii="宋体" w:hAnsi="宋体"/>
                <w:color w:val="auto"/>
                <w:sz w:val="21"/>
                <w:szCs w:val="21"/>
                <w:highlight w:val="none"/>
              </w:rPr>
            </w:pPr>
          </w:p>
        </w:tc>
        <w:tc>
          <w:tcPr>
            <w:tcW w:w="885" w:type="dxa"/>
            <w:vMerge w:val="continue"/>
            <w:tcBorders>
              <w:left w:val="nil"/>
              <w:bottom w:val="single" w:color="auto" w:sz="4" w:space="0"/>
              <w:right w:val="single" w:color="auto" w:sz="4" w:space="0"/>
            </w:tcBorders>
            <w:vAlign w:val="center"/>
          </w:tcPr>
          <w:p>
            <w:pPr>
              <w:rPr>
                <w:rFonts w:ascii="宋体" w:hAnsi="宋体"/>
                <w:color w:val="auto"/>
                <w:sz w:val="21"/>
                <w:szCs w:val="21"/>
                <w:highlight w:val="none"/>
              </w:rPr>
            </w:pPr>
          </w:p>
        </w:tc>
        <w:tc>
          <w:tcPr>
            <w:tcW w:w="62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企业人员培训信息统计；可根据培训类别培训人员数量统计。</w:t>
            </w:r>
          </w:p>
        </w:tc>
      </w:tr>
    </w:tbl>
    <w:p>
      <w:pPr>
        <w:pStyle w:val="4"/>
        <w:rPr>
          <w:color w:val="auto"/>
          <w:highlight w:val="none"/>
        </w:rPr>
      </w:pPr>
      <w:r>
        <w:rPr>
          <w:rFonts w:hint="eastAsia"/>
          <w:color w:val="auto"/>
          <w:highlight w:val="none"/>
        </w:rPr>
        <w:t>企业综合档案</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00"/>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165"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快速查询</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将用户使用最为频繁的查询方法提取出来，做成若干个固定的查询式样，其中的查询步骤、条件、结果的表现形式都是根据用户的需求事先做好的。用户只需输入或选择相应的查询条件，如名称、所在区域、污染物类型、控制级别等等，就可以得到相应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自定义查询</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用户可根据需要，定制查询条件，系统会及时响应并输出结果呈现到界面上。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70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地图与表格双向查询</w:t>
            </w:r>
          </w:p>
        </w:tc>
        <w:tc>
          <w:tcPr>
            <w:tcW w:w="7165"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通过在地图上或列表中查看企业基本信息，可通过污染源的空间属性或业务属性作为查询条件，精确或模糊查询出符合条件的企业信息，得到符合条件的企业在地图上分布显示，不同类型的企业可在地图上以不同的颜色区分。</w:t>
            </w:r>
          </w:p>
        </w:tc>
      </w:tr>
    </w:tbl>
    <w:p>
      <w:pPr>
        <w:pStyle w:val="4"/>
        <w:rPr>
          <w:color w:val="auto"/>
          <w:highlight w:val="none"/>
        </w:rPr>
      </w:pPr>
      <w:r>
        <w:rPr>
          <w:rFonts w:hint="eastAsia"/>
          <w:color w:val="auto"/>
          <w:highlight w:val="none"/>
        </w:rPr>
        <w:t>资源交换共享</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系统基于通用的XML及Schema，定制出一套平台的交换标准，支持SOAP、RMI、Rest Service、Web Service等信息传输方式，将各类数据信息资源封装为服务接口，满足各类应用的数据访问需要。</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对于各类服务接口，系统提供接口元数据信息的查询、服务接口调用日志的查看等辅助功能。</w:t>
      </w:r>
    </w:p>
    <w:p>
      <w:pPr>
        <w:pStyle w:val="4"/>
        <w:rPr>
          <w:color w:val="auto"/>
          <w:highlight w:val="none"/>
        </w:rPr>
      </w:pPr>
      <w:r>
        <w:rPr>
          <w:rFonts w:hint="eastAsia"/>
          <w:color w:val="auto"/>
          <w:highlight w:val="none"/>
        </w:rPr>
        <w:t>系统管理</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维护系统中需进行自定义配置的数据和信息，以便其他功能予以引用。主要包括企业关联管理、功能因子组配置、首页主题配置、污染源档案菜单配置等。</w:t>
      </w:r>
    </w:p>
    <w:p>
      <w:pPr>
        <w:pStyle w:val="3"/>
        <w:rPr>
          <w:color w:val="auto"/>
          <w:highlight w:val="none"/>
        </w:rPr>
      </w:pPr>
      <w:r>
        <w:rPr>
          <w:rFonts w:hint="eastAsia"/>
          <w:color w:val="auto"/>
          <w:highlight w:val="none"/>
        </w:rPr>
        <w:t>大屏展示系统</w:t>
      </w:r>
    </w:p>
    <w:p>
      <w:pPr>
        <w:spacing w:line="360" w:lineRule="auto"/>
        <w:ind w:firstLine="480"/>
        <w:rPr>
          <w:rFonts w:ascii="宋体" w:hAnsi="宋体"/>
          <w:color w:val="auto"/>
          <w:sz w:val="24"/>
          <w:szCs w:val="24"/>
          <w:highlight w:val="none"/>
        </w:rPr>
      </w:pPr>
      <w:r>
        <w:rPr>
          <w:rFonts w:ascii="宋体" w:hAnsi="宋体"/>
          <w:color w:val="auto"/>
          <w:sz w:val="24"/>
          <w:szCs w:val="24"/>
          <w:highlight w:val="none"/>
        </w:rPr>
        <w:t>园区智慧环保综合展示平台包括：园区介绍、环境概览、环境监管</w:t>
      </w:r>
      <w:r>
        <w:rPr>
          <w:rFonts w:hint="eastAsia" w:ascii="宋体" w:hAnsi="宋体"/>
          <w:color w:val="auto"/>
          <w:sz w:val="24"/>
          <w:szCs w:val="24"/>
          <w:highlight w:val="none"/>
        </w:rPr>
        <w:t>、企业评价，</w:t>
      </w:r>
      <w:r>
        <w:rPr>
          <w:rFonts w:ascii="宋体" w:hAnsi="宋体"/>
          <w:color w:val="auto"/>
          <w:sz w:val="24"/>
          <w:szCs w:val="24"/>
          <w:highlight w:val="none"/>
        </w:rPr>
        <w:t>通过大屏直观展示园区智慧环保管理理念及建设成果。</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81"/>
        <w:gridCol w:w="7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jc w:val="center"/>
              <w:rPr>
                <w:b/>
                <w:bCs/>
                <w:color w:val="auto"/>
                <w:highlight w:val="none"/>
              </w:rPr>
            </w:pPr>
            <w:r>
              <w:rPr>
                <w:b/>
                <w:bCs/>
                <w:color w:val="auto"/>
                <w:highlight w:val="none"/>
              </w:rPr>
              <w:t>序号</w:t>
            </w:r>
          </w:p>
        </w:tc>
        <w:tc>
          <w:tcPr>
            <w:tcW w:w="1481"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内容</w:t>
            </w:r>
          </w:p>
        </w:tc>
        <w:tc>
          <w:tcPr>
            <w:tcW w:w="7165" w:type="dxa"/>
            <w:tcBorders>
              <w:top w:val="single" w:color="auto" w:sz="4" w:space="0"/>
              <w:left w:val="nil"/>
              <w:bottom w:val="single" w:color="auto" w:sz="4" w:space="0"/>
              <w:right w:val="single" w:color="auto" w:sz="4" w:space="0"/>
            </w:tcBorders>
            <w:vAlign w:val="center"/>
          </w:tcPr>
          <w:p>
            <w:pPr>
              <w:pStyle w:val="67"/>
              <w:jc w:val="center"/>
              <w:rPr>
                <w:b/>
                <w:bCs/>
                <w:color w:val="auto"/>
                <w:highlight w:val="none"/>
              </w:rPr>
            </w:pPr>
            <w:r>
              <w:rPr>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rPr>
                <w:color w:val="auto"/>
                <w:highlight w:val="none"/>
              </w:rPr>
            </w:pPr>
            <w:r>
              <w:rPr>
                <w:color w:val="auto"/>
                <w:highlight w:val="none"/>
              </w:rPr>
              <w:t>1</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园区介绍</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ascii="Times New Roman" w:hAnsi="Times New Roman" w:cs="Times New Roman"/>
                <w:color w:val="auto"/>
                <w:highlight w:val="none"/>
              </w:rPr>
              <w:t>包</w:t>
            </w:r>
            <w:r>
              <w:rPr>
                <w:rFonts w:hint="eastAsia"/>
                <w:color w:val="auto"/>
                <w:highlight w:val="none"/>
              </w:rPr>
              <w:t>括园区基本信息、发展定位、园区经济等指标的变化，近期园区的主要环保相关的大事件以及旨在建设生态园区方面的一些投入产出情况。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rPr>
                <w:color w:val="auto"/>
                <w:highlight w:val="none"/>
              </w:rPr>
            </w:pPr>
            <w:r>
              <w:rPr>
                <w:color w:val="auto"/>
                <w:highlight w:val="none"/>
              </w:rPr>
              <w:t>2</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环境概览</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1</w:t>
            </w:r>
            <w:r>
              <w:rPr>
                <w:rFonts w:hint="eastAsia" w:ascii="宋体" w:hAnsi="宋体"/>
                <w:color w:val="auto"/>
                <w:highlight w:val="none"/>
              </w:rPr>
              <w:t>）园区空气质量情况，如园区全年优良天数、优良率以及同比去年变化情况和全年首要污染物分布；</w:t>
            </w:r>
          </w:p>
          <w:p>
            <w:pPr>
              <w:pStyle w:val="67"/>
              <w:rPr>
                <w:color w:val="auto"/>
                <w:highlight w:val="none"/>
              </w:rPr>
            </w:pPr>
            <w:r>
              <w:rPr>
                <w:rFonts w:hint="eastAsia"/>
                <w:color w:val="auto"/>
                <w:highlight w:val="none"/>
              </w:rPr>
              <w:t>2</w:t>
            </w:r>
            <w:r>
              <w:rPr>
                <w:rFonts w:hint="eastAsia" w:ascii="宋体" w:hAnsi="宋体"/>
                <w:color w:val="auto"/>
                <w:highlight w:val="none"/>
              </w:rPr>
              <w:t>）园区各污染物的环境容量以及当前排放量</w:t>
            </w:r>
            <w:r>
              <w:rPr>
                <w:rFonts w:hint="eastAsia"/>
                <w:color w:val="auto"/>
                <w:highlight w:val="none"/>
              </w:rPr>
              <w:t>；</w:t>
            </w:r>
          </w:p>
          <w:p>
            <w:pPr>
              <w:pStyle w:val="67"/>
              <w:rPr>
                <w:color w:val="auto"/>
                <w:highlight w:val="none"/>
              </w:rPr>
            </w:pPr>
            <w:r>
              <w:rPr>
                <w:rFonts w:hint="eastAsia"/>
                <w:color w:val="auto"/>
                <w:highlight w:val="none"/>
              </w:rPr>
              <w:t>3</w:t>
            </w:r>
            <w:r>
              <w:rPr>
                <w:rFonts w:hint="eastAsia" w:ascii="宋体" w:hAnsi="宋体"/>
                <w:color w:val="auto"/>
                <w:highlight w:val="none"/>
              </w:rPr>
              <w:t>）近期环境变化情况，包括空气质量、废气污染物等</w:t>
            </w:r>
            <w:r>
              <w:rPr>
                <w:rFonts w:hint="eastAsia"/>
                <w:color w:val="auto"/>
                <w:highlight w:val="none"/>
              </w:rPr>
              <w:t>；</w:t>
            </w:r>
          </w:p>
          <w:p>
            <w:pPr>
              <w:pStyle w:val="67"/>
              <w:rPr>
                <w:color w:val="auto"/>
                <w:highlight w:val="none"/>
              </w:rPr>
            </w:pPr>
            <w:r>
              <w:rPr>
                <w:rFonts w:hint="eastAsia"/>
                <w:color w:val="auto"/>
                <w:highlight w:val="none"/>
              </w:rPr>
              <w:t>4</w:t>
            </w:r>
            <w:r>
              <w:rPr>
                <w:rFonts w:hint="eastAsia" w:ascii="宋体" w:hAnsi="宋体"/>
                <w:color w:val="auto"/>
                <w:highlight w:val="none"/>
              </w:rPr>
              <w:t>）结合地图展示园区排污大户、许可预警、超标企业信息。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rPr>
                <w:color w:val="auto"/>
                <w:highlight w:val="none"/>
              </w:rPr>
            </w:pPr>
            <w:r>
              <w:rPr>
                <w:rFonts w:hint="eastAsia"/>
                <w:color w:val="auto"/>
                <w:highlight w:val="none"/>
              </w:rPr>
              <w:t>3</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环境监管</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展示园区环境监管情况和成效，包括立体监测网、综合管控、污染防治以及环境地图。</w:t>
            </w:r>
          </w:p>
          <w:p>
            <w:pPr>
              <w:pStyle w:val="67"/>
              <w:rPr>
                <w:color w:val="auto"/>
                <w:highlight w:val="none"/>
              </w:rPr>
            </w:pPr>
            <w:r>
              <w:rPr>
                <w:rFonts w:hint="eastAsia"/>
                <w:color w:val="auto"/>
                <w:highlight w:val="none"/>
              </w:rPr>
              <w:t>1</w:t>
            </w:r>
            <w:r>
              <w:rPr>
                <w:rFonts w:hint="eastAsia" w:ascii="宋体" w:hAnsi="宋体"/>
                <w:color w:val="auto"/>
                <w:highlight w:val="none"/>
              </w:rPr>
              <w:t>）立体监测网：体现园区监测监管能力，环境监测开展情况，监测点的实时状态等；</w:t>
            </w:r>
          </w:p>
          <w:p>
            <w:pPr>
              <w:pStyle w:val="67"/>
              <w:rPr>
                <w:color w:val="auto"/>
                <w:highlight w:val="none"/>
              </w:rPr>
            </w:pPr>
            <w:r>
              <w:rPr>
                <w:rFonts w:hint="eastAsia"/>
                <w:color w:val="auto"/>
                <w:highlight w:val="none"/>
              </w:rPr>
              <w:t>2</w:t>
            </w:r>
            <w:r>
              <w:rPr>
                <w:rFonts w:hint="eastAsia" w:ascii="宋体" w:hAnsi="宋体"/>
                <w:color w:val="auto"/>
                <w:highlight w:val="none"/>
              </w:rPr>
              <w:t>）综合管控：如排污许可证管理，展示各行业许可证数量分布以及许可证发放比例</w:t>
            </w:r>
            <w:r>
              <w:rPr>
                <w:rFonts w:hint="eastAsia"/>
                <w:color w:val="auto"/>
                <w:highlight w:val="none"/>
              </w:rPr>
              <w:t>；</w:t>
            </w:r>
          </w:p>
          <w:p>
            <w:pPr>
              <w:pStyle w:val="67"/>
              <w:rPr>
                <w:color w:val="auto"/>
                <w:highlight w:val="none"/>
              </w:rPr>
            </w:pPr>
            <w:r>
              <w:rPr>
                <w:rFonts w:hint="eastAsia"/>
                <w:color w:val="auto"/>
                <w:highlight w:val="none"/>
              </w:rPr>
              <w:t>3</w:t>
            </w:r>
            <w:r>
              <w:rPr>
                <w:rFonts w:hint="eastAsia" w:ascii="宋体" w:hAnsi="宋体"/>
                <w:color w:val="auto"/>
                <w:highlight w:val="none"/>
              </w:rPr>
              <w:t>）结合地图展示园区监测设备实时运行状态、报警情况。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82" w:type="dxa"/>
            <w:tcBorders>
              <w:top w:val="single" w:color="auto" w:sz="4" w:space="0"/>
              <w:left w:val="single" w:color="auto" w:sz="4" w:space="0"/>
              <w:bottom w:val="single" w:color="auto" w:sz="4" w:space="0"/>
              <w:right w:val="single" w:color="auto" w:sz="4" w:space="0"/>
            </w:tcBorders>
            <w:vAlign w:val="center"/>
          </w:tcPr>
          <w:p>
            <w:pPr>
              <w:pStyle w:val="67"/>
              <w:rPr>
                <w:color w:val="auto"/>
                <w:highlight w:val="none"/>
              </w:rPr>
            </w:pPr>
            <w:r>
              <w:rPr>
                <w:rFonts w:hint="eastAsia"/>
                <w:color w:val="auto"/>
                <w:highlight w:val="none"/>
              </w:rPr>
              <w:t>4</w:t>
            </w:r>
          </w:p>
        </w:tc>
        <w:tc>
          <w:tcPr>
            <w:tcW w:w="1481"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企业评价</w:t>
            </w:r>
          </w:p>
        </w:tc>
        <w:tc>
          <w:tcPr>
            <w:tcW w:w="7165" w:type="dxa"/>
            <w:tcBorders>
              <w:top w:val="single" w:color="auto" w:sz="4" w:space="0"/>
              <w:left w:val="nil"/>
              <w:bottom w:val="single" w:color="auto" w:sz="4" w:space="0"/>
              <w:right w:val="single" w:color="auto" w:sz="4" w:space="0"/>
            </w:tcBorders>
            <w:vAlign w:val="center"/>
          </w:tcPr>
          <w:p>
            <w:pPr>
              <w:pStyle w:val="67"/>
              <w:rPr>
                <w:color w:val="auto"/>
                <w:highlight w:val="none"/>
              </w:rPr>
            </w:pPr>
            <w:r>
              <w:rPr>
                <w:rFonts w:hint="eastAsia"/>
                <w:color w:val="auto"/>
                <w:highlight w:val="none"/>
              </w:rPr>
              <w:t>展示园区环境、安全、能源等评价信息，包括评价近况、评价工作、结果分析。</w:t>
            </w:r>
          </w:p>
        </w:tc>
      </w:tr>
    </w:tbl>
    <w:p>
      <w:pPr>
        <w:ind w:firstLine="480"/>
        <w:rPr>
          <w:color w:val="auto"/>
          <w:szCs w:val="28"/>
          <w:highlight w:val="none"/>
        </w:rPr>
      </w:pPr>
      <w:r>
        <w:rPr>
          <w:rFonts w:hint="eastAsia"/>
          <w:color w:val="auto"/>
          <w:highlight w:val="none"/>
        </w:rPr>
        <w:t xml:space="preserve"> </w:t>
      </w:r>
    </w:p>
    <w:p>
      <w:pPr>
        <w:pStyle w:val="3"/>
        <w:rPr>
          <w:color w:val="auto"/>
          <w:highlight w:val="none"/>
        </w:rPr>
      </w:pPr>
      <w:r>
        <w:rPr>
          <w:rFonts w:hint="eastAsia"/>
          <w:color w:val="auto"/>
          <w:highlight w:val="none"/>
        </w:rPr>
        <w:t>企业信用评价</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通过对企业状况进行全面诊断，以发现企业症结之所在，从而为企业优化改造提供指导。</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24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7654"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2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诊断评价</w:t>
            </w:r>
          </w:p>
        </w:tc>
        <w:tc>
          <w:tcPr>
            <w:tcW w:w="765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1、企业评价：通过列表方式显示评价任务信息，包括任务的序号、任务名称、任务编号、评分方法、评价方案、评价周期、处理状态。系统根据维护的计划生成任务。</w:t>
            </w:r>
          </w:p>
          <w:p>
            <w:pPr>
              <w:rPr>
                <w:rFonts w:ascii="宋体" w:hAnsi="宋体"/>
                <w:color w:val="auto"/>
                <w:sz w:val="21"/>
                <w:szCs w:val="21"/>
                <w:highlight w:val="none"/>
              </w:rPr>
            </w:pPr>
            <w:r>
              <w:rPr>
                <w:rFonts w:hint="eastAsia" w:ascii="宋体" w:hAnsi="宋体"/>
                <w:color w:val="auto"/>
                <w:sz w:val="21"/>
                <w:szCs w:val="21"/>
                <w:highlight w:val="none"/>
              </w:rPr>
              <w:t>2、评价分析：提供多维度评价分析及企业排名，帮助园区管理者找出重点管理企业，重点管理项目。</w:t>
            </w:r>
          </w:p>
          <w:p>
            <w:pPr>
              <w:rPr>
                <w:rFonts w:ascii="宋体" w:hAnsi="宋体"/>
                <w:color w:val="auto"/>
                <w:sz w:val="21"/>
                <w:szCs w:val="21"/>
                <w:highlight w:val="none"/>
              </w:rPr>
            </w:pPr>
            <w:r>
              <w:rPr>
                <w:rFonts w:hint="eastAsia" w:ascii="宋体" w:hAnsi="宋体"/>
                <w:color w:val="auto"/>
                <w:sz w:val="21"/>
                <w:szCs w:val="21"/>
                <w:highlight w:val="none"/>
              </w:rPr>
              <w:t>3、评价报表：支持历次评价结果的查看、导出以及企业的详细评价报表，每次评价的评分方法、评价方案、评价周期。</w:t>
            </w:r>
          </w:p>
          <w:p>
            <w:pPr>
              <w:rPr>
                <w:rFonts w:ascii="宋体" w:hAnsi="宋体"/>
                <w:color w:val="auto"/>
                <w:sz w:val="21"/>
                <w:szCs w:val="21"/>
                <w:highlight w:val="none"/>
              </w:rPr>
            </w:pPr>
            <w:r>
              <w:rPr>
                <w:rFonts w:hint="eastAsia" w:ascii="宋体" w:hAnsi="宋体"/>
                <w:color w:val="auto"/>
                <w:sz w:val="21"/>
                <w:szCs w:val="21"/>
                <w:highlight w:val="none"/>
              </w:rPr>
              <w:t>4、计划管理：包括计划名称、计划编码、评价频次（单次或多次）、评价周期，评分方法、评价方案，以及参评企业名单。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24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相关配置</w:t>
            </w:r>
          </w:p>
        </w:tc>
        <w:tc>
          <w:tcPr>
            <w:tcW w:w="7654"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包括企业库、指标库、参数库、评价项标准、评价结果标准、评价方案、计划管理等模块，实现系统的基础配置。</w:t>
            </w:r>
          </w:p>
        </w:tc>
      </w:tr>
    </w:tbl>
    <w:p>
      <w:pPr>
        <w:pStyle w:val="2"/>
        <w:rPr>
          <w:color w:val="auto"/>
          <w:szCs w:val="32"/>
          <w:highlight w:val="none"/>
        </w:rPr>
      </w:pPr>
      <w:r>
        <w:rPr>
          <w:rFonts w:hint="eastAsia"/>
          <w:color w:val="auto"/>
          <w:highlight w:val="none"/>
        </w:rPr>
        <w:t>监控预警指挥中心</w:t>
      </w:r>
    </w:p>
    <w:p>
      <w:pPr>
        <w:pStyle w:val="3"/>
        <w:rPr>
          <w:color w:val="auto"/>
          <w:highlight w:val="none"/>
        </w:rPr>
      </w:pPr>
      <w:r>
        <w:rPr>
          <w:rFonts w:hint="eastAsia"/>
          <w:color w:val="auto"/>
          <w:highlight w:val="none"/>
        </w:rPr>
        <w:t>基础IT软硬件建设清单</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4727"/>
        <w:gridCol w:w="8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b/>
                <w:bCs/>
                <w:color w:val="auto"/>
                <w:highlight w:val="none"/>
              </w:rPr>
            </w:pPr>
            <w:r>
              <w:rPr>
                <w:rFonts w:hint="eastAsia" w:ascii="宋体" w:hAnsi="宋体"/>
                <w:b/>
                <w:bCs/>
                <w:color w:val="auto"/>
                <w:highlight w:val="none"/>
              </w:rPr>
              <w:t>建设项目</w:t>
            </w:r>
          </w:p>
        </w:tc>
        <w:tc>
          <w:tcPr>
            <w:tcW w:w="4727" w:type="dxa"/>
            <w:tcBorders>
              <w:top w:val="single" w:color="auto" w:sz="4" w:space="0"/>
              <w:left w:val="nil"/>
              <w:bottom w:val="single" w:color="auto" w:sz="4" w:space="0"/>
              <w:right w:val="single" w:color="auto" w:sz="4" w:space="0"/>
            </w:tcBorders>
            <w:vAlign w:val="center"/>
          </w:tcPr>
          <w:p>
            <w:pPr>
              <w:pStyle w:val="67"/>
              <w:jc w:val="center"/>
              <w:rPr>
                <w:rFonts w:ascii="宋体" w:hAnsi="宋体"/>
                <w:b/>
                <w:bCs/>
                <w:color w:val="auto"/>
                <w:highlight w:val="none"/>
              </w:rPr>
            </w:pPr>
            <w:r>
              <w:rPr>
                <w:rFonts w:hint="eastAsia" w:ascii="宋体" w:hAnsi="宋体"/>
                <w:b/>
                <w:bCs/>
                <w:color w:val="auto"/>
                <w:highlight w:val="none"/>
              </w:rPr>
              <w:t>建设内容</w:t>
            </w:r>
          </w:p>
        </w:tc>
        <w:tc>
          <w:tcPr>
            <w:tcW w:w="809" w:type="dxa"/>
            <w:tcBorders>
              <w:top w:val="single" w:color="auto" w:sz="4" w:space="0"/>
              <w:left w:val="nil"/>
              <w:bottom w:val="single" w:color="auto" w:sz="4" w:space="0"/>
              <w:right w:val="single" w:color="auto" w:sz="4" w:space="0"/>
            </w:tcBorders>
            <w:vAlign w:val="center"/>
          </w:tcPr>
          <w:p>
            <w:pPr>
              <w:pStyle w:val="67"/>
              <w:jc w:val="center"/>
              <w:rPr>
                <w:rFonts w:ascii="宋体" w:hAnsi="宋体"/>
                <w:b/>
                <w:bCs/>
                <w:color w:val="auto"/>
                <w:highlight w:val="none"/>
              </w:rPr>
            </w:pPr>
            <w:r>
              <w:rPr>
                <w:rFonts w:hint="eastAsia" w:ascii="宋体" w:hAnsi="宋体"/>
                <w:b/>
                <w:bCs/>
                <w:color w:val="auto"/>
                <w:highlight w:val="none"/>
              </w:rPr>
              <w:t>数量</w:t>
            </w:r>
          </w:p>
        </w:tc>
        <w:tc>
          <w:tcPr>
            <w:tcW w:w="909" w:type="dxa"/>
            <w:tcBorders>
              <w:top w:val="single" w:color="auto" w:sz="4" w:space="0"/>
              <w:left w:val="nil"/>
              <w:bottom w:val="single" w:color="auto" w:sz="4" w:space="0"/>
              <w:right w:val="single" w:color="auto" w:sz="4" w:space="0"/>
            </w:tcBorders>
            <w:vAlign w:val="center"/>
          </w:tcPr>
          <w:p>
            <w:pPr>
              <w:pStyle w:val="67"/>
              <w:jc w:val="center"/>
              <w:rPr>
                <w:rFonts w:ascii="宋体" w:hAnsi="宋体"/>
                <w:b/>
                <w:bCs/>
                <w:color w:val="auto"/>
                <w:highlight w:val="none"/>
              </w:rPr>
            </w:pPr>
            <w:r>
              <w:rPr>
                <w:rFonts w:hint="eastAsia" w:ascii="宋体" w:hAnsi="宋体"/>
                <w:b/>
                <w:bCs/>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 xml:space="preserve">大屏显示系统   </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LED大屏</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sz w:val="20"/>
                <w:highlight w:val="none"/>
              </w:rPr>
              <w:t>29.6284</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m</w:t>
            </w:r>
            <w:r>
              <w:rPr>
                <w:rFonts w:hint="eastAsia" w:ascii="宋体" w:hAnsi="宋体"/>
                <w:color w:val="auto"/>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配套软件</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控制系统</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10</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拼接控制器</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钢结构</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30.7724</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配电系统</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线缆辅料</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监控中心装修费用</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0.5㎡屏幕备品备件</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服务器及存储</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数据库服务器</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2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应用服务器</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10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shd w:val="clear" w:color="auto" w:fill="FFFFFF"/>
            <w:vAlign w:val="bottom"/>
          </w:tcPr>
          <w:p>
            <w:pPr>
              <w:pStyle w:val="67"/>
              <w:rPr>
                <w:rFonts w:ascii="宋体" w:hAnsi="宋体"/>
                <w:color w:val="auto"/>
                <w:highlight w:val="none"/>
              </w:rPr>
            </w:pPr>
            <w:r>
              <w:rPr>
                <w:rFonts w:hint="eastAsia" w:ascii="宋体" w:hAnsi="宋体"/>
                <w:color w:val="auto"/>
                <w:highlight w:val="none"/>
              </w:rPr>
              <w:t>平台接入引擎服务器</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2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网络及安全设备</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核心交换机</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szCs w:val="21"/>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节点交换机</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szCs w:val="21"/>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外网防火墙</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内网入侵防御系统</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外网WEB应用系统</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外网网闸</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内网防火墙</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内网网闸</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存储备份一体机</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杀毒软件</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15</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人工智能监测系统硬件配置</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视频接入和解码/数据接入行为分析/WEB平台服务器</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2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服务器操作系统</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2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数据库软件</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交换机</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KVM切换器</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网闸</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视频AI、GPU服务器</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200万红外高清半球型网络摄像机</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4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基础支撑软件</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服务器操作系统</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14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数据库软件</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2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双机热备软件</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1</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jc w:val="left"/>
              <w:rPr>
                <w:rFonts w:ascii="宋体" w:hAnsi="宋体"/>
                <w:color w:val="auto"/>
                <w:kern w:val="0"/>
                <w:sz w:val="20"/>
                <w:highlight w:val="none"/>
              </w:rPr>
            </w:pPr>
            <w:r>
              <w:rPr>
                <w:rFonts w:hint="eastAsia" w:ascii="宋体" w:hAnsi="宋体"/>
                <w:color w:val="auto"/>
                <w:kern w:val="0"/>
                <w:sz w:val="20"/>
                <w:highlight w:val="none"/>
              </w:rPr>
              <w:t>视频会议</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MCU</w:t>
            </w:r>
          </w:p>
        </w:tc>
        <w:tc>
          <w:tcPr>
            <w:tcW w:w="809" w:type="dxa"/>
            <w:tcBorders>
              <w:top w:val="single" w:color="auto" w:sz="4" w:space="0"/>
              <w:left w:val="nil"/>
              <w:bottom w:val="single" w:color="auto" w:sz="4" w:space="0"/>
              <w:right w:val="single" w:color="auto" w:sz="4" w:space="0"/>
            </w:tcBorders>
            <w:vAlign w:val="center"/>
          </w:tcPr>
          <w:p>
            <w:pPr>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0"/>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音视频会议系统终端</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0"/>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全向麦克风/八爪鱼</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0"/>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高清摄像头</w:t>
            </w:r>
          </w:p>
        </w:tc>
        <w:tc>
          <w:tcPr>
            <w:tcW w:w="8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sz w:val="20"/>
                <w:szCs w:val="20"/>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jc w:val="left"/>
              <w:rPr>
                <w:rFonts w:ascii="宋体" w:hAnsi="宋体"/>
                <w:color w:val="auto"/>
                <w:highlight w:val="none"/>
              </w:rPr>
            </w:pPr>
            <w:r>
              <w:rPr>
                <w:rFonts w:hint="eastAsia" w:ascii="宋体" w:hAnsi="宋体"/>
                <w:color w:val="auto"/>
                <w:highlight w:val="none"/>
              </w:rPr>
              <w:t>广播系统</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音箱</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2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功率放大器</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8路调音台</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数字音频处理器</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蓝光DVD</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双手持无线话筒</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2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有线鹅颈话筒</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8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8路净化电源时序器</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设备机柜</w:t>
            </w:r>
          </w:p>
        </w:tc>
        <w:tc>
          <w:tcPr>
            <w:tcW w:w="8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 xml:space="preserve">1 </w:t>
            </w:r>
          </w:p>
        </w:tc>
        <w:tc>
          <w:tcPr>
            <w:tcW w:w="909" w:type="dxa"/>
            <w:tcBorders>
              <w:top w:val="single" w:color="auto" w:sz="4" w:space="0"/>
              <w:left w:val="nil"/>
              <w:bottom w:val="single" w:color="auto" w:sz="4" w:space="0"/>
              <w:right w:val="single" w:color="auto" w:sz="4" w:space="0"/>
            </w:tcBorders>
            <w:vAlign w:val="center"/>
          </w:tcPr>
          <w:p>
            <w:pPr>
              <w:jc w:val="left"/>
              <w:rPr>
                <w:rFonts w:ascii="宋体" w:hAnsi="宋体"/>
                <w:color w:val="auto"/>
                <w:kern w:val="0"/>
                <w:sz w:val="20"/>
                <w:highlight w:val="none"/>
              </w:rPr>
            </w:pPr>
            <w:r>
              <w:rPr>
                <w:rFonts w:hint="eastAsia" w:ascii="宋体" w:hAnsi="宋体"/>
                <w:color w:val="auto"/>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restart"/>
            <w:tcBorders>
              <w:top w:val="nil"/>
              <w:left w:val="single" w:color="auto" w:sz="4" w:space="0"/>
              <w:bottom w:val="single" w:color="auto" w:sz="4" w:space="0"/>
              <w:right w:val="single" w:color="auto" w:sz="4" w:space="0"/>
            </w:tcBorders>
            <w:shd w:val="clear" w:color="auto" w:fill="FFFFFF"/>
            <w:vAlign w:val="center"/>
          </w:tcPr>
          <w:p>
            <w:pPr>
              <w:pStyle w:val="67"/>
              <w:rPr>
                <w:rFonts w:ascii="宋体" w:hAnsi="宋体"/>
                <w:color w:val="auto"/>
                <w:szCs w:val="21"/>
                <w:highlight w:val="none"/>
              </w:rPr>
            </w:pPr>
            <w:r>
              <w:rPr>
                <w:rFonts w:hint="eastAsia" w:ascii="宋体" w:hAnsi="宋体"/>
                <w:color w:val="auto"/>
                <w:highlight w:val="none"/>
              </w:rPr>
              <w:t>其他</w:t>
            </w: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短信租赁服务（一年10万条）</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UPS</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精密空调</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KVM</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2</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机柜</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7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727"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机房装修</w:t>
            </w:r>
          </w:p>
        </w:tc>
        <w:tc>
          <w:tcPr>
            <w:tcW w:w="8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 xml:space="preserve">1 </w:t>
            </w:r>
          </w:p>
        </w:tc>
        <w:tc>
          <w:tcPr>
            <w:tcW w:w="909" w:type="dxa"/>
            <w:tcBorders>
              <w:top w:val="single" w:color="auto" w:sz="4" w:space="0"/>
              <w:left w:val="nil"/>
              <w:bottom w:val="single" w:color="auto" w:sz="4" w:space="0"/>
              <w:right w:val="single" w:color="auto" w:sz="4" w:space="0"/>
            </w:tcBorders>
            <w:vAlign w:val="bottom"/>
          </w:tcPr>
          <w:p>
            <w:pPr>
              <w:pStyle w:val="67"/>
              <w:rPr>
                <w:rFonts w:ascii="宋体" w:hAnsi="宋体"/>
                <w:color w:val="auto"/>
                <w:highlight w:val="none"/>
              </w:rPr>
            </w:pPr>
            <w:r>
              <w:rPr>
                <w:rFonts w:hint="eastAsia" w:ascii="宋体" w:hAnsi="宋体"/>
                <w:color w:val="auto"/>
                <w:highlight w:val="none"/>
              </w:rPr>
              <w:t>套</w:t>
            </w:r>
          </w:p>
        </w:tc>
      </w:tr>
    </w:tbl>
    <w:p>
      <w:pPr>
        <w:rPr>
          <w:color w:val="auto"/>
          <w:highlight w:val="none"/>
        </w:rPr>
      </w:pPr>
    </w:p>
    <w:p>
      <w:pPr>
        <w:pStyle w:val="3"/>
        <w:rPr>
          <w:color w:val="auto"/>
          <w:szCs w:val="32"/>
          <w:highlight w:val="none"/>
        </w:rPr>
      </w:pPr>
      <w:r>
        <w:rPr>
          <w:rFonts w:hint="eastAsia"/>
          <w:color w:val="auto"/>
          <w:highlight w:val="none"/>
        </w:rPr>
        <w:t>IT产品技术要求</w:t>
      </w:r>
    </w:p>
    <w:p>
      <w:pPr>
        <w:pStyle w:val="4"/>
        <w:rPr>
          <w:color w:val="auto"/>
          <w:highlight w:val="none"/>
        </w:rPr>
      </w:pPr>
      <w:r>
        <w:rPr>
          <w:rFonts w:hint="eastAsia"/>
          <w:color w:val="auto"/>
          <w:highlight w:val="none"/>
        </w:rPr>
        <w:t>大屏显示系统</w:t>
      </w:r>
    </w:p>
    <w:p>
      <w:pPr>
        <w:pStyle w:val="5"/>
        <w:rPr>
          <w:color w:val="auto"/>
          <w:highlight w:val="none"/>
        </w:rPr>
      </w:pPr>
      <w:r>
        <w:rPr>
          <w:color w:val="auto"/>
          <w:highlight w:val="none"/>
        </w:rPr>
        <w:t>LED</w:t>
      </w:r>
      <w:r>
        <w:rPr>
          <w:rFonts w:hint="eastAsia"/>
          <w:color w:val="auto"/>
          <w:highlight w:val="none"/>
          <w:lang w:eastAsia="zh-CN"/>
        </w:rPr>
        <w:t>大</w:t>
      </w:r>
      <w:r>
        <w:rPr>
          <w:rFonts w:hint="eastAsia"/>
          <w:color w:val="auto"/>
          <w:highlight w:val="none"/>
        </w:rPr>
        <w:t>屏</w:t>
      </w:r>
    </w:p>
    <w:tbl>
      <w:tblPr>
        <w:tblStyle w:val="23"/>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108"/>
        <w:gridCol w:w="3458"/>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pStyle w:val="67"/>
              <w:jc w:val="center"/>
              <w:rPr>
                <w:color w:val="auto"/>
                <w:highlight w:val="none"/>
              </w:rPr>
            </w:pPr>
            <w:r>
              <w:rPr>
                <w:rFonts w:hint="eastAsia" w:ascii="宋体" w:hAnsi="宋体"/>
                <w:b/>
                <w:bCs/>
                <w:color w:val="auto"/>
                <w:highlight w:val="none"/>
              </w:rPr>
              <w:t>序号</w:t>
            </w:r>
          </w:p>
        </w:tc>
        <w:tc>
          <w:tcPr>
            <w:tcW w:w="1108" w:type="dxa"/>
            <w:vAlign w:val="center"/>
          </w:tcPr>
          <w:p>
            <w:pPr>
              <w:pStyle w:val="67"/>
              <w:jc w:val="center"/>
              <w:rPr>
                <w:rFonts w:ascii="宋体" w:hAnsi="宋体"/>
                <w:b/>
                <w:bCs/>
                <w:color w:val="auto"/>
                <w:highlight w:val="none"/>
              </w:rPr>
            </w:pPr>
            <w:r>
              <w:rPr>
                <w:rFonts w:hint="eastAsia" w:ascii="宋体" w:hAnsi="宋体"/>
                <w:b/>
                <w:bCs/>
                <w:color w:val="auto"/>
                <w:highlight w:val="none"/>
              </w:rPr>
              <w:t>模块</w:t>
            </w:r>
          </w:p>
        </w:tc>
        <w:tc>
          <w:tcPr>
            <w:tcW w:w="3458" w:type="dxa"/>
            <w:vAlign w:val="center"/>
          </w:tcPr>
          <w:p>
            <w:pPr>
              <w:pStyle w:val="67"/>
              <w:jc w:val="center"/>
              <w:rPr>
                <w:color w:val="auto"/>
                <w:highlight w:val="none"/>
              </w:rPr>
            </w:pPr>
            <w:r>
              <w:rPr>
                <w:rFonts w:hint="eastAsia" w:ascii="宋体" w:hAnsi="宋体"/>
                <w:b/>
                <w:bCs/>
                <w:color w:val="auto"/>
                <w:highlight w:val="none"/>
              </w:rPr>
              <w:t>参数</w:t>
            </w:r>
          </w:p>
        </w:tc>
        <w:tc>
          <w:tcPr>
            <w:tcW w:w="4132" w:type="dxa"/>
            <w:vAlign w:val="center"/>
          </w:tcPr>
          <w:p>
            <w:pPr>
              <w:pStyle w:val="67"/>
              <w:jc w:val="center"/>
              <w:rPr>
                <w:color w:val="auto"/>
                <w:highlight w:val="none"/>
              </w:rPr>
            </w:pPr>
            <w:r>
              <w:rPr>
                <w:rFonts w:hint="eastAsia" w:ascii="宋体" w:hAnsi="宋体"/>
                <w:b/>
                <w:bCs/>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模组组成</w:t>
            </w: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像素结构 </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表贴三合一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*像素间距（mm） </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*模组分辨率（W×</w:t>
            </w:r>
            <w:r>
              <w:rPr>
                <w:rFonts w:ascii="宋体" w:hAnsi="宋体" w:cs="宋体"/>
                <w:color w:val="auto"/>
                <w:kern w:val="0"/>
                <w:sz w:val="21"/>
                <w:szCs w:val="21"/>
                <w:highlight w:val="none"/>
              </w:rPr>
              <w:t>H</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≥192×</w:t>
            </w:r>
            <w:r>
              <w:rPr>
                <w:rFonts w:ascii="宋体" w:hAnsi="宋体" w:cs="宋体"/>
                <w:color w:val="auto"/>
                <w:kern w:val="0"/>
                <w:sz w:val="21"/>
                <w:szCs w:val="21"/>
                <w:highlight w:val="none"/>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模组尺寸（mm）（</w:t>
            </w:r>
            <w:r>
              <w:rPr>
                <w:rFonts w:ascii="宋体" w:hAnsi="宋体" w:cs="宋体"/>
                <w:color w:val="auto"/>
                <w:kern w:val="0"/>
                <w:sz w:val="21"/>
                <w:szCs w:val="21"/>
                <w:highlight w:val="none"/>
              </w:rPr>
              <w:t>W</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H</w:t>
            </w:r>
            <w:r>
              <w:rPr>
                <w:rFonts w:hint="eastAsia" w:ascii="宋体" w:hAnsi="宋体" w:cs="宋体"/>
                <w:color w:val="auto"/>
                <w:kern w:val="0"/>
                <w:sz w:val="21"/>
                <w:szCs w:val="21"/>
                <w:highlight w:val="none"/>
              </w:rPr>
              <w:t xml:space="preserve">） </w:t>
            </w:r>
          </w:p>
        </w:tc>
        <w:tc>
          <w:tcPr>
            <w:tcW w:w="4132" w:type="dxa"/>
          </w:tcPr>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302.4</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 xml:space="preserve">170.1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模组重量（Kg） </w:t>
            </w:r>
          </w:p>
        </w:tc>
        <w:tc>
          <w:tcPr>
            <w:tcW w:w="4132" w:type="dxa"/>
          </w:tcPr>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单元组成</w:t>
            </w: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单元模组组成（W×</w:t>
            </w:r>
            <w:r>
              <w:rPr>
                <w:rFonts w:ascii="宋体" w:hAnsi="宋体" w:cs="宋体"/>
                <w:color w:val="auto"/>
                <w:kern w:val="0"/>
                <w:sz w:val="21"/>
                <w:szCs w:val="21"/>
                <w:highlight w:val="none"/>
              </w:rPr>
              <w:t>H</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单元分辨率（W×</w:t>
            </w:r>
            <w:r>
              <w:rPr>
                <w:rFonts w:ascii="宋体" w:hAnsi="宋体" w:cs="宋体"/>
                <w:color w:val="auto"/>
                <w:kern w:val="0"/>
                <w:sz w:val="21"/>
                <w:szCs w:val="21"/>
                <w:highlight w:val="none"/>
              </w:rPr>
              <w:t>H</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384×</w:t>
            </w:r>
            <w:r>
              <w:rPr>
                <w:rFonts w:ascii="宋体" w:hAnsi="宋体" w:cs="宋体"/>
                <w:color w:val="auto"/>
                <w:kern w:val="0"/>
                <w:sz w:val="21"/>
                <w:szCs w:val="21"/>
                <w:highlight w:val="none"/>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单元尺寸（mm）（</w:t>
            </w:r>
            <w:r>
              <w:rPr>
                <w:rFonts w:ascii="宋体" w:hAnsi="宋体" w:cs="宋体"/>
                <w:color w:val="auto"/>
                <w:kern w:val="0"/>
                <w:sz w:val="21"/>
                <w:szCs w:val="21"/>
                <w:highlight w:val="none"/>
              </w:rPr>
              <w:t>W</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H</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D</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604.8×</w:t>
            </w:r>
            <w:r>
              <w:rPr>
                <w:rFonts w:ascii="宋体" w:hAnsi="宋体" w:cs="宋体"/>
                <w:color w:val="auto"/>
                <w:kern w:val="0"/>
                <w:sz w:val="21"/>
                <w:szCs w:val="21"/>
                <w:highlight w:val="none"/>
              </w:rPr>
              <w:t>340.2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单元面积（m</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0.2058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常规重量（kg/㎡） </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11</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像素密度（点/㎡） </w:t>
            </w:r>
          </w:p>
        </w:tc>
        <w:tc>
          <w:tcPr>
            <w:tcW w:w="4132" w:type="dxa"/>
          </w:tcPr>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 xml:space="preserve">403124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箱体平整度（</w:t>
            </w:r>
            <w:r>
              <w:rPr>
                <w:rFonts w:ascii="宋体" w:hAnsi="宋体" w:cs="宋体"/>
                <w:color w:val="auto"/>
                <w:kern w:val="0"/>
                <w:sz w:val="21"/>
                <w:szCs w:val="21"/>
                <w:highlight w:val="none"/>
              </w:rPr>
              <w:t>mm</w:t>
            </w:r>
            <w:r>
              <w:rPr>
                <w:rFonts w:hint="eastAsia" w:ascii="宋体" w:hAnsi="宋体" w:cs="宋体"/>
                <w:color w:val="auto"/>
                <w:kern w:val="0"/>
                <w:sz w:val="21"/>
                <w:szCs w:val="21"/>
                <w:highlight w:val="none"/>
              </w:rPr>
              <w:t>）</w:t>
            </w:r>
          </w:p>
        </w:tc>
        <w:tc>
          <w:tcPr>
            <w:tcW w:w="4132"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13</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光学参数</w:t>
            </w:r>
          </w:p>
        </w:tc>
        <w:tc>
          <w:tcPr>
            <w:tcW w:w="3458" w:type="dxa"/>
            <w:vAlign w:val="center"/>
          </w:tcPr>
          <w:p>
            <w:pPr>
              <w:widowControl/>
              <w:jc w:val="left"/>
              <w:rPr>
                <w:rFonts w:ascii="宋体" w:hAnsi="宋体" w:cs="宋体"/>
                <w:color w:val="auto"/>
                <w:kern w:val="0"/>
                <w:sz w:val="21"/>
                <w:szCs w:val="21"/>
                <w:highlight w:val="none"/>
              </w:rPr>
            </w:pPr>
            <w:r>
              <w:rPr>
                <w:rFonts w:ascii="华文细黑" w:hAnsi="华文细黑" w:eastAsia="华文细黑" w:cs="华文细黑"/>
                <w:color w:val="auto"/>
                <w:kern w:val="0"/>
                <w:sz w:val="19"/>
                <w:szCs w:val="19"/>
                <w:highlight w:val="none"/>
                <w:lang w:bidi="ar"/>
              </w:rPr>
              <w:t xml:space="preserve">单点亮度校正 </w:t>
            </w:r>
          </w:p>
        </w:tc>
        <w:tc>
          <w:tcPr>
            <w:tcW w:w="4132" w:type="dxa"/>
          </w:tcPr>
          <w:p>
            <w:pPr>
              <w:widowControl/>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14</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单点颜色校正 </w:t>
            </w:r>
          </w:p>
        </w:tc>
        <w:tc>
          <w:tcPr>
            <w:tcW w:w="4132" w:type="dxa"/>
          </w:tcPr>
          <w:p>
            <w:pPr>
              <w:widowControl/>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15</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白平衡亮度（</w:t>
            </w:r>
            <w:r>
              <w:rPr>
                <w:rFonts w:ascii="Arial" w:hAnsi="Arial" w:cs="Arial"/>
                <w:color w:val="auto"/>
                <w:kern w:val="0"/>
                <w:sz w:val="19"/>
                <w:szCs w:val="19"/>
                <w:highlight w:val="none"/>
                <w:lang w:bidi="ar"/>
              </w:rPr>
              <w:t>nits</w:t>
            </w:r>
            <w:r>
              <w:rPr>
                <w:rFonts w:hint="eastAsia" w:ascii="华文细黑" w:hAnsi="华文细黑" w:eastAsia="华文细黑" w:cs="华文细黑"/>
                <w:color w:val="auto"/>
                <w:kern w:val="0"/>
                <w:sz w:val="19"/>
                <w:szCs w:val="19"/>
                <w:highlight w:val="none"/>
                <w:lang w:bidi="ar"/>
              </w:rPr>
              <w:t xml:space="preserve">）（校正后）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600～800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16</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色温（</w:t>
            </w:r>
            <w:r>
              <w:rPr>
                <w:rFonts w:ascii="Arial" w:hAnsi="Arial" w:cs="Arial"/>
                <w:color w:val="auto"/>
                <w:kern w:val="0"/>
                <w:sz w:val="19"/>
                <w:szCs w:val="19"/>
                <w:highlight w:val="none"/>
                <w:lang w:bidi="ar"/>
              </w:rPr>
              <w:t>K</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3000—10000 可调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17</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水平视角（ °）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垂直视角（ °）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19</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发光点中心距偏差（校正后）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亮度均匀性（校正后） </w:t>
            </w:r>
          </w:p>
        </w:tc>
        <w:tc>
          <w:tcPr>
            <w:tcW w:w="4132" w:type="dxa"/>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w:t>
            </w:r>
            <w:r>
              <w:rPr>
                <w:rFonts w:ascii="Arial" w:hAnsi="Arial" w:cs="Arial"/>
                <w:color w:val="auto"/>
                <w:kern w:val="0"/>
                <w:sz w:val="19"/>
                <w:szCs w:val="19"/>
                <w:highlight w:val="none"/>
                <w:lang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21</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色度均匀性（校正后） </w:t>
            </w:r>
          </w:p>
        </w:tc>
        <w:tc>
          <w:tcPr>
            <w:tcW w:w="4132" w:type="dxa"/>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w:t>
            </w:r>
            <w:r>
              <w:rPr>
                <w:rFonts w:ascii="Arial" w:hAnsi="Arial" w:cs="Arial"/>
                <w:color w:val="auto"/>
                <w:kern w:val="0"/>
                <w:sz w:val="19"/>
                <w:szCs w:val="19"/>
                <w:highlight w:val="none"/>
                <w:lang w:bidi="ar"/>
              </w:rPr>
              <w:t xml:space="preserve">0.003Cx,Cy </w:t>
            </w:r>
            <w:r>
              <w:rPr>
                <w:rFonts w:hint="eastAsia" w:ascii="华文细黑" w:hAnsi="华文细黑" w:eastAsia="华文细黑" w:cs="华文细黑"/>
                <w:color w:val="auto"/>
                <w:kern w:val="0"/>
                <w:sz w:val="19"/>
                <w:szCs w:val="19"/>
                <w:highlight w:val="none"/>
                <w:lang w:bidi="ar"/>
              </w:rPr>
              <w:t xml:space="preserve">之内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22</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对比度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7000:1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23</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电气参数</w:t>
            </w:r>
          </w:p>
        </w:tc>
        <w:tc>
          <w:tcPr>
            <w:tcW w:w="3458" w:type="dxa"/>
            <w:vAlign w:val="center"/>
          </w:tcPr>
          <w:p>
            <w:pPr>
              <w:widowControl/>
              <w:jc w:val="left"/>
              <w:rPr>
                <w:rFonts w:ascii="宋体" w:hAnsi="宋体" w:cs="宋体"/>
                <w:color w:val="auto"/>
                <w:kern w:val="0"/>
                <w:sz w:val="21"/>
                <w:szCs w:val="21"/>
                <w:highlight w:val="none"/>
              </w:rPr>
            </w:pPr>
            <w:r>
              <w:rPr>
                <w:rFonts w:ascii="华文细黑" w:hAnsi="华文细黑" w:eastAsia="华文细黑" w:cs="华文细黑"/>
                <w:color w:val="auto"/>
                <w:kern w:val="0"/>
                <w:sz w:val="19"/>
                <w:szCs w:val="19"/>
                <w:highlight w:val="none"/>
                <w:lang w:bidi="ar"/>
              </w:rPr>
              <w:t>峰值功耗（</w:t>
            </w:r>
            <w:r>
              <w:rPr>
                <w:rFonts w:ascii="Arial" w:hAnsi="Arial" w:cs="Arial"/>
                <w:color w:val="auto"/>
                <w:kern w:val="0"/>
                <w:sz w:val="19"/>
                <w:szCs w:val="19"/>
                <w:highlight w:val="none"/>
                <w:lang w:bidi="ar"/>
              </w:rPr>
              <w:t>W/m</w:t>
            </w:r>
            <w:r>
              <w:rPr>
                <w:rFonts w:ascii="Arial" w:hAnsi="Arial" w:cs="Arial"/>
                <w:color w:val="auto"/>
                <w:kern w:val="0"/>
                <w:sz w:val="13"/>
                <w:szCs w:val="13"/>
                <w:highlight w:val="none"/>
                <w:lang w:bidi="ar"/>
              </w:rPr>
              <w:t>2</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24</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平均功耗（</w:t>
            </w:r>
            <w:r>
              <w:rPr>
                <w:rFonts w:ascii="Arial" w:hAnsi="Arial" w:cs="Arial"/>
                <w:color w:val="auto"/>
                <w:kern w:val="0"/>
                <w:sz w:val="19"/>
                <w:szCs w:val="19"/>
                <w:highlight w:val="none"/>
                <w:lang w:bidi="ar"/>
              </w:rPr>
              <w:t>W/m</w:t>
            </w:r>
            <w:r>
              <w:rPr>
                <w:rFonts w:ascii="Arial" w:hAnsi="Arial" w:cs="Arial"/>
                <w:color w:val="auto"/>
                <w:kern w:val="0"/>
                <w:sz w:val="13"/>
                <w:szCs w:val="13"/>
                <w:highlight w:val="none"/>
                <w:lang w:bidi="ar"/>
              </w:rPr>
              <w:t>2</w:t>
            </w:r>
            <w:r>
              <w:rPr>
                <w:rFonts w:hint="eastAsia" w:ascii="华文细黑" w:hAnsi="华文细黑" w:eastAsia="华文细黑" w:cs="华文细黑"/>
                <w:color w:val="auto"/>
                <w:kern w:val="0"/>
                <w:sz w:val="19"/>
                <w:szCs w:val="19"/>
                <w:highlight w:val="none"/>
                <w:lang w:bidi="ar"/>
              </w:rPr>
              <w:t>）</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25</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供电要求</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AC100～240V</w:t>
            </w:r>
            <w:r>
              <w:rPr>
                <w:rFonts w:hint="eastAsia" w:ascii="华文细黑" w:hAnsi="华文细黑" w:eastAsia="华文细黑" w:cs="华文细黑"/>
                <w:color w:val="auto"/>
                <w:kern w:val="0"/>
                <w:sz w:val="19"/>
                <w:szCs w:val="19"/>
                <w:highlight w:val="none"/>
                <w:lang w:bidi="ar"/>
              </w:rPr>
              <w:t>（</w:t>
            </w:r>
            <w:r>
              <w:rPr>
                <w:rFonts w:ascii="Arial" w:hAnsi="Arial" w:cs="Arial"/>
                <w:color w:val="auto"/>
                <w:kern w:val="0"/>
                <w:sz w:val="19"/>
                <w:szCs w:val="19"/>
                <w:highlight w:val="none"/>
                <w:lang w:bidi="ar"/>
              </w:rPr>
              <w:t>50/60Hz</w:t>
            </w:r>
            <w:r>
              <w:rPr>
                <w:rFonts w:hint="eastAsia" w:ascii="华文细黑" w:hAnsi="华文细黑" w:eastAsia="华文细黑" w:cs="华文细黑"/>
                <w:color w:val="auto"/>
                <w:kern w:val="0"/>
                <w:sz w:val="19"/>
                <w:szCs w:val="19"/>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26</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处理性能</w:t>
            </w:r>
          </w:p>
        </w:tc>
        <w:tc>
          <w:tcPr>
            <w:tcW w:w="3458" w:type="dxa"/>
            <w:vAlign w:val="center"/>
          </w:tcPr>
          <w:p>
            <w:pPr>
              <w:widowControl/>
              <w:jc w:val="left"/>
              <w:rPr>
                <w:rFonts w:ascii="宋体" w:hAnsi="宋体" w:cs="宋体"/>
                <w:color w:val="auto"/>
                <w:kern w:val="0"/>
                <w:sz w:val="21"/>
                <w:szCs w:val="21"/>
                <w:highlight w:val="none"/>
              </w:rPr>
            </w:pPr>
            <w:r>
              <w:rPr>
                <w:rFonts w:ascii="华文细黑" w:hAnsi="华文细黑" w:eastAsia="华文细黑" w:cs="华文细黑"/>
                <w:color w:val="auto"/>
                <w:kern w:val="0"/>
                <w:sz w:val="19"/>
                <w:szCs w:val="19"/>
                <w:highlight w:val="none"/>
                <w:lang w:bidi="ar"/>
              </w:rPr>
              <w:t xml:space="preserve">驱动方式 </w:t>
            </w:r>
          </w:p>
        </w:tc>
        <w:tc>
          <w:tcPr>
            <w:tcW w:w="4132" w:type="dxa"/>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 xml:space="preserve">恒流驱动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27</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换帧频率（</w:t>
            </w:r>
            <w:r>
              <w:rPr>
                <w:rFonts w:ascii="Arial" w:hAnsi="Arial" w:cs="Arial"/>
                <w:color w:val="auto"/>
                <w:kern w:val="0"/>
                <w:sz w:val="19"/>
                <w:szCs w:val="19"/>
                <w:highlight w:val="none"/>
                <w:lang w:bidi="ar"/>
              </w:rPr>
              <w:t>Hz</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50&amp;60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28</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宋体" w:hAnsi="宋体" w:cs="宋体"/>
                <w:color w:val="auto"/>
                <w:kern w:val="0"/>
                <w:sz w:val="21"/>
                <w:szCs w:val="21"/>
                <w:highlight w:val="none"/>
              </w:rPr>
            </w:pPr>
            <w:r>
              <w:rPr>
                <w:rFonts w:hint="eastAsia" w:ascii="华文细黑" w:hAnsi="华文细黑" w:eastAsia="华文细黑" w:cs="华文细黑"/>
                <w:color w:val="auto"/>
                <w:kern w:val="0"/>
                <w:sz w:val="19"/>
                <w:szCs w:val="19"/>
                <w:highlight w:val="none"/>
                <w:lang w:bidi="ar"/>
              </w:rPr>
              <w:t>刷新率（</w:t>
            </w:r>
            <w:r>
              <w:rPr>
                <w:rFonts w:ascii="Arial" w:hAnsi="Arial" w:cs="Arial"/>
                <w:color w:val="auto"/>
                <w:kern w:val="0"/>
                <w:sz w:val="19"/>
                <w:szCs w:val="19"/>
                <w:highlight w:val="none"/>
                <w:lang w:bidi="ar"/>
              </w:rPr>
              <w:t>Hz</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宋体" w:hAnsi="宋体" w:cs="宋体"/>
                <w:color w:val="auto"/>
                <w:kern w:val="0"/>
                <w:sz w:val="21"/>
                <w:szCs w:val="21"/>
                <w:highlight w:val="none"/>
              </w:rPr>
            </w:pPr>
            <w:r>
              <w:rPr>
                <w:rFonts w:ascii="Arial" w:hAnsi="Arial" w:cs="Arial"/>
                <w:color w:val="auto"/>
                <w:kern w:val="0"/>
                <w:sz w:val="19"/>
                <w:szCs w:val="19"/>
                <w:highlight w:val="none"/>
                <w:lang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29</w:t>
            </w:r>
          </w:p>
        </w:tc>
        <w:tc>
          <w:tcPr>
            <w:tcW w:w="1108"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使用参数</w:t>
            </w:r>
          </w:p>
        </w:tc>
        <w:tc>
          <w:tcPr>
            <w:tcW w:w="3458" w:type="dxa"/>
            <w:vAlign w:val="center"/>
          </w:tcPr>
          <w:p>
            <w:pPr>
              <w:widowControl/>
              <w:jc w:val="left"/>
              <w:rPr>
                <w:rFonts w:ascii="华文细黑" w:hAnsi="华文细黑" w:eastAsia="华文细黑" w:cs="华文细黑"/>
                <w:color w:val="auto"/>
                <w:kern w:val="0"/>
                <w:sz w:val="19"/>
                <w:szCs w:val="19"/>
                <w:highlight w:val="none"/>
                <w:lang w:bidi="ar"/>
              </w:rPr>
            </w:pPr>
            <w:r>
              <w:rPr>
                <w:rFonts w:ascii="华文细黑" w:hAnsi="华文细黑" w:eastAsia="华文细黑" w:cs="华文细黑"/>
                <w:color w:val="auto"/>
                <w:kern w:val="0"/>
                <w:sz w:val="19"/>
                <w:szCs w:val="19"/>
                <w:highlight w:val="none"/>
                <w:lang w:bidi="ar"/>
              </w:rPr>
              <w:t>寿命典型值（</w:t>
            </w:r>
            <w:r>
              <w:rPr>
                <w:rFonts w:ascii="Arial" w:hAnsi="Arial" w:cs="Arial"/>
                <w:color w:val="auto"/>
                <w:kern w:val="0"/>
                <w:sz w:val="19"/>
                <w:szCs w:val="19"/>
                <w:highlight w:val="none"/>
                <w:lang w:bidi="ar"/>
              </w:rPr>
              <w:t>hrs</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Arial" w:hAnsi="Arial" w:cs="Arial"/>
                <w:color w:val="auto"/>
                <w:kern w:val="0"/>
                <w:sz w:val="19"/>
                <w:szCs w:val="19"/>
                <w:highlight w:val="none"/>
                <w:lang w:bidi="ar"/>
              </w:rPr>
            </w:pPr>
            <w:r>
              <w:rPr>
                <w:rFonts w:ascii="Arial" w:hAnsi="Arial" w:cs="Arial"/>
                <w:color w:val="auto"/>
                <w:kern w:val="0"/>
                <w:sz w:val="19"/>
                <w:szCs w:val="19"/>
                <w:highlight w:val="none"/>
                <w:lang w:bidi="ar"/>
              </w:rPr>
              <w:t xml:space="preserve">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30</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华文细黑" w:hAnsi="华文细黑" w:eastAsia="华文细黑" w:cs="华文细黑"/>
                <w:color w:val="auto"/>
                <w:kern w:val="0"/>
                <w:sz w:val="19"/>
                <w:szCs w:val="19"/>
                <w:highlight w:val="none"/>
                <w:lang w:bidi="ar"/>
              </w:rPr>
            </w:pPr>
            <w:r>
              <w:rPr>
                <w:rFonts w:hint="eastAsia" w:ascii="华文细黑" w:hAnsi="华文细黑" w:eastAsia="华文细黑" w:cs="华文细黑"/>
                <w:color w:val="auto"/>
                <w:kern w:val="0"/>
                <w:sz w:val="19"/>
                <w:szCs w:val="19"/>
                <w:highlight w:val="none"/>
                <w:lang w:bidi="ar"/>
              </w:rPr>
              <w:t xml:space="preserve">工作温度范围（℃） </w:t>
            </w:r>
          </w:p>
        </w:tc>
        <w:tc>
          <w:tcPr>
            <w:tcW w:w="4132" w:type="dxa"/>
          </w:tcPr>
          <w:p>
            <w:pPr>
              <w:widowControl/>
              <w:jc w:val="left"/>
              <w:rPr>
                <w:rFonts w:ascii="Arial" w:hAnsi="Arial" w:cs="Arial"/>
                <w:color w:val="auto"/>
                <w:kern w:val="0"/>
                <w:sz w:val="19"/>
                <w:szCs w:val="19"/>
                <w:highlight w:val="none"/>
                <w:lang w:bidi="ar"/>
              </w:rPr>
            </w:pPr>
            <w:r>
              <w:rPr>
                <w:rFonts w:ascii="Arial" w:hAnsi="Arial" w:cs="Arial"/>
                <w:color w:val="auto"/>
                <w:kern w:val="0"/>
                <w:sz w:val="19"/>
                <w:szCs w:val="19"/>
                <w:highlight w:val="none"/>
                <w:lang w:bidi="ar"/>
              </w:rPr>
              <w:t xml:space="preserve">-10 -- 40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31</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华文细黑" w:hAnsi="华文细黑" w:eastAsia="华文细黑" w:cs="华文细黑"/>
                <w:color w:val="auto"/>
                <w:kern w:val="0"/>
                <w:sz w:val="19"/>
                <w:szCs w:val="19"/>
                <w:highlight w:val="none"/>
                <w:lang w:bidi="ar"/>
              </w:rPr>
            </w:pPr>
            <w:r>
              <w:rPr>
                <w:rFonts w:hint="eastAsia" w:ascii="华文细黑" w:hAnsi="华文细黑" w:eastAsia="华文细黑" w:cs="华文细黑"/>
                <w:color w:val="auto"/>
                <w:kern w:val="0"/>
                <w:sz w:val="19"/>
                <w:szCs w:val="19"/>
                <w:highlight w:val="none"/>
                <w:lang w:bidi="ar"/>
              </w:rPr>
              <w:t xml:space="preserve">存储温度范围（℃） </w:t>
            </w:r>
          </w:p>
        </w:tc>
        <w:tc>
          <w:tcPr>
            <w:tcW w:w="4132" w:type="dxa"/>
          </w:tcPr>
          <w:p>
            <w:pPr>
              <w:widowControl/>
              <w:jc w:val="left"/>
              <w:rPr>
                <w:rFonts w:ascii="Arial" w:hAnsi="Arial" w:cs="Arial"/>
                <w:color w:val="auto"/>
                <w:kern w:val="0"/>
                <w:sz w:val="19"/>
                <w:szCs w:val="19"/>
                <w:highlight w:val="none"/>
                <w:lang w:bidi="ar"/>
              </w:rPr>
            </w:pPr>
            <w:r>
              <w:rPr>
                <w:rFonts w:ascii="Arial" w:hAnsi="Arial" w:cs="Arial"/>
                <w:color w:val="auto"/>
                <w:kern w:val="0"/>
                <w:sz w:val="19"/>
                <w:szCs w:val="19"/>
                <w:highlight w:val="none"/>
                <w:lang w:bidi="ar"/>
              </w:rPr>
              <w:t>-20 -- 60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32</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华文细黑" w:hAnsi="华文细黑" w:eastAsia="华文细黑" w:cs="华文细黑"/>
                <w:color w:val="auto"/>
                <w:kern w:val="0"/>
                <w:sz w:val="19"/>
                <w:szCs w:val="19"/>
                <w:highlight w:val="none"/>
                <w:lang w:bidi="ar"/>
              </w:rPr>
            </w:pPr>
            <w:r>
              <w:rPr>
                <w:rFonts w:hint="eastAsia" w:ascii="华文细黑" w:hAnsi="华文细黑" w:eastAsia="华文细黑" w:cs="华文细黑"/>
                <w:color w:val="auto"/>
                <w:kern w:val="0"/>
                <w:sz w:val="19"/>
                <w:szCs w:val="19"/>
                <w:highlight w:val="none"/>
                <w:lang w:bidi="ar"/>
              </w:rPr>
              <w:t>工作湿度范围（</w:t>
            </w:r>
            <w:r>
              <w:rPr>
                <w:rFonts w:ascii="Arial" w:hAnsi="Arial" w:cs="Arial"/>
                <w:color w:val="auto"/>
                <w:kern w:val="0"/>
                <w:sz w:val="19"/>
                <w:szCs w:val="19"/>
                <w:highlight w:val="none"/>
                <w:lang w:bidi="ar"/>
              </w:rPr>
              <w:t>RH</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Arial" w:hAnsi="Arial" w:cs="Arial"/>
                <w:color w:val="auto"/>
                <w:kern w:val="0"/>
                <w:sz w:val="19"/>
                <w:szCs w:val="19"/>
                <w:highlight w:val="none"/>
                <w:lang w:bidi="ar"/>
              </w:rPr>
            </w:pPr>
            <w:r>
              <w:rPr>
                <w:rFonts w:ascii="Arial" w:hAnsi="Arial" w:cs="Arial"/>
                <w:color w:val="auto"/>
                <w:kern w:val="0"/>
                <w:sz w:val="19"/>
                <w:szCs w:val="19"/>
                <w:highlight w:val="none"/>
                <w:lang w:bidi="ar"/>
              </w:rPr>
              <w:t>10 -- 80%</w:t>
            </w:r>
            <w:r>
              <w:rPr>
                <w:rFonts w:hint="eastAsia" w:ascii="华文细黑" w:hAnsi="华文细黑" w:eastAsia="华文细黑" w:cs="华文细黑"/>
                <w:color w:val="auto"/>
                <w:kern w:val="0"/>
                <w:sz w:val="19"/>
                <w:szCs w:val="19"/>
                <w:highlight w:val="none"/>
                <w:lang w:bidi="ar"/>
              </w:rPr>
              <w:t xml:space="preserve">无结霜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8"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33</w:t>
            </w:r>
          </w:p>
        </w:tc>
        <w:tc>
          <w:tcPr>
            <w:tcW w:w="1108" w:type="dxa"/>
            <w:vMerge w:val="continue"/>
            <w:vAlign w:val="center"/>
          </w:tcPr>
          <w:p>
            <w:pPr>
              <w:widowControl/>
              <w:jc w:val="center"/>
              <w:rPr>
                <w:rFonts w:ascii="宋体" w:hAnsi="宋体" w:cs="宋体"/>
                <w:color w:val="auto"/>
                <w:kern w:val="0"/>
                <w:sz w:val="21"/>
                <w:szCs w:val="21"/>
                <w:highlight w:val="none"/>
              </w:rPr>
            </w:pPr>
          </w:p>
        </w:tc>
        <w:tc>
          <w:tcPr>
            <w:tcW w:w="3458" w:type="dxa"/>
            <w:vAlign w:val="center"/>
          </w:tcPr>
          <w:p>
            <w:pPr>
              <w:widowControl/>
              <w:jc w:val="left"/>
              <w:rPr>
                <w:rFonts w:ascii="华文细黑" w:hAnsi="华文细黑" w:eastAsia="华文细黑" w:cs="华文细黑"/>
                <w:color w:val="auto"/>
                <w:kern w:val="0"/>
                <w:sz w:val="19"/>
                <w:szCs w:val="19"/>
                <w:highlight w:val="none"/>
                <w:lang w:bidi="ar"/>
              </w:rPr>
            </w:pPr>
            <w:r>
              <w:rPr>
                <w:rFonts w:hint="eastAsia" w:ascii="华文细黑" w:hAnsi="华文细黑" w:eastAsia="华文细黑" w:cs="华文细黑"/>
                <w:color w:val="auto"/>
                <w:kern w:val="0"/>
                <w:sz w:val="19"/>
                <w:szCs w:val="19"/>
                <w:highlight w:val="none"/>
                <w:lang w:bidi="ar"/>
              </w:rPr>
              <w:t>存储湿度范围（</w:t>
            </w:r>
            <w:r>
              <w:rPr>
                <w:rFonts w:ascii="Arial" w:hAnsi="Arial" w:cs="Arial"/>
                <w:color w:val="auto"/>
                <w:kern w:val="0"/>
                <w:sz w:val="19"/>
                <w:szCs w:val="19"/>
                <w:highlight w:val="none"/>
                <w:lang w:bidi="ar"/>
              </w:rPr>
              <w:t>RH</w:t>
            </w:r>
            <w:r>
              <w:rPr>
                <w:rFonts w:hint="eastAsia" w:ascii="华文细黑" w:hAnsi="华文细黑" w:eastAsia="华文细黑" w:cs="华文细黑"/>
                <w:color w:val="auto"/>
                <w:kern w:val="0"/>
                <w:sz w:val="19"/>
                <w:szCs w:val="19"/>
                <w:highlight w:val="none"/>
                <w:lang w:bidi="ar"/>
              </w:rPr>
              <w:t xml:space="preserve">） </w:t>
            </w:r>
          </w:p>
        </w:tc>
        <w:tc>
          <w:tcPr>
            <w:tcW w:w="4132" w:type="dxa"/>
          </w:tcPr>
          <w:p>
            <w:pPr>
              <w:widowControl/>
              <w:jc w:val="left"/>
              <w:rPr>
                <w:rFonts w:ascii="Arial" w:hAnsi="Arial" w:cs="Arial"/>
                <w:color w:val="auto"/>
                <w:kern w:val="0"/>
                <w:sz w:val="19"/>
                <w:szCs w:val="19"/>
                <w:highlight w:val="none"/>
                <w:lang w:bidi="ar"/>
              </w:rPr>
            </w:pPr>
            <w:r>
              <w:rPr>
                <w:rFonts w:ascii="Arial" w:hAnsi="Arial" w:cs="Arial"/>
                <w:color w:val="auto"/>
                <w:kern w:val="0"/>
                <w:sz w:val="19"/>
                <w:szCs w:val="19"/>
                <w:highlight w:val="none"/>
                <w:lang w:bidi="ar"/>
              </w:rPr>
              <w:t>10 -- 85%</w:t>
            </w:r>
            <w:r>
              <w:rPr>
                <w:rFonts w:hint="eastAsia" w:ascii="华文细黑" w:hAnsi="华文细黑" w:eastAsia="华文细黑" w:cs="华文细黑"/>
                <w:color w:val="auto"/>
                <w:kern w:val="0"/>
                <w:sz w:val="19"/>
                <w:szCs w:val="19"/>
                <w:highlight w:val="none"/>
                <w:lang w:bidi="ar"/>
              </w:rPr>
              <w:t>无结霜</w:t>
            </w:r>
          </w:p>
        </w:tc>
      </w:tr>
    </w:tbl>
    <w:p>
      <w:pPr>
        <w:pStyle w:val="5"/>
        <w:rPr>
          <w:color w:val="auto"/>
          <w:highlight w:val="none"/>
        </w:rPr>
      </w:pPr>
      <w:r>
        <w:rPr>
          <w:rFonts w:hint="eastAsia"/>
          <w:color w:val="auto"/>
          <w:highlight w:val="none"/>
          <w:lang w:eastAsia="zh-CN"/>
        </w:rPr>
        <w:t>配套软件</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67"/>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pStyle w:val="67"/>
              <w:jc w:val="center"/>
              <w:rPr>
                <w:color w:val="auto"/>
                <w:highlight w:val="none"/>
              </w:rPr>
            </w:pPr>
            <w:r>
              <w:rPr>
                <w:rFonts w:hint="eastAsia" w:ascii="宋体" w:hAnsi="宋体"/>
                <w:b/>
                <w:bCs/>
                <w:color w:val="auto"/>
                <w:highlight w:val="none"/>
              </w:rPr>
              <w:t>序号</w:t>
            </w:r>
          </w:p>
        </w:tc>
        <w:tc>
          <w:tcPr>
            <w:tcW w:w="1267" w:type="dxa"/>
            <w:vAlign w:val="center"/>
          </w:tcPr>
          <w:p>
            <w:pPr>
              <w:pStyle w:val="67"/>
              <w:jc w:val="center"/>
              <w:rPr>
                <w:color w:val="auto"/>
                <w:highlight w:val="none"/>
              </w:rPr>
            </w:pPr>
            <w:r>
              <w:rPr>
                <w:rFonts w:hint="eastAsia" w:ascii="宋体" w:hAnsi="宋体"/>
                <w:b/>
                <w:bCs/>
                <w:color w:val="auto"/>
                <w:highlight w:val="none"/>
              </w:rPr>
              <w:t>参数</w:t>
            </w:r>
          </w:p>
        </w:tc>
        <w:tc>
          <w:tcPr>
            <w:tcW w:w="7361" w:type="dxa"/>
            <w:vAlign w:val="center"/>
          </w:tcPr>
          <w:p>
            <w:pPr>
              <w:pStyle w:val="67"/>
              <w:jc w:val="center"/>
              <w:rPr>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功能要求</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一套节目制作、播放的软件；使用方便,简单易学、性能稳定、可靠性高。需提供LED控制软件的计算机软件著作权登记证书。</w:t>
            </w:r>
          </w:p>
        </w:tc>
      </w:tr>
    </w:tbl>
    <w:p>
      <w:pPr>
        <w:pStyle w:val="5"/>
        <w:rPr>
          <w:color w:val="auto"/>
          <w:highlight w:val="none"/>
        </w:rPr>
      </w:pPr>
      <w:r>
        <w:rPr>
          <w:rFonts w:hint="eastAsia"/>
          <w:color w:val="auto"/>
          <w:highlight w:val="none"/>
          <w:lang w:eastAsia="zh-CN"/>
        </w:rPr>
        <w:t>控制系统</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67"/>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pStyle w:val="67"/>
              <w:jc w:val="center"/>
              <w:rPr>
                <w:color w:val="auto"/>
                <w:highlight w:val="none"/>
              </w:rPr>
            </w:pPr>
            <w:r>
              <w:rPr>
                <w:rFonts w:hint="eastAsia" w:ascii="宋体" w:hAnsi="宋体"/>
                <w:b/>
                <w:bCs/>
                <w:color w:val="auto"/>
                <w:highlight w:val="none"/>
              </w:rPr>
              <w:t>序号</w:t>
            </w:r>
          </w:p>
        </w:tc>
        <w:tc>
          <w:tcPr>
            <w:tcW w:w="1267" w:type="dxa"/>
            <w:vAlign w:val="center"/>
          </w:tcPr>
          <w:p>
            <w:pPr>
              <w:pStyle w:val="67"/>
              <w:jc w:val="center"/>
              <w:rPr>
                <w:color w:val="auto"/>
                <w:highlight w:val="none"/>
              </w:rPr>
            </w:pPr>
            <w:r>
              <w:rPr>
                <w:rFonts w:hint="eastAsia" w:ascii="宋体" w:hAnsi="宋体"/>
                <w:b/>
                <w:bCs/>
                <w:color w:val="auto"/>
                <w:highlight w:val="none"/>
              </w:rPr>
              <w:t>参数</w:t>
            </w:r>
          </w:p>
        </w:tc>
        <w:tc>
          <w:tcPr>
            <w:tcW w:w="7361" w:type="dxa"/>
            <w:vAlign w:val="center"/>
          </w:tcPr>
          <w:p>
            <w:pPr>
              <w:pStyle w:val="67"/>
              <w:jc w:val="center"/>
              <w:rPr>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基本要求</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标准 1u 机箱设计，独立供电。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带载能力</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高位阶视频源带载能力：1440×900。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统一控制</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可级联多台进行统一控制。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视频格式</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支持视频格式：RGB，YCrCb4:2:2，YCrCb4:4:4。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视频输入</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支持高位阶视频输入，12bit/10bit/8bit 灰阶处理与显示。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色度矫正</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显示屏支持逐点亮色度校正技术，校正过程快速高效。</w:t>
            </w:r>
          </w:p>
        </w:tc>
      </w:tr>
    </w:tbl>
    <w:p>
      <w:pPr>
        <w:pStyle w:val="5"/>
        <w:rPr>
          <w:color w:val="auto"/>
          <w:highlight w:val="none"/>
        </w:rPr>
      </w:pPr>
      <w:r>
        <w:rPr>
          <w:rFonts w:hint="eastAsia"/>
          <w:color w:val="auto"/>
          <w:highlight w:val="none"/>
          <w:lang w:eastAsia="zh-CN"/>
        </w:rPr>
        <w:t>拼接控制器</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67"/>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pStyle w:val="67"/>
              <w:jc w:val="center"/>
              <w:rPr>
                <w:color w:val="auto"/>
                <w:highlight w:val="none"/>
              </w:rPr>
            </w:pPr>
            <w:r>
              <w:rPr>
                <w:rFonts w:hint="eastAsia" w:ascii="宋体" w:hAnsi="宋体"/>
                <w:b/>
                <w:bCs/>
                <w:color w:val="auto"/>
                <w:highlight w:val="none"/>
              </w:rPr>
              <w:t>序号</w:t>
            </w:r>
          </w:p>
        </w:tc>
        <w:tc>
          <w:tcPr>
            <w:tcW w:w="1267" w:type="dxa"/>
            <w:vAlign w:val="center"/>
          </w:tcPr>
          <w:p>
            <w:pPr>
              <w:pStyle w:val="67"/>
              <w:jc w:val="center"/>
              <w:rPr>
                <w:color w:val="auto"/>
                <w:highlight w:val="none"/>
              </w:rPr>
            </w:pPr>
            <w:r>
              <w:rPr>
                <w:rFonts w:hint="eastAsia" w:ascii="宋体" w:hAnsi="宋体"/>
                <w:b/>
                <w:bCs/>
                <w:color w:val="auto"/>
                <w:highlight w:val="none"/>
              </w:rPr>
              <w:t>参数</w:t>
            </w:r>
          </w:p>
        </w:tc>
        <w:tc>
          <w:tcPr>
            <w:tcW w:w="7361" w:type="dxa"/>
            <w:vAlign w:val="center"/>
          </w:tcPr>
          <w:p>
            <w:pPr>
              <w:pStyle w:val="67"/>
              <w:jc w:val="center"/>
              <w:rPr>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输出信号</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支持DVI、HDMI、SDI、DP、YPbPr、VGA、CVBS、4K HDMI、HDBaseT、4K HDBaseT、等常见输出信号。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模块化设计</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模块化设计，包括输入卡、输出卡、切换卡、控制卡、风扇、电源等都是模块化的设计，支持热插拔，更换时不影响其他模块的正常运行，方便以后升级维护。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图层显示</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信号可在拼接屏的任意位置开窗、叠加、拉伸、漫游、跨屏、缩放或画中画显示，单屏可以支持8图层显示。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分辨率</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支持自定义输出分辨率，并将自定义的分辨率添加到系统默认列表中图像开窗响应速度&lt;16ms。场景调取响应速度&lt;=16ms。支持3840×2160@30Hz/1920×1200@60Hz处理，支持4K拼接。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控制方式</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同时支持B/S和C/S两种控制方式。支持全面可视化操作，信号源可视化、大屏状态可视化、场景预览可视化等。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管理员权限</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管理人员可以设置输入输出板卡每一个接口信号源或输出显示屏的操作权限，实现精细的信号源及大屏显示权限划分。图形化展示设备当前配置情况，可以显示输入板卡、输出板卡、风扇的状态、温度监测及风扇转速，管理人员可以一目了然的看到设备的整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异常告警</w:t>
            </w:r>
          </w:p>
        </w:tc>
        <w:tc>
          <w:tcPr>
            <w:tcW w:w="7361" w:type="dxa"/>
          </w:tcPr>
          <w:p>
            <w:pPr>
              <w:pStyle w:val="64"/>
              <w:ind w:firstLine="0" w:firstLineChars="0"/>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支持异常告警提示，便于及时排查及处理，可对历史告警信息进行搜索及管理。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MTBF</w:t>
            </w:r>
          </w:p>
        </w:tc>
        <w:tc>
          <w:tcPr>
            <w:tcW w:w="7361" w:type="dxa"/>
          </w:tcPr>
          <w:p>
            <w:pPr>
              <w:pStyle w:val="64"/>
              <w:ind w:firstLine="0" w:firstLineChars="0"/>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全年365×24连续无故障运行，MTBF≥100000h。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第三方设备</w:t>
            </w:r>
          </w:p>
        </w:tc>
        <w:tc>
          <w:tcPr>
            <w:tcW w:w="7361" w:type="dxa"/>
          </w:tcPr>
          <w:p>
            <w:pPr>
              <w:pStyle w:val="64"/>
              <w:ind w:firstLine="0" w:firstLineChars="0"/>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支持第三方设备通过通讯协议进行控制。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1267"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解码能力</w:t>
            </w:r>
          </w:p>
        </w:tc>
        <w:tc>
          <w:tcPr>
            <w:tcW w:w="7361" w:type="dxa"/>
          </w:tcPr>
          <w:p>
            <w:pPr>
              <w:pStyle w:val="64"/>
              <w:ind w:firstLine="0" w:firstLineChars="0"/>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单屏最大可解码显示128个1080P@30的视频信号。在不增加外部设备的情况下，支持在拼接屏上显示滚动字幕（如欢迎词等），字体大小、颜色、滚动速度可自定义。</w:t>
            </w:r>
          </w:p>
        </w:tc>
      </w:tr>
    </w:tbl>
    <w:p>
      <w:pPr>
        <w:pStyle w:val="5"/>
        <w:rPr>
          <w:color w:val="auto"/>
          <w:highlight w:val="none"/>
        </w:rPr>
      </w:pPr>
      <w:r>
        <w:rPr>
          <w:rFonts w:hint="eastAsia"/>
          <w:color w:val="auto"/>
          <w:highlight w:val="none"/>
          <w:lang w:eastAsia="zh-CN"/>
        </w:rPr>
        <w:t>钢结构</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22"/>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pStyle w:val="67"/>
              <w:jc w:val="center"/>
              <w:rPr>
                <w:color w:val="auto"/>
                <w:highlight w:val="none"/>
              </w:rPr>
            </w:pPr>
            <w:r>
              <w:rPr>
                <w:rFonts w:hint="eastAsia" w:ascii="宋体" w:hAnsi="宋体"/>
                <w:b/>
                <w:bCs/>
                <w:color w:val="auto"/>
                <w:highlight w:val="none"/>
              </w:rPr>
              <w:t>序号</w:t>
            </w:r>
          </w:p>
        </w:tc>
        <w:tc>
          <w:tcPr>
            <w:tcW w:w="1322" w:type="dxa"/>
            <w:vAlign w:val="center"/>
          </w:tcPr>
          <w:p>
            <w:pPr>
              <w:pStyle w:val="67"/>
              <w:jc w:val="center"/>
              <w:rPr>
                <w:color w:val="auto"/>
                <w:highlight w:val="none"/>
              </w:rPr>
            </w:pPr>
            <w:r>
              <w:rPr>
                <w:rFonts w:hint="eastAsia" w:ascii="宋体" w:hAnsi="宋体"/>
                <w:b/>
                <w:bCs/>
                <w:color w:val="auto"/>
                <w:highlight w:val="none"/>
              </w:rPr>
              <w:t>参数</w:t>
            </w:r>
          </w:p>
        </w:tc>
        <w:tc>
          <w:tcPr>
            <w:tcW w:w="7361" w:type="dxa"/>
            <w:vAlign w:val="center"/>
          </w:tcPr>
          <w:p>
            <w:pPr>
              <w:pStyle w:val="67"/>
              <w:jc w:val="center"/>
              <w:rPr>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322"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相关证书</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现场定制+型材/含施工、含调试；提供钢结构工程专业承包叁级证书、安全生产许可证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322"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国家规范</w:t>
            </w:r>
          </w:p>
        </w:tc>
        <w:tc>
          <w:tcPr>
            <w:tcW w:w="7361" w:type="dxa"/>
          </w:tcPr>
          <w:p>
            <w:pPr>
              <w:widowControl/>
              <w:jc w:val="left"/>
              <w:rPr>
                <w:rFonts w:ascii="宋体" w:hAnsi="宋体" w:cs="宋体"/>
                <w:color w:val="auto"/>
                <w:kern w:val="0"/>
                <w:sz w:val="21"/>
                <w:szCs w:val="21"/>
                <w:highlight w:val="none"/>
                <w:lang w:eastAsia="ar-SA"/>
              </w:rPr>
            </w:pPr>
            <w:r>
              <w:rPr>
                <w:rFonts w:hint="eastAsia" w:ascii="宋体" w:hAnsi="宋体" w:cs="宋体"/>
                <w:color w:val="auto"/>
                <w:kern w:val="0"/>
                <w:sz w:val="19"/>
                <w:szCs w:val="19"/>
                <w:highlight w:val="none"/>
                <w:lang w:bidi="ar"/>
              </w:rPr>
              <w:t xml:space="preserve">设计图主要参照以下国家现行规范及规程进行结构设计： 《建筑结构荷载规范》、《钢结构设计规范》、《建筑抗震设计规范》、《钢结构工程施工质量验收规范》、《建筑钢结构焊接规程》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322" w:type="dxa"/>
            <w:vAlign w:val="center"/>
          </w:tcPr>
          <w:p>
            <w:pPr>
              <w:pStyle w:val="64"/>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建筑部分</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除图中特别注明外，尺寸均以毫米为单位，标高均以m为单位。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322" w:type="dxa"/>
            <w:vAlign w:val="center"/>
          </w:tcPr>
          <w:p>
            <w:pPr>
              <w:pStyle w:val="64"/>
              <w:ind w:firstLine="0" w:firstLineChars="0"/>
              <w:jc w:val="center"/>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主要荷载参数</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 xml:space="preserve">活载：施工或者检修集中荷载：1.0kN/㎡；抗震：设防烈度：7度（0.10g）；基本风压：0.30kN/㎡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322" w:type="dxa"/>
            <w:vAlign w:val="center"/>
          </w:tcPr>
          <w:p>
            <w:pPr>
              <w:pStyle w:val="64"/>
              <w:ind w:firstLine="0" w:firstLineChars="0"/>
              <w:jc w:val="center"/>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材料要求</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构构件均采用Q235B钢。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322" w:type="dxa"/>
            <w:vAlign w:val="center"/>
          </w:tcPr>
          <w:p>
            <w:pPr>
              <w:pStyle w:val="64"/>
              <w:ind w:firstLine="0" w:firstLineChars="0"/>
              <w:jc w:val="center"/>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施工规范</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钢结构关键连接部分采用高强镙栓结构。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945"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322" w:type="dxa"/>
            <w:vMerge w:val="restart"/>
            <w:vAlign w:val="center"/>
          </w:tcPr>
          <w:p>
            <w:pPr>
              <w:pStyle w:val="64"/>
              <w:ind w:firstLine="0" w:firstLineChars="0"/>
              <w:jc w:val="center"/>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钢材要求</w:t>
            </w: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 xml:space="preserve">钢材的屈服强度实测值与抗拉强度实测值的比值不应大于0.85；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945" w:type="dxa"/>
            <w:vMerge w:val="continue"/>
            <w:vAlign w:val="center"/>
          </w:tcPr>
          <w:p>
            <w:pPr>
              <w:widowControl/>
              <w:jc w:val="left"/>
              <w:rPr>
                <w:color w:val="auto"/>
                <w:highlight w:val="none"/>
              </w:rPr>
            </w:pPr>
          </w:p>
        </w:tc>
        <w:tc>
          <w:tcPr>
            <w:tcW w:w="1322" w:type="dxa"/>
            <w:vMerge w:val="continue"/>
            <w:vAlign w:val="center"/>
          </w:tcPr>
          <w:p>
            <w:pPr>
              <w:widowControl/>
              <w:jc w:val="left"/>
              <w:rPr>
                <w:color w:val="auto"/>
                <w:highlight w:val="none"/>
              </w:rPr>
            </w:pP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 xml:space="preserve">钢材应有明显的屈服台阶，切伸长率不应小于20%；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945" w:type="dxa"/>
            <w:vMerge w:val="continue"/>
            <w:vAlign w:val="center"/>
          </w:tcPr>
          <w:p>
            <w:pPr>
              <w:widowControl/>
              <w:jc w:val="left"/>
              <w:rPr>
                <w:rFonts w:ascii="宋体" w:hAnsi="宋体" w:cs="宋体"/>
                <w:color w:val="auto"/>
                <w:kern w:val="0"/>
                <w:sz w:val="19"/>
                <w:szCs w:val="19"/>
                <w:highlight w:val="none"/>
                <w:lang w:bidi="ar"/>
              </w:rPr>
            </w:pPr>
          </w:p>
        </w:tc>
        <w:tc>
          <w:tcPr>
            <w:tcW w:w="1322" w:type="dxa"/>
            <w:vMerge w:val="continue"/>
            <w:vAlign w:val="center"/>
          </w:tcPr>
          <w:p>
            <w:pPr>
              <w:widowControl/>
              <w:jc w:val="left"/>
              <w:rPr>
                <w:rFonts w:ascii="宋体" w:hAnsi="宋体" w:cs="宋体"/>
                <w:color w:val="auto"/>
                <w:kern w:val="0"/>
                <w:sz w:val="19"/>
                <w:szCs w:val="19"/>
                <w:highlight w:val="none"/>
                <w:lang w:bidi="ar"/>
              </w:rPr>
            </w:pP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钢材应有良好的焊接性和合格的冲击韧性；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5" w:type="dxa"/>
            <w:vMerge w:val="continue"/>
            <w:vAlign w:val="center"/>
          </w:tcPr>
          <w:p>
            <w:pPr>
              <w:widowControl/>
              <w:jc w:val="left"/>
              <w:rPr>
                <w:rFonts w:ascii="宋体" w:hAnsi="宋体" w:cs="宋体"/>
                <w:color w:val="auto"/>
                <w:kern w:val="0"/>
                <w:sz w:val="19"/>
                <w:szCs w:val="19"/>
                <w:highlight w:val="none"/>
                <w:lang w:bidi="ar"/>
              </w:rPr>
            </w:pPr>
          </w:p>
        </w:tc>
        <w:tc>
          <w:tcPr>
            <w:tcW w:w="1322" w:type="dxa"/>
            <w:vMerge w:val="continue"/>
            <w:vAlign w:val="center"/>
          </w:tcPr>
          <w:p>
            <w:pPr>
              <w:widowControl/>
              <w:jc w:val="left"/>
              <w:rPr>
                <w:rFonts w:ascii="宋体" w:hAnsi="宋体" w:cs="宋体"/>
                <w:color w:val="auto"/>
                <w:kern w:val="0"/>
                <w:sz w:val="19"/>
                <w:szCs w:val="19"/>
                <w:highlight w:val="none"/>
                <w:lang w:bidi="ar"/>
              </w:rPr>
            </w:pP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承重结构采用的钢材应具有抗拉强度、伸长率、屈服强度和硫、磷含量的合格保证，对焊接结构尚应具有碳含量的合格保证包边为不锈钢，无辐射，安全防火，耐磨、耐蚀性、整体光洁平滑、易清洁，经久耐用、紫外光照射不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5" w:type="dxa"/>
            <w:vMerge w:val="continue"/>
            <w:vAlign w:val="center"/>
          </w:tcPr>
          <w:p>
            <w:pPr>
              <w:widowControl/>
              <w:jc w:val="left"/>
              <w:rPr>
                <w:rFonts w:ascii="宋体" w:hAnsi="宋体" w:cs="宋体"/>
                <w:color w:val="auto"/>
                <w:kern w:val="0"/>
                <w:sz w:val="19"/>
                <w:szCs w:val="19"/>
                <w:highlight w:val="none"/>
                <w:lang w:bidi="ar"/>
              </w:rPr>
            </w:pPr>
          </w:p>
        </w:tc>
        <w:tc>
          <w:tcPr>
            <w:tcW w:w="1322" w:type="dxa"/>
            <w:vMerge w:val="continue"/>
            <w:vAlign w:val="center"/>
          </w:tcPr>
          <w:p>
            <w:pPr>
              <w:widowControl/>
              <w:jc w:val="left"/>
              <w:rPr>
                <w:rFonts w:ascii="宋体" w:hAnsi="宋体" w:cs="宋体"/>
                <w:color w:val="auto"/>
                <w:kern w:val="0"/>
                <w:sz w:val="19"/>
                <w:szCs w:val="19"/>
                <w:highlight w:val="none"/>
                <w:lang w:bidi="ar"/>
              </w:rPr>
            </w:pPr>
          </w:p>
        </w:tc>
        <w:tc>
          <w:tcPr>
            <w:tcW w:w="7361" w:type="dxa"/>
          </w:tcPr>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提供厂家钢结构工程专业承包叁级证书</w:t>
            </w:r>
          </w:p>
        </w:tc>
      </w:tr>
    </w:tbl>
    <w:p>
      <w:pPr>
        <w:pStyle w:val="5"/>
        <w:rPr>
          <w:color w:val="auto"/>
          <w:highlight w:val="none"/>
        </w:rPr>
      </w:pPr>
      <w:r>
        <w:rPr>
          <w:rFonts w:hint="eastAsia"/>
          <w:color w:val="auto"/>
          <w:highlight w:val="none"/>
        </w:rPr>
        <w:t>配电</w:t>
      </w:r>
      <w:r>
        <w:rPr>
          <w:rFonts w:hint="eastAsia"/>
          <w:color w:val="auto"/>
          <w:highlight w:val="none"/>
          <w:lang w:eastAsia="zh-CN"/>
        </w:rPr>
        <w:t>系统</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22"/>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pStyle w:val="67"/>
              <w:jc w:val="center"/>
              <w:rPr>
                <w:color w:val="auto"/>
                <w:highlight w:val="none"/>
              </w:rPr>
            </w:pPr>
            <w:r>
              <w:rPr>
                <w:rFonts w:hint="eastAsia" w:ascii="宋体" w:hAnsi="宋体"/>
                <w:b/>
                <w:bCs/>
                <w:color w:val="auto"/>
                <w:highlight w:val="none"/>
              </w:rPr>
              <w:t>序号</w:t>
            </w:r>
          </w:p>
        </w:tc>
        <w:tc>
          <w:tcPr>
            <w:tcW w:w="1322" w:type="dxa"/>
            <w:vAlign w:val="center"/>
          </w:tcPr>
          <w:p>
            <w:pPr>
              <w:pStyle w:val="67"/>
              <w:jc w:val="center"/>
              <w:rPr>
                <w:color w:val="auto"/>
                <w:highlight w:val="none"/>
              </w:rPr>
            </w:pPr>
            <w:r>
              <w:rPr>
                <w:rFonts w:hint="eastAsia" w:ascii="宋体" w:hAnsi="宋体"/>
                <w:b/>
                <w:bCs/>
                <w:color w:val="auto"/>
                <w:highlight w:val="none"/>
              </w:rPr>
              <w:t>参数</w:t>
            </w:r>
          </w:p>
        </w:tc>
        <w:tc>
          <w:tcPr>
            <w:tcW w:w="7361" w:type="dxa"/>
            <w:vAlign w:val="center"/>
          </w:tcPr>
          <w:p>
            <w:pPr>
              <w:pStyle w:val="67"/>
              <w:jc w:val="center"/>
              <w:rPr>
                <w:color w:val="auto"/>
                <w:highlight w:val="none"/>
              </w:rPr>
            </w:pPr>
            <w:r>
              <w:rPr>
                <w:rFonts w:hint="eastAsia" w:ascii="宋体" w:hAnsi="宋体"/>
                <w:b/>
                <w:bCs/>
                <w:color w:val="auto"/>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322"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保护措施</w:t>
            </w: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保护措施具有短路、断路、过流、过压、欠压以及漏电保护措施。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322"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智能编程</w:t>
            </w: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采用自主研发的可编程智能控制器（PLC），外围数字/模拟量、开关量I/O接口更加齐全，智能操控，数据监测功能更加完备，主芯片采用进口工业级CUP,具有运行稳定可靠、运算速度快的显著特点。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322"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控制方式</w:t>
            </w: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通讯采用Modbus工业标准协议和以太网IEEE802协议及无线局域网协议，可通过上位机电脑控制，也可以无线通信，或通过手机远程控制。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322" w:type="dxa"/>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智能化控制</w:t>
            </w: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改变传统的设备控电模式，实现远程实时监控，群组智能化管理，提供用电设备的安全性。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322" w:type="dxa"/>
            <w:vMerge w:val="restart"/>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功能</w:t>
            </w: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可实现多时段定时开关、电源监控、温度监控、烟雾监控、开门报警监控；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continue"/>
            <w:vAlign w:val="center"/>
          </w:tcPr>
          <w:p>
            <w:pPr>
              <w:widowControl/>
              <w:jc w:val="center"/>
              <w:rPr>
                <w:rFonts w:ascii="宋体" w:hAnsi="宋体" w:cs="宋体"/>
                <w:color w:val="auto"/>
                <w:kern w:val="0"/>
                <w:sz w:val="21"/>
                <w:szCs w:val="21"/>
                <w:highlight w:val="none"/>
              </w:rPr>
            </w:pPr>
          </w:p>
        </w:tc>
        <w:tc>
          <w:tcPr>
            <w:tcW w:w="1322" w:type="dxa"/>
            <w:vMerge w:val="continue"/>
          </w:tcPr>
          <w:p>
            <w:pPr>
              <w:widowControl/>
              <w:jc w:val="center"/>
              <w:rPr>
                <w:rFonts w:ascii="宋体" w:hAnsi="宋体" w:cs="宋体"/>
                <w:color w:val="auto"/>
                <w:kern w:val="0"/>
                <w:sz w:val="21"/>
                <w:szCs w:val="21"/>
                <w:highlight w:val="none"/>
              </w:rPr>
            </w:pPr>
          </w:p>
        </w:tc>
        <w:tc>
          <w:tcPr>
            <w:tcW w:w="7361" w:type="dxa"/>
          </w:tcPr>
          <w:p>
            <w:pPr>
              <w:widowControl/>
              <w:jc w:val="left"/>
              <w:rPr>
                <w:rFonts w:ascii="宋体" w:hAnsi="宋体" w:cs="宋体"/>
                <w:color w:val="auto"/>
                <w:kern w:val="0"/>
                <w:sz w:val="21"/>
                <w:szCs w:val="21"/>
                <w:highlight w:val="none"/>
              </w:rPr>
            </w:pPr>
            <w:r>
              <w:rPr>
                <w:rFonts w:hint="eastAsia" w:ascii="宋体" w:hAnsi="宋体" w:cs="宋体"/>
                <w:color w:val="auto"/>
                <w:kern w:val="0"/>
                <w:sz w:val="19"/>
                <w:szCs w:val="19"/>
                <w:highlight w:val="none"/>
                <w:lang w:bidi="ar"/>
              </w:rPr>
              <w:t>电流、电压、功率因数等电力参数检测计量，欠压、过压、过流保护，电力运行参数可生成报表，方便管理人员分析管理。</w:t>
            </w:r>
          </w:p>
        </w:tc>
      </w:tr>
    </w:tbl>
    <w:p>
      <w:pPr>
        <w:pStyle w:val="5"/>
        <w:rPr>
          <w:color w:val="auto"/>
          <w:highlight w:val="none"/>
        </w:rPr>
      </w:pPr>
      <w:r>
        <w:rPr>
          <w:rFonts w:hint="eastAsia"/>
          <w:color w:val="auto"/>
          <w:highlight w:val="none"/>
          <w:lang w:eastAsia="zh-CN"/>
        </w:rPr>
        <w:t>其他设备</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9"/>
        <w:gridCol w:w="1042"/>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319"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7350" w:type="dxa"/>
            <w:gridSpan w:val="2"/>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19" w:type="dxa"/>
            <w:tcBorders>
              <w:top w:val="single" w:color="auto" w:sz="4" w:space="0"/>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线缆辅料</w:t>
            </w:r>
          </w:p>
        </w:tc>
        <w:tc>
          <w:tcPr>
            <w:tcW w:w="7350" w:type="dxa"/>
            <w:gridSpan w:val="2"/>
            <w:tcBorders>
              <w:top w:val="single" w:color="auto" w:sz="4" w:space="0"/>
              <w:left w:val="nil"/>
              <w:bottom w:val="single" w:color="auto" w:sz="4" w:space="0"/>
              <w:right w:val="single" w:color="auto" w:sz="4" w:space="0"/>
            </w:tcBorders>
          </w:tcPr>
          <w:p>
            <w:pPr>
              <w:widowControl/>
              <w:jc w:val="left"/>
              <w:rPr>
                <w:rFonts w:ascii="宋体" w:hAnsi="宋体"/>
                <w:color w:val="auto"/>
                <w:sz w:val="21"/>
                <w:szCs w:val="21"/>
                <w:highlight w:val="none"/>
              </w:rPr>
            </w:pPr>
            <w:r>
              <w:rPr>
                <w:rFonts w:hint="eastAsia" w:ascii="宋体" w:hAnsi="宋体" w:cs="宋体"/>
                <w:color w:val="auto"/>
                <w:kern w:val="0"/>
                <w:sz w:val="19"/>
                <w:szCs w:val="19"/>
                <w:highlight w:val="none"/>
                <w:lang w:bidi="ar"/>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319" w:type="dxa"/>
            <w:vMerge w:val="restart"/>
            <w:tcBorders>
              <w:top w:val="single" w:color="auto" w:sz="4" w:space="0"/>
              <w:left w:val="nil"/>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监控中心装修</w:t>
            </w:r>
          </w:p>
        </w:tc>
        <w:tc>
          <w:tcPr>
            <w:tcW w:w="1042" w:type="dxa"/>
            <w:tcBorders>
              <w:top w:val="single" w:color="auto" w:sz="4" w:space="0"/>
              <w:left w:val="nil"/>
              <w:bottom w:val="single" w:color="auto" w:sz="4" w:space="0"/>
              <w:right w:val="single" w:color="auto" w:sz="4" w:space="0"/>
            </w:tcBorders>
            <w:vAlign w:val="center"/>
          </w:tcPr>
          <w:p>
            <w:pPr>
              <w:widowControl/>
              <w:jc w:val="center"/>
              <w:rPr>
                <w:color w:val="auto"/>
                <w:highlight w:val="none"/>
              </w:rPr>
            </w:pPr>
            <w:r>
              <w:rPr>
                <w:rFonts w:hint="eastAsia" w:ascii="宋体" w:hAnsi="宋体" w:cs="宋体"/>
                <w:color w:val="auto"/>
                <w:kern w:val="0"/>
                <w:sz w:val="19"/>
                <w:szCs w:val="19"/>
                <w:highlight w:val="none"/>
                <w:lang w:bidi="ar"/>
              </w:rPr>
              <w:t>硬件安装</w:t>
            </w:r>
          </w:p>
          <w:p>
            <w:pPr>
              <w:widowControl/>
              <w:jc w:val="center"/>
              <w:rPr>
                <w:rFonts w:ascii="宋体" w:hAnsi="宋体"/>
                <w:color w:val="auto"/>
                <w:sz w:val="21"/>
                <w:szCs w:val="21"/>
                <w:highlight w:val="none"/>
              </w:rPr>
            </w:pPr>
          </w:p>
        </w:tc>
        <w:tc>
          <w:tcPr>
            <w:tcW w:w="6308" w:type="dxa"/>
            <w:tcBorders>
              <w:top w:val="single" w:color="auto" w:sz="4" w:space="0"/>
              <w:left w:val="nil"/>
              <w:bottom w:val="single" w:color="auto" w:sz="4" w:space="0"/>
              <w:right w:val="single" w:color="auto" w:sz="4" w:space="0"/>
            </w:tcBorders>
          </w:tcPr>
          <w:p>
            <w:pPr>
              <w:widowControl/>
              <w:jc w:val="left"/>
              <w:rPr>
                <w:color w:val="auto"/>
                <w:highlight w:val="none"/>
              </w:rPr>
            </w:pPr>
            <w:r>
              <w:rPr>
                <w:rFonts w:hint="eastAsia" w:ascii="宋体" w:hAnsi="宋体" w:cs="宋体"/>
                <w:color w:val="auto"/>
                <w:kern w:val="0"/>
                <w:sz w:val="19"/>
                <w:szCs w:val="19"/>
                <w:highlight w:val="none"/>
                <w:lang w:bidi="ar"/>
              </w:rPr>
              <w:t xml:space="preserve">1）把DVI显示卡插于主板的AGP插槽，安装好该卡的驱动程序； </w:t>
            </w:r>
          </w:p>
          <w:p>
            <w:pPr>
              <w:widowControl/>
              <w:jc w:val="left"/>
              <w:rPr>
                <w:color w:val="auto"/>
                <w:highlight w:val="none"/>
              </w:rPr>
            </w:pPr>
            <w:r>
              <w:rPr>
                <w:rFonts w:hint="eastAsia" w:ascii="宋体" w:hAnsi="宋体" w:cs="宋体"/>
                <w:color w:val="auto"/>
                <w:kern w:val="0"/>
                <w:sz w:val="19"/>
                <w:szCs w:val="19"/>
                <w:highlight w:val="none"/>
                <w:lang w:bidi="ar"/>
              </w:rPr>
              <w:t xml:space="preserve">2）将数据采集卡插于空的PCI插槽； </w:t>
            </w:r>
          </w:p>
          <w:p>
            <w:pPr>
              <w:widowControl/>
              <w:jc w:val="left"/>
              <w:rPr>
                <w:color w:val="auto"/>
                <w:highlight w:val="none"/>
              </w:rPr>
            </w:pPr>
            <w:r>
              <w:rPr>
                <w:rFonts w:hint="eastAsia" w:ascii="宋体" w:hAnsi="宋体" w:cs="宋体"/>
                <w:color w:val="auto"/>
                <w:kern w:val="0"/>
                <w:sz w:val="19"/>
                <w:szCs w:val="19"/>
                <w:highlight w:val="none"/>
                <w:lang w:bidi="ar"/>
              </w:rPr>
              <w:t xml:space="preserve">3）用DVI电缆线把数据采集卡与显示卡连接在一起； </w:t>
            </w:r>
          </w:p>
          <w:p>
            <w:pPr>
              <w:widowControl/>
              <w:jc w:val="left"/>
              <w:rPr>
                <w:color w:val="auto"/>
                <w:highlight w:val="none"/>
              </w:rPr>
            </w:pPr>
            <w:r>
              <w:rPr>
                <w:rFonts w:hint="eastAsia" w:ascii="宋体" w:hAnsi="宋体" w:cs="宋体"/>
                <w:color w:val="auto"/>
                <w:kern w:val="0"/>
                <w:sz w:val="19"/>
                <w:szCs w:val="19"/>
                <w:highlight w:val="none"/>
                <w:lang w:bidi="ar"/>
              </w:rPr>
              <w:t xml:space="preserve">4）把控制线与串口（Rs232）相连（可选）； </w:t>
            </w:r>
          </w:p>
          <w:p>
            <w:pPr>
              <w:widowControl/>
              <w:jc w:val="left"/>
              <w:rPr>
                <w:color w:val="auto"/>
                <w:highlight w:val="none"/>
              </w:rPr>
            </w:pPr>
            <w:r>
              <w:rPr>
                <w:rFonts w:hint="eastAsia" w:ascii="宋体" w:hAnsi="宋体" w:cs="宋体"/>
                <w:color w:val="auto"/>
                <w:kern w:val="0"/>
                <w:sz w:val="19"/>
                <w:szCs w:val="19"/>
                <w:highlight w:val="none"/>
                <w:lang w:bidi="ar"/>
              </w:rPr>
              <w:t xml:space="preserve">5）用1条网线与接收卡相连； </w:t>
            </w:r>
          </w:p>
          <w:p>
            <w:pPr>
              <w:widowControl/>
              <w:jc w:val="left"/>
              <w:rPr>
                <w:color w:val="auto"/>
                <w:highlight w:val="none"/>
              </w:rPr>
            </w:pPr>
            <w:r>
              <w:rPr>
                <w:rFonts w:hint="eastAsia" w:ascii="宋体" w:hAnsi="宋体" w:cs="宋体"/>
                <w:color w:val="auto"/>
                <w:kern w:val="0"/>
                <w:sz w:val="19"/>
                <w:szCs w:val="19"/>
                <w:highlight w:val="none"/>
                <w:lang w:bidi="ar"/>
              </w:rPr>
              <w:t xml:space="preserve">6）显示驱动卡与集线板用50P扁平线一一对应连接好； </w:t>
            </w:r>
          </w:p>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7）检查连接无误即可进行设置或上电调试。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Merge w:val="continue"/>
            <w:tcBorders>
              <w:left w:val="single" w:color="auto" w:sz="4" w:space="0"/>
              <w:bottom w:val="single" w:color="auto" w:sz="4" w:space="0"/>
              <w:right w:val="single" w:color="auto" w:sz="4" w:space="0"/>
            </w:tcBorders>
            <w:vAlign w:val="center"/>
          </w:tcPr>
          <w:p>
            <w:pPr>
              <w:widowControl/>
              <w:jc w:val="left"/>
              <w:rPr>
                <w:color w:val="auto"/>
                <w:highlight w:val="none"/>
              </w:rPr>
            </w:pPr>
          </w:p>
        </w:tc>
        <w:tc>
          <w:tcPr>
            <w:tcW w:w="1319" w:type="dxa"/>
            <w:vMerge w:val="continue"/>
            <w:tcBorders>
              <w:left w:val="nil"/>
              <w:bottom w:val="single" w:color="auto" w:sz="4" w:space="0"/>
              <w:right w:val="single" w:color="auto" w:sz="4" w:space="0"/>
            </w:tcBorders>
            <w:vAlign w:val="center"/>
          </w:tcPr>
          <w:p>
            <w:pPr>
              <w:widowControl/>
              <w:jc w:val="left"/>
              <w:rPr>
                <w:color w:val="auto"/>
                <w:highlight w:val="none"/>
              </w:rPr>
            </w:pPr>
          </w:p>
        </w:tc>
        <w:tc>
          <w:tcPr>
            <w:tcW w:w="10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软件安装</w:t>
            </w:r>
          </w:p>
        </w:tc>
        <w:tc>
          <w:tcPr>
            <w:tcW w:w="6308" w:type="dxa"/>
            <w:tcBorders>
              <w:top w:val="single" w:color="auto" w:sz="4" w:space="0"/>
              <w:left w:val="nil"/>
              <w:bottom w:val="single" w:color="auto" w:sz="4" w:space="0"/>
              <w:right w:val="single" w:color="auto" w:sz="4" w:space="0"/>
            </w:tcBorders>
          </w:tcPr>
          <w:p>
            <w:pPr>
              <w:widowControl/>
              <w:jc w:val="left"/>
              <w:rPr>
                <w:color w:val="auto"/>
                <w:highlight w:val="none"/>
              </w:rPr>
            </w:pPr>
            <w:r>
              <w:rPr>
                <w:rFonts w:hint="eastAsia" w:ascii="宋体" w:hAnsi="宋体" w:cs="宋体"/>
                <w:color w:val="auto"/>
                <w:kern w:val="0"/>
                <w:sz w:val="19"/>
                <w:szCs w:val="19"/>
                <w:highlight w:val="none"/>
                <w:lang w:bidi="ar"/>
              </w:rPr>
              <w:t xml:space="preserve">1）显卡驱动安装 </w:t>
            </w:r>
          </w:p>
          <w:p>
            <w:pPr>
              <w:widowControl/>
              <w:jc w:val="left"/>
              <w:rPr>
                <w:rFonts w:ascii="宋体" w:hAnsi="宋体" w:cs="宋体"/>
                <w:color w:val="auto"/>
                <w:kern w:val="0"/>
                <w:sz w:val="19"/>
                <w:szCs w:val="19"/>
                <w:highlight w:val="none"/>
                <w:lang w:bidi="ar"/>
              </w:rPr>
            </w:pPr>
            <w:r>
              <w:rPr>
                <w:rFonts w:hint="eastAsia" w:ascii="宋体" w:hAnsi="宋体" w:cs="宋体"/>
                <w:color w:val="auto"/>
                <w:kern w:val="0"/>
                <w:sz w:val="19"/>
                <w:szCs w:val="19"/>
                <w:highlight w:val="none"/>
                <w:lang w:bidi="ar"/>
              </w:rPr>
              <w:t>2）播放软件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Merge w:val="continue"/>
            <w:tcBorders>
              <w:left w:val="single" w:color="auto" w:sz="4" w:space="0"/>
              <w:bottom w:val="single" w:color="auto" w:sz="4" w:space="0"/>
              <w:right w:val="single" w:color="auto" w:sz="4" w:space="0"/>
            </w:tcBorders>
            <w:vAlign w:val="center"/>
          </w:tcPr>
          <w:p>
            <w:pPr>
              <w:widowControl/>
              <w:jc w:val="left"/>
              <w:rPr>
                <w:color w:val="auto"/>
                <w:highlight w:val="none"/>
              </w:rPr>
            </w:pPr>
          </w:p>
        </w:tc>
        <w:tc>
          <w:tcPr>
            <w:tcW w:w="1319" w:type="dxa"/>
            <w:vMerge w:val="continue"/>
            <w:tcBorders>
              <w:left w:val="nil"/>
              <w:bottom w:val="single" w:color="auto" w:sz="4" w:space="0"/>
              <w:right w:val="single" w:color="auto" w:sz="4" w:space="0"/>
            </w:tcBorders>
            <w:vAlign w:val="center"/>
          </w:tcPr>
          <w:p>
            <w:pPr>
              <w:widowControl/>
              <w:jc w:val="left"/>
              <w:rPr>
                <w:color w:val="auto"/>
                <w:highlight w:val="none"/>
              </w:rPr>
            </w:pPr>
          </w:p>
        </w:tc>
        <w:tc>
          <w:tcPr>
            <w:tcW w:w="7350" w:type="dxa"/>
            <w:gridSpan w:val="2"/>
            <w:tcBorders>
              <w:top w:val="single" w:color="auto" w:sz="4" w:space="0"/>
              <w:left w:val="nil"/>
              <w:bottom w:val="single" w:color="auto" w:sz="4" w:space="0"/>
              <w:right w:val="single" w:color="auto" w:sz="4" w:space="0"/>
            </w:tcBorders>
            <w:vAlign w:val="center"/>
          </w:tcPr>
          <w:p>
            <w:pPr>
              <w:widowControl/>
              <w:jc w:val="left"/>
              <w:rPr>
                <w:color w:val="auto"/>
                <w:highlight w:val="none"/>
              </w:rPr>
            </w:pPr>
            <w:r>
              <w:rPr>
                <w:rFonts w:hint="eastAsia" w:ascii="宋体" w:hAnsi="宋体" w:cs="宋体"/>
                <w:color w:val="auto"/>
                <w:kern w:val="0"/>
                <w:sz w:val="19"/>
                <w:szCs w:val="19"/>
                <w:highlight w:val="none"/>
                <w:lang w:bidi="ar"/>
              </w:rPr>
              <w:t>产品装修、调试的费用等。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319" w:type="dxa"/>
            <w:tcBorders>
              <w:top w:val="single" w:color="auto" w:sz="4" w:space="0"/>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0.5㎡屏幕备品备件</w:t>
            </w:r>
          </w:p>
        </w:tc>
        <w:tc>
          <w:tcPr>
            <w:tcW w:w="7350" w:type="dxa"/>
            <w:gridSpan w:val="2"/>
            <w:tcBorders>
              <w:top w:val="single" w:color="auto" w:sz="4" w:space="0"/>
              <w:left w:val="nil"/>
              <w:bottom w:val="single" w:color="auto" w:sz="4" w:space="0"/>
              <w:right w:val="single" w:color="auto" w:sz="4" w:space="0"/>
            </w:tcBorders>
            <w:vAlign w:val="center"/>
          </w:tcPr>
          <w:p>
            <w:pPr>
              <w:widowControl/>
              <w:rPr>
                <w:rFonts w:ascii="宋体" w:hAnsi="宋体"/>
                <w:color w:val="auto"/>
                <w:sz w:val="21"/>
                <w:szCs w:val="21"/>
                <w:highlight w:val="none"/>
              </w:rPr>
            </w:pPr>
            <w:r>
              <w:rPr>
                <w:rFonts w:hint="eastAsia" w:ascii="宋体" w:hAnsi="宋体" w:cs="宋体"/>
                <w:color w:val="auto"/>
                <w:kern w:val="0"/>
                <w:sz w:val="19"/>
                <w:szCs w:val="19"/>
                <w:highlight w:val="none"/>
                <w:lang w:bidi="ar"/>
              </w:rPr>
              <w:t>0.5 ㎡屏幕；同厂同批次备品模组、电源、IC、管芯、专用工具等</w:t>
            </w:r>
          </w:p>
        </w:tc>
      </w:tr>
    </w:tbl>
    <w:p>
      <w:pPr>
        <w:pStyle w:val="4"/>
        <w:rPr>
          <w:color w:val="auto"/>
          <w:highlight w:val="none"/>
        </w:rPr>
      </w:pPr>
      <w:r>
        <w:rPr>
          <w:rFonts w:hint="eastAsia"/>
          <w:color w:val="auto"/>
          <w:highlight w:val="none"/>
        </w:rPr>
        <w:t>服务器及存储</w:t>
      </w:r>
    </w:p>
    <w:p>
      <w:pPr>
        <w:pStyle w:val="5"/>
        <w:rPr>
          <w:color w:val="auto"/>
          <w:highlight w:val="none"/>
        </w:rPr>
      </w:pPr>
      <w:r>
        <w:rPr>
          <w:rFonts w:hint="eastAsia"/>
          <w:color w:val="auto"/>
          <w:highlight w:val="none"/>
        </w:rPr>
        <w:t>数据库服务器</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2293"/>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293"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777"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CPU</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不低于至强16核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内存</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不低于DDR4 64GB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储存</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不低于2T SAS 10K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网卡</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不低于2xGE电口(I350)-RJ45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RAID卡</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SAS/SATA，支持RAID0,1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29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机箱</w:t>
            </w:r>
          </w:p>
        </w:tc>
        <w:tc>
          <w:tcPr>
            <w:tcW w:w="577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机架式</w:t>
            </w:r>
          </w:p>
        </w:tc>
      </w:tr>
    </w:tbl>
    <w:p>
      <w:pPr>
        <w:pStyle w:val="5"/>
        <w:rPr>
          <w:color w:val="auto"/>
          <w:highlight w:val="none"/>
        </w:rPr>
      </w:pPr>
      <w:r>
        <w:rPr>
          <w:rFonts w:hint="eastAsia"/>
          <w:color w:val="auto"/>
          <w:highlight w:val="none"/>
        </w:rPr>
        <w:t>应用服务器</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033"/>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033"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968"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CPU</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不低于至强</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内存</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DDR4 64GB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储存</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不低于2T SAS 10K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网卡</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不低于2xGE电口(I350)-RJ45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RAID卡</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SAS/SATA，支持RAID0,1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033"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机箱</w:t>
            </w:r>
          </w:p>
        </w:tc>
        <w:tc>
          <w:tcPr>
            <w:tcW w:w="5968"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机架式</w:t>
            </w:r>
          </w:p>
        </w:tc>
      </w:tr>
    </w:tbl>
    <w:p>
      <w:pPr>
        <w:pStyle w:val="5"/>
        <w:rPr>
          <w:color w:val="auto"/>
          <w:highlight w:val="none"/>
        </w:rPr>
      </w:pPr>
      <w:r>
        <w:rPr>
          <w:rFonts w:hint="eastAsia"/>
          <w:color w:val="auto"/>
          <w:highlight w:val="none"/>
        </w:rPr>
        <w:t>平台接入引擎服务器</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2082"/>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tcPr>
          <w:p>
            <w:pPr>
              <w:jc w:val="center"/>
              <w:rPr>
                <w:color w:val="auto"/>
                <w:highlight w:val="none"/>
              </w:rPr>
            </w:pPr>
            <w:r>
              <w:rPr>
                <w:rFonts w:hint="eastAsia" w:ascii="宋体" w:hAnsi="宋体"/>
                <w:b/>
                <w:bCs/>
                <w:color w:val="auto"/>
                <w:sz w:val="21"/>
                <w:szCs w:val="21"/>
                <w:highlight w:val="none"/>
              </w:rPr>
              <w:t>序号</w:t>
            </w:r>
          </w:p>
        </w:tc>
        <w:tc>
          <w:tcPr>
            <w:tcW w:w="2082"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w:t>
            </w:r>
          </w:p>
        </w:tc>
        <w:tc>
          <w:tcPr>
            <w:tcW w:w="574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1</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CPU</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不低于至强16核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2</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内存</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 xml:space="preserve">不低于DDR4 64GB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3</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储存</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不低于2T SAS 10K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4</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网卡</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不低于2xGE电口(I350)-RJ45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5</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RAID卡</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SAS/SATA，支持RAID0,1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jc w:val="center"/>
              <w:rPr>
                <w:color w:val="auto"/>
                <w:szCs w:val="28"/>
                <w:highlight w:val="none"/>
              </w:rPr>
            </w:pPr>
            <w:r>
              <w:rPr>
                <w:rFonts w:hint="eastAsia" w:ascii="宋体" w:hAnsi="宋体"/>
                <w:color w:val="auto"/>
                <w:sz w:val="21"/>
                <w:szCs w:val="21"/>
                <w:highlight w:val="none"/>
              </w:rPr>
              <w:t>6</w:t>
            </w:r>
          </w:p>
        </w:tc>
        <w:tc>
          <w:tcPr>
            <w:tcW w:w="2082"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机箱</w:t>
            </w:r>
          </w:p>
        </w:tc>
        <w:tc>
          <w:tcPr>
            <w:tcW w:w="574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机架式</w:t>
            </w:r>
          </w:p>
        </w:tc>
      </w:tr>
    </w:tbl>
    <w:p>
      <w:pPr>
        <w:pStyle w:val="4"/>
        <w:rPr>
          <w:color w:val="auto"/>
          <w:highlight w:val="none"/>
        </w:rPr>
      </w:pPr>
      <w:r>
        <w:rPr>
          <w:rFonts w:hint="eastAsia"/>
          <w:color w:val="auto"/>
          <w:highlight w:val="none"/>
        </w:rPr>
        <w:t>网络安全设备</w:t>
      </w:r>
    </w:p>
    <w:p>
      <w:pPr>
        <w:pStyle w:val="5"/>
        <w:rPr>
          <w:color w:val="auto"/>
          <w:highlight w:val="none"/>
        </w:rPr>
      </w:pPr>
      <w:r>
        <w:rPr>
          <w:rFonts w:hint="eastAsia"/>
          <w:color w:val="auto"/>
          <w:highlight w:val="none"/>
        </w:rPr>
        <w:t>外网防火墙</w:t>
      </w:r>
    </w:p>
    <w:tbl>
      <w:tblPr>
        <w:tblStyle w:val="22"/>
        <w:tblW w:w="94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27"/>
        <w:gridCol w:w="1316"/>
        <w:gridCol w:w="7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316" w:type="dxa"/>
            <w:tcBorders>
              <w:top w:val="single" w:color="000000" w:sz="4" w:space="0"/>
              <w:left w:val="nil"/>
              <w:bottom w:val="single" w:color="000000" w:sz="4" w:space="0"/>
              <w:right w:val="single" w:color="000000"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指标项</w:t>
            </w:r>
          </w:p>
        </w:tc>
        <w:tc>
          <w:tcPr>
            <w:tcW w:w="7199" w:type="dxa"/>
            <w:tcBorders>
              <w:top w:val="single" w:color="000000" w:sz="4" w:space="0"/>
              <w:left w:val="nil"/>
              <w:bottom w:val="single" w:color="000000" w:sz="4" w:space="0"/>
              <w:right w:val="single" w:color="000000"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招标要求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基本要求和性能</w:t>
            </w:r>
          </w:p>
        </w:tc>
        <w:tc>
          <w:tcPr>
            <w:tcW w:w="7199"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不低于1U机箱，配置不少于6个10/100/1000BASE-T接口，1个可插拨的扩展槽，标配模块化电源；防火墙吞吐率：4Gbps 应用层吞吐率（FW+APP）：2.5Gbps 并发连接数：160万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工作模式</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支持路由、交换、混合、虚拟线工作模式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vMerge w:val="restart"/>
            <w:tcBorders>
              <w:top w:val="nil"/>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316" w:type="dxa"/>
            <w:vMerge w:val="restart"/>
            <w:tcBorders>
              <w:top w:val="nil"/>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智能DNS</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支持智能DNS功能，有效提高用户跨网访问效率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131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auto"/>
                <w:sz w:val="21"/>
                <w:szCs w:val="21"/>
                <w:highlight w:val="none"/>
              </w:rPr>
            </w:pP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支持DNS Docting，能够将来自内部网络的域名解析请求定向到真实内网资源，降低路径开销，提高访问效率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链路质量探测</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支持ICMP、Traceroute、TCP、HTTP、DNS等多种链路质量探测方式，用户可以根据探测结果有效判断链路质量；通过HTTP链路质量探测方式，探测结果可以提供DNS解析响应时间、TCP建立连接时间、HTTP交易时间等；通过TCP链路质量探测方式，探测结果可以提供TCP建立连接时间等；通过DNS链路质量探测方式，探测结果可以提供DNS解析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数据防泄露功能</w:t>
            </w:r>
          </w:p>
        </w:tc>
        <w:tc>
          <w:tcPr>
            <w:tcW w:w="7199"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支持DLP数据防泄漏功能，可针对发送IP或接收IP配置相互独立的DLP策略，对数据进行监控识别，达到敏感数据防护目的</w:t>
            </w:r>
          </w:p>
          <w:p>
            <w:pPr>
              <w:rPr>
                <w:rFonts w:ascii="宋体" w:hAnsi="宋体"/>
                <w:color w:val="auto"/>
                <w:sz w:val="21"/>
                <w:szCs w:val="21"/>
                <w:highlight w:val="none"/>
              </w:rPr>
            </w:pPr>
            <w:r>
              <w:rPr>
                <w:rFonts w:hint="eastAsia" w:ascii="宋体" w:hAnsi="宋体"/>
                <w:color w:val="auto"/>
                <w:sz w:val="21"/>
                <w:szCs w:val="21"/>
                <w:highlight w:val="none"/>
              </w:rPr>
              <w:t>支持识别的加密文件格式不少于12种；压缩文件格式不少于25种，如RAR、ZIP、GZ、TAR等；支持识别Linux，Unix等非Winodws的文件类型；支持识别异常文件格式类型；支持识别自定义文件类型；（提供功能截图证明）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用户管控</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综合运用身份认证与访问控制技术，通过内置智能过滤引擎实现基于用户身份的安全防护策略部署与可视化监控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应用识别</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内置强大应用识别引擎，综合运用端口识别、行为识别、特征识别、关联识别等技术手段，准确识别传统应用如P2P、web应用、移动应用、云应用、加密应用等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一体化访问控制</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内置高度集成的一体化智能过滤引擎技术，实现在同一条访问控制策略中配置传统的五元组信息、应用、服务、时间、安全引擎（入侵、URL过滤、病毒过滤、DLP、内容过滤）的识别与控制</w:t>
            </w:r>
          </w:p>
          <w:p>
            <w:pPr>
              <w:rPr>
                <w:rFonts w:ascii="宋体" w:hAnsi="宋体"/>
                <w:color w:val="auto"/>
                <w:sz w:val="21"/>
                <w:szCs w:val="21"/>
                <w:highlight w:val="none"/>
              </w:rPr>
            </w:pPr>
            <w:r>
              <w:rPr>
                <w:rFonts w:hint="eastAsia" w:ascii="宋体" w:hAnsi="宋体"/>
                <w:color w:val="auto"/>
                <w:sz w:val="21"/>
                <w:szCs w:val="21"/>
                <w:highlight w:val="none"/>
              </w:rPr>
              <w:t>支持对单条访问控制策略进行最大并发连接数限制（提供功能截图证明）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DDOS防御</w:t>
            </w:r>
          </w:p>
        </w:tc>
        <w:tc>
          <w:tcPr>
            <w:tcW w:w="7199" w:type="dxa"/>
            <w:tcBorders>
              <w:top w:val="single" w:color="000000" w:sz="4" w:space="0"/>
              <w:left w:val="nil"/>
              <w:bottom w:val="single" w:color="000000" w:sz="4" w:space="0"/>
              <w:right w:val="single" w:color="000000" w:sz="4" w:space="0"/>
            </w:tcBorders>
            <w:vAlign w:val="bottom"/>
          </w:tcPr>
          <w:p>
            <w:pPr>
              <w:rPr>
                <w:rFonts w:ascii="宋体" w:hAnsi="宋体"/>
                <w:color w:val="auto"/>
                <w:sz w:val="21"/>
                <w:szCs w:val="21"/>
                <w:highlight w:val="none"/>
              </w:rPr>
            </w:pPr>
            <w:r>
              <w:rPr>
                <w:rFonts w:hint="eastAsia" w:ascii="宋体" w:hAnsi="宋体"/>
                <w:color w:val="auto"/>
                <w:sz w:val="21"/>
                <w:szCs w:val="21"/>
                <w:highlight w:val="none"/>
              </w:rPr>
              <w:t>内置攻击检测引擎，支持独立的DDOS检测、阻断能力（提供功能截图证明），支持检测包括land、Smurf、winnuke、tcp_sscan、ip_option、targa3、Synflood、Icmpflood、Udpflood、Portscan、ipsweep等攻击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316"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产品资质</w:t>
            </w:r>
          </w:p>
        </w:tc>
        <w:tc>
          <w:tcPr>
            <w:tcW w:w="7199" w:type="dxa"/>
            <w:tcBorders>
              <w:top w:val="single" w:color="000000" w:sz="4" w:space="0"/>
              <w:left w:val="nil"/>
              <w:bottom w:val="single" w:color="000000" w:sz="4" w:space="0"/>
              <w:right w:val="single" w:color="000000"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*具备中国信息安全认证中心颁发的《国家信息安全产品认证证书（ISCCC）》</w:t>
            </w:r>
          </w:p>
          <w:p>
            <w:pPr>
              <w:rPr>
                <w:rFonts w:ascii="宋体" w:hAnsi="宋体"/>
                <w:color w:val="auto"/>
                <w:sz w:val="21"/>
                <w:szCs w:val="21"/>
                <w:highlight w:val="none"/>
              </w:rPr>
            </w:pPr>
            <w:r>
              <w:rPr>
                <w:rFonts w:hint="eastAsia" w:ascii="宋体" w:hAnsi="宋体"/>
                <w:color w:val="auto"/>
                <w:sz w:val="21"/>
                <w:szCs w:val="21"/>
                <w:highlight w:val="none"/>
              </w:rPr>
              <w:t>投标时需提供以上资质证书复印件</w:t>
            </w:r>
          </w:p>
        </w:tc>
      </w:tr>
    </w:tbl>
    <w:p>
      <w:pPr>
        <w:ind w:firstLine="480"/>
        <w:rPr>
          <w:color w:val="auto"/>
          <w:szCs w:val="28"/>
          <w:highlight w:val="none"/>
        </w:rPr>
      </w:pPr>
      <w:r>
        <w:rPr>
          <w:rFonts w:hint="eastAsia"/>
          <w:color w:val="auto"/>
          <w:highlight w:val="none"/>
        </w:rPr>
        <w:t xml:space="preserve"> </w:t>
      </w:r>
    </w:p>
    <w:p>
      <w:pPr>
        <w:pStyle w:val="5"/>
        <w:rPr>
          <w:color w:val="auto"/>
          <w:highlight w:val="none"/>
        </w:rPr>
      </w:pPr>
      <w:r>
        <w:rPr>
          <w:rFonts w:hint="eastAsia"/>
          <w:color w:val="auto"/>
          <w:highlight w:val="none"/>
        </w:rPr>
        <w:t>入侵防御系统</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11"/>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tcPr>
          <w:p>
            <w:pPr>
              <w:jc w:val="center"/>
              <w:rPr>
                <w:color w:val="auto"/>
                <w:highlight w:val="none"/>
              </w:rPr>
            </w:pPr>
            <w:r>
              <w:rPr>
                <w:rFonts w:hint="eastAsia" w:ascii="宋体" w:hAnsi="宋体"/>
                <w:b/>
                <w:bCs/>
                <w:color w:val="auto"/>
                <w:sz w:val="21"/>
                <w:szCs w:val="21"/>
                <w:highlight w:val="none"/>
              </w:rPr>
              <w:t>序号</w:t>
            </w:r>
          </w:p>
        </w:tc>
        <w:tc>
          <w:tcPr>
            <w:tcW w:w="1311" w:type="dxa"/>
            <w:tcBorders>
              <w:top w:val="single" w:color="auto" w:sz="4" w:space="0"/>
              <w:left w:val="nil"/>
              <w:bottom w:val="single" w:color="auto" w:sz="4" w:space="0"/>
              <w:right w:val="single" w:color="auto" w:sz="4" w:space="0"/>
            </w:tcBorders>
            <w:vAlign w:val="center"/>
          </w:tcPr>
          <w:p>
            <w:pPr>
              <w:pStyle w:val="67"/>
              <w:rPr>
                <w:rFonts w:ascii="宋体" w:hAnsi="宋体"/>
                <w:b/>
                <w:bCs/>
                <w:color w:val="auto"/>
                <w:highlight w:val="none"/>
              </w:rPr>
            </w:pPr>
            <w:r>
              <w:rPr>
                <w:rFonts w:hint="eastAsia" w:ascii="宋体" w:hAnsi="宋体"/>
                <w:b/>
                <w:bCs/>
                <w:color w:val="auto"/>
                <w:highlight w:val="none"/>
              </w:rPr>
              <w:t>指标项</w:t>
            </w:r>
          </w:p>
        </w:tc>
        <w:tc>
          <w:tcPr>
            <w:tcW w:w="7348" w:type="dxa"/>
            <w:tcBorders>
              <w:top w:val="single" w:color="auto" w:sz="4" w:space="0"/>
              <w:left w:val="nil"/>
              <w:bottom w:val="single" w:color="auto" w:sz="4" w:space="0"/>
              <w:right w:val="single" w:color="auto" w:sz="4" w:space="0"/>
            </w:tcBorders>
            <w:vAlign w:val="center"/>
          </w:tcPr>
          <w:p>
            <w:pPr>
              <w:pStyle w:val="67"/>
              <w:ind w:firstLine="361"/>
              <w:jc w:val="center"/>
              <w:rPr>
                <w:rFonts w:ascii="宋体" w:hAnsi="宋体"/>
                <w:b/>
                <w:bCs/>
                <w:color w:val="auto"/>
                <w:highlight w:val="none"/>
              </w:rPr>
            </w:pPr>
            <w:r>
              <w:rPr>
                <w:rFonts w:hint="eastAsia" w:ascii="宋体" w:hAnsi="宋体"/>
                <w:b/>
                <w:bCs/>
                <w:color w:val="auto"/>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21"/>
                <w:szCs w:val="21"/>
                <w:highlight w:val="none"/>
              </w:rPr>
              <w:t>1</w:t>
            </w:r>
          </w:p>
        </w:tc>
        <w:tc>
          <w:tcPr>
            <w:tcW w:w="131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基本要求和性能</w:t>
            </w: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要求设备</w:t>
            </w:r>
            <w:r>
              <w:rPr>
                <w:rFonts w:hint="eastAsia" w:ascii="宋体" w:hAnsi="宋体"/>
                <w:color w:val="auto"/>
                <w:szCs w:val="21"/>
                <w:highlight w:val="none"/>
              </w:rPr>
              <w:t>不低于</w:t>
            </w:r>
            <w:r>
              <w:rPr>
                <w:rFonts w:hint="eastAsia" w:ascii="宋体" w:hAnsi="宋体"/>
                <w:color w:val="auto"/>
                <w:highlight w:val="none"/>
              </w:rPr>
              <w:t>1U标准机箱，配置不少于6个10/100/1000Base-T端口，</w:t>
            </w:r>
            <w:r>
              <w:rPr>
                <w:rFonts w:hint="eastAsia" w:ascii="宋体" w:hAnsi="宋体"/>
                <w:color w:val="auto"/>
                <w:szCs w:val="21"/>
                <w:highlight w:val="none"/>
              </w:rPr>
              <w:t>至少</w:t>
            </w:r>
            <w:r>
              <w:rPr>
                <w:rFonts w:hint="eastAsia" w:ascii="宋体" w:hAnsi="宋体"/>
                <w:color w:val="auto"/>
                <w:highlight w:val="none"/>
              </w:rPr>
              <w:t>1个console口，2个USB，配置至少3年规则特征库升级许可；整机吞吐率：3Gbps，最大并发连接数：150W，IPS吞吐率：1.2Gbps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21"/>
                <w:szCs w:val="21"/>
                <w:highlight w:val="none"/>
              </w:rPr>
              <w:t>2</w:t>
            </w:r>
          </w:p>
        </w:tc>
        <w:tc>
          <w:tcPr>
            <w:tcW w:w="131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系统架构</w:t>
            </w: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要求设备采用自主知识产权的专用安全操作系统，采用多核平台并行处理特性（提供相应资质证明）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restart"/>
            <w:tcBorders>
              <w:top w:val="nil"/>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21"/>
                <w:szCs w:val="21"/>
                <w:highlight w:val="none"/>
              </w:rPr>
              <w:t>3</w:t>
            </w:r>
          </w:p>
        </w:tc>
        <w:tc>
          <w:tcPr>
            <w:tcW w:w="1311"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产品功能</w:t>
            </w: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系统应具备：融合模式匹配、协议分析、异常检测、会话关联分析，逃逸等多种技术，准确识别入侵攻击行为，为用户提供2～7层深度入侵检测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支持视频监控终端状态探知发现，能够实时发现视频监控终端情况和链路质量情况，支持轮询和实时发现模式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可扩展支持APT攻击检测模块，同时可与专业APT检测系统进行实时联动，检测并阻断未知网络威胁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支持对数据库基于名称、基于数据内容进行敏感数据扫描，发现数据库中存在的敏感数据的字段及其在服务器、数据库的分布情况。（提供功能截图证明）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系统支持检测包括land、Smurf、Pingofdeath、winnuke、tcp_sscan、ip_option、teardrop、targa3、ipspoof、Synflood、Icmpflood、Udpflood、Portscan、ipsweep等在内的DOS/DDOS攻击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系统支持ARP异常包及ARP Flood攻击检测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系统支持CC攻击检测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Style w:val="76"/>
                <w:rFonts w:hint="default"/>
                <w:color w:val="auto"/>
                <w:highlight w:val="none"/>
              </w:rPr>
              <w:t>支持WEB站点漏洞扫描功能，内置爬虫、支持关键字自学习和HTML分析。（提供功能截图证明）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color w:val="auto"/>
                <w:szCs w:val="28"/>
                <w:highlight w:val="none"/>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产品具有专利技术的恶意、非法网站过滤功能，支持恶意站点防护功能，具有挂马站点URL和挂马源站点URL列表恶意站点库，能够在终端用户访问恶意URL时主动切断连接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21"/>
                <w:szCs w:val="21"/>
                <w:highlight w:val="none"/>
              </w:rPr>
              <w:t>4</w:t>
            </w:r>
          </w:p>
        </w:tc>
        <w:tc>
          <w:tcPr>
            <w:tcW w:w="1311"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产品资质</w:t>
            </w:r>
          </w:p>
        </w:tc>
        <w:tc>
          <w:tcPr>
            <w:tcW w:w="7348"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*《计算机软件著作权登记》</w:t>
            </w:r>
          </w:p>
          <w:p>
            <w:pPr>
              <w:pStyle w:val="67"/>
              <w:rPr>
                <w:rFonts w:ascii="宋体" w:hAnsi="宋体"/>
                <w:color w:val="auto"/>
                <w:highlight w:val="none"/>
              </w:rPr>
            </w:pPr>
            <w:r>
              <w:rPr>
                <w:rFonts w:hint="eastAsia" w:ascii="宋体" w:hAnsi="宋体"/>
                <w:color w:val="auto"/>
                <w:highlight w:val="none"/>
              </w:rPr>
              <w:t>*《国家信息安全测评信息技术产品安全测评证书》EAL3级</w:t>
            </w:r>
          </w:p>
          <w:p>
            <w:pPr>
              <w:pStyle w:val="67"/>
              <w:rPr>
                <w:rFonts w:ascii="宋体" w:hAnsi="宋体"/>
                <w:color w:val="auto"/>
                <w:highlight w:val="none"/>
              </w:rPr>
            </w:pPr>
            <w:r>
              <w:rPr>
                <w:rFonts w:hint="eastAsia" w:ascii="宋体" w:hAnsi="宋体"/>
                <w:color w:val="auto"/>
                <w:highlight w:val="none"/>
              </w:rPr>
              <w:t>*CVE CompatibilityCertificate</w:t>
            </w:r>
          </w:p>
          <w:p>
            <w:pPr>
              <w:pStyle w:val="67"/>
              <w:rPr>
                <w:rFonts w:ascii="宋体" w:hAnsi="宋体"/>
                <w:color w:val="auto"/>
                <w:highlight w:val="none"/>
              </w:rPr>
            </w:pPr>
            <w:r>
              <w:rPr>
                <w:rFonts w:hint="eastAsia" w:ascii="宋体" w:hAnsi="宋体"/>
                <w:color w:val="auto"/>
                <w:highlight w:val="none"/>
              </w:rPr>
              <w:t>投标时需提供以上资质证书复印件</w:t>
            </w:r>
          </w:p>
        </w:tc>
      </w:tr>
    </w:tbl>
    <w:p>
      <w:pPr>
        <w:pStyle w:val="5"/>
        <w:rPr>
          <w:color w:val="auto"/>
          <w:highlight w:val="none"/>
        </w:rPr>
      </w:pPr>
      <w:r>
        <w:rPr>
          <w:rFonts w:hint="eastAsia"/>
          <w:color w:val="auto"/>
          <w:highlight w:val="none"/>
        </w:rPr>
        <w:t>WEB应用安全网关</w:t>
      </w:r>
    </w:p>
    <w:tbl>
      <w:tblPr>
        <w:tblStyle w:val="22"/>
        <w:tblW w:w="96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735"/>
        <w:gridCol w:w="7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b/>
                <w:color w:val="auto"/>
                <w:highlight w:val="none"/>
              </w:rPr>
            </w:pPr>
            <w:r>
              <w:rPr>
                <w:rFonts w:hint="eastAsia" w:ascii="宋体" w:hAnsi="宋体" w:cs="宋体"/>
                <w:b/>
                <w:color w:val="auto"/>
                <w:sz w:val="21"/>
                <w:szCs w:val="21"/>
                <w:highlight w:val="none"/>
                <w:lang w:bidi="ar"/>
              </w:rPr>
              <w:t>序号</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ind w:firstLine="361"/>
              <w:jc w:val="center"/>
              <w:rPr>
                <w:b/>
                <w:color w:val="auto"/>
                <w:highlight w:val="none"/>
              </w:rPr>
            </w:pPr>
            <w:r>
              <w:rPr>
                <w:rFonts w:hint="eastAsia"/>
                <w:b/>
                <w:color w:val="auto"/>
                <w:sz w:val="21"/>
                <w:szCs w:val="22"/>
                <w:highlight w:val="none"/>
                <w:lang w:bidi="ar"/>
              </w:rPr>
              <w:t>指标项</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ind w:firstLine="361"/>
              <w:jc w:val="center"/>
              <w:rPr>
                <w:b/>
                <w:color w:val="auto"/>
                <w:highlight w:val="none"/>
              </w:rPr>
            </w:pPr>
            <w:r>
              <w:rPr>
                <w:rFonts w:hint="eastAsia"/>
                <w:b/>
                <w:color w:val="auto"/>
                <w:sz w:val="21"/>
                <w:szCs w:val="22"/>
                <w:highlight w:val="none"/>
                <w:lang w:bidi="ar"/>
              </w:rPr>
              <w:t>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color w:val="auto"/>
                <w:highlight w:val="none"/>
              </w:rPr>
            </w:pPr>
            <w:r>
              <w:rPr>
                <w:rFonts w:hint="eastAsia" w:ascii="宋体" w:hAnsi="宋体" w:cs="宋体"/>
                <w:color w:val="auto"/>
                <w:sz w:val="21"/>
                <w:szCs w:val="21"/>
                <w:highlight w:val="none"/>
                <w:lang w:bidi="ar"/>
              </w:rPr>
              <w:t>1</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专用的硬件和软件保障</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采用专用硬件架构与专用安全操作系统，基于操作系统内核的完全检测技术；硬件设备可以机架安装，产品必须为专业性 WEB 应用防火墙硬件设备，而非下一代防火墙\UTM 类设备集成的 WEB 防护功能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color w:val="auto"/>
                <w:highlight w:val="none"/>
              </w:rPr>
            </w:pPr>
            <w:r>
              <w:rPr>
                <w:rFonts w:hint="eastAsia" w:ascii="宋体" w:hAnsi="宋体" w:cs="宋体"/>
                <w:color w:val="auto"/>
                <w:sz w:val="21"/>
                <w:szCs w:val="21"/>
                <w:highlight w:val="none"/>
                <w:lang w:bidi="ar"/>
              </w:rPr>
              <w:t>2</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产品规格</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要求设备不低于1U机架式结构，最大配置不低于24个接口；本次配置不低于2个可插拨扩展槽及6个10/100/1000Base-T端口和2个SFP槽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lang w:bidi="ar"/>
              </w:rPr>
              <w:t>3</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产品性能</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最大并发连接&gt;90万，吞吐率&gt;1000Mbps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lang w:bidi="ar"/>
              </w:rPr>
              <w:t>4</w:t>
            </w:r>
          </w:p>
          <w:p>
            <w:pPr>
              <w:jc w:val="center"/>
              <w:rPr>
                <w:rFonts w:ascii="宋体" w:hAnsi="宋体" w:cs="宋体"/>
                <w:color w:val="auto"/>
                <w:sz w:val="21"/>
                <w:szCs w:val="21"/>
                <w:highlight w:val="none"/>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WEB攻击防御</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支持虚拟线无论任何网络环境可强制数据从一个接口转发到另一个接口（提供产品功能截图并加盖公章）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支持链路聚合(Channel)部署，提高链路带宽；支持Trunk链路防护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支持服务器健康检查，可以实时监测服务器的活跃状态，并且可定期备份健康记录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支持提取客户端真实IP头。自动尝试匹配X-Forwarded-For, X-Real-IP, Cdn-Src-Ip 用以获取真实客户端IP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应能识别和阻断SQL注入攻击,Cookie 注入攻击，命令注入攻击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支持webshell等后门上传防护、支持对中国菜刀等工具对后门连接的阻断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支持对appscan、awvs等扫描器的扫描防护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支持远程文件包含、本地文件包含、目录遍历、信息泄露等攻击防护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支持对身份证、信用卡、手机电话号码、座机电话号码、邮箱地址等敏感信息做检查，当检查到此类数据后可通过配置特殊字符予以替换隐藏，防止信息泄露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自学习建模功能，可以通过学习正常URL参数的长度、参数类型、请求方法等数据特点创建白名单模型，如果参数违反白名单模型则认为是非法流量直接阻断，开启自学习建模功能后可生成自学习网站参数的自学习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支持虚拟补丁功能，支持导入appscan、w3af等第三方扫描器的扫描结果生成WAF的规则，对此类网站漏洞直接防护（提供产品功能截图并加盖公章）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https证书支持直接将证书内容填充到waf内使用，不用再上传或者转换证书使用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szCs w:val="28"/>
                <w:highlight w:val="none"/>
              </w:rPr>
            </w:pPr>
            <w:r>
              <w:rPr>
                <w:rFonts w:hint="eastAsia" w:ascii="宋体" w:hAnsi="宋体" w:cs="宋体"/>
                <w:color w:val="auto"/>
                <w:sz w:val="21"/>
                <w:szCs w:val="21"/>
                <w:highlight w:val="none"/>
                <w:lang w:bidi="ar"/>
              </w:rPr>
              <w:t>5</w:t>
            </w:r>
          </w:p>
        </w:tc>
        <w:tc>
          <w:tcPr>
            <w:tcW w:w="1735" w:type="dxa"/>
            <w:vMerge w:val="restart"/>
            <w:tcBorders>
              <w:top w:val="nil"/>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配置易用性</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可以针对服务器IP地址进行防护，而不需要配置需要防护的网站域名（提供产品功能截图并加盖公章）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支持域名自学习，可以自动学习网络中网站服务器的IP地址及此地址下的域名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DDoS攻击防护</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支持基线学习，可以自动学习用户http正常流量阈值模型，并给出推荐阈值配置项（提供产品功能截图并加盖公章）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对ddos流量支持检测清洗和强制防御两种模式，检测清洗根据是否到达阈值对流量进行清洗，强制清洗对所有流量直接进行流量清洗判断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bidi="ar"/>
              </w:rPr>
              <w:t>支持针对每秒包数、每秒新建连接数、每秒并发连接数对HTTP/HTTPS Flood攻击做控制配置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szCs w:val="21"/>
                <w:highlight w:val="none"/>
              </w:rPr>
            </w:pPr>
            <w:r>
              <w:rPr>
                <w:rFonts w:hint="eastAsia"/>
                <w:color w:val="auto"/>
                <w:sz w:val="21"/>
                <w:szCs w:val="22"/>
                <w:highlight w:val="none"/>
                <w:lang w:bidi="ar"/>
              </w:rPr>
              <w:t>支持对客户端在单位时间内的访问URI的次数做控制配置，防止特定URI路径被HTTP Flood恶意ddos攻击访问消耗服务器资源导致服务器拒绝服务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支持对HTTP/HTTPS Flood攻击源的发包速度、源新建连接数、源并发连接数做源限速控制配置，且可以阻断攻击或者将攻击IP加入黑名单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sz w:val="21"/>
                <w:szCs w:val="21"/>
                <w:highlight w:val="none"/>
                <w:lang w:bidi="ar"/>
              </w:rPr>
              <w:t>6</w:t>
            </w:r>
          </w:p>
        </w:tc>
        <w:tc>
          <w:tcPr>
            <w:tcW w:w="1735" w:type="dxa"/>
            <w:vMerge w:val="restart"/>
            <w:tcBorders>
              <w:top w:val="nil"/>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WEB漏洞扫描</w:t>
            </w:r>
          </w:p>
        </w:tc>
        <w:tc>
          <w:tcPr>
            <w:tcW w:w="7153" w:type="dxa"/>
            <w:tcBorders>
              <w:top w:val="single" w:color="auto" w:sz="4" w:space="0"/>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支持多种WEB应用漏洞的安全扫描检测，如SQL注入、跨站脚本、目录遍历等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支持自定义WEB漏洞扫描任务，支持对需要认证登录的web系统进行漏洞扫描，支持自定义每日、每周、每月等扫描周期设置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color w:val="auto"/>
                <w:sz w:val="20"/>
                <w:highlight w:val="none"/>
              </w:rPr>
            </w:pPr>
          </w:p>
        </w:tc>
        <w:tc>
          <w:tcPr>
            <w:tcW w:w="1735" w:type="dxa"/>
            <w:vMerge w:val="continue"/>
            <w:tcBorders>
              <w:top w:val="nil"/>
              <w:left w:val="nil"/>
              <w:bottom w:val="single" w:color="auto" w:sz="4" w:space="0"/>
              <w:right w:val="single" w:color="auto" w:sz="4" w:space="0"/>
            </w:tcBorders>
            <w:vAlign w:val="center"/>
          </w:tcPr>
          <w:p>
            <w:pPr>
              <w:rPr>
                <w:color w:val="auto"/>
                <w:sz w:val="20"/>
                <w:highlight w:val="none"/>
              </w:rPr>
            </w:pPr>
          </w:p>
        </w:tc>
        <w:tc>
          <w:tcPr>
            <w:tcW w:w="7153" w:type="dxa"/>
            <w:tcBorders>
              <w:top w:val="single" w:color="auto" w:sz="4" w:space="0"/>
              <w:left w:val="nil"/>
              <w:bottom w:val="single" w:color="auto" w:sz="4" w:space="0"/>
              <w:right w:val="single" w:color="auto" w:sz="4" w:space="0"/>
            </w:tcBorders>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可导出web漏洞扫描报告，报告支持pdf,html,txt,xml等格式导出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color w:val="auto"/>
                <w:highlight w:val="none"/>
              </w:rPr>
            </w:pPr>
            <w:r>
              <w:rPr>
                <w:rFonts w:hint="eastAsia" w:ascii="宋体" w:hAnsi="宋体" w:cs="宋体"/>
                <w:color w:val="auto"/>
                <w:sz w:val="21"/>
                <w:szCs w:val="21"/>
                <w:highlight w:val="none"/>
                <w:lang w:bidi="ar"/>
              </w:rPr>
              <w:t>7</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center"/>
              <w:rPr>
                <w:color w:val="auto"/>
                <w:highlight w:val="none"/>
              </w:rPr>
            </w:pPr>
            <w:r>
              <w:rPr>
                <w:rFonts w:hint="eastAsia"/>
                <w:color w:val="auto"/>
                <w:sz w:val="21"/>
                <w:szCs w:val="22"/>
                <w:highlight w:val="none"/>
                <w:lang w:bidi="ar"/>
              </w:rPr>
              <w:t>产品资质</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中国信息安全认证中心颁发的《IT产品信息安全认证证书》</w:t>
            </w:r>
          </w:p>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*OWASP颁发的《web应用防火墙认证证书》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color w:val="auto"/>
                <w:highlight w:val="none"/>
              </w:rPr>
            </w:pP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ind w:firstLine="360"/>
              <w:jc w:val="both"/>
              <w:rPr>
                <w:color w:val="auto"/>
                <w:highlight w:val="none"/>
              </w:rPr>
            </w:pPr>
            <w:r>
              <w:rPr>
                <w:rFonts w:hint="eastAsia"/>
                <w:color w:val="auto"/>
                <w:sz w:val="21"/>
                <w:szCs w:val="22"/>
                <w:highlight w:val="none"/>
                <w:lang w:bidi="ar"/>
              </w:rPr>
              <w:t>其他</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9"/>
              <w:widowControl w:val="0"/>
              <w:adjustRightInd w:val="0"/>
              <w:snapToGrid w:val="0"/>
              <w:spacing w:before="0" w:beforeAutospacing="0" w:after="0" w:afterAutospacing="0" w:line="312" w:lineRule="auto"/>
              <w:jc w:val="both"/>
              <w:rPr>
                <w:color w:val="auto"/>
                <w:highlight w:val="none"/>
              </w:rPr>
            </w:pPr>
            <w:r>
              <w:rPr>
                <w:rFonts w:hint="eastAsia"/>
                <w:color w:val="auto"/>
                <w:sz w:val="21"/>
                <w:szCs w:val="22"/>
                <w:highlight w:val="none"/>
                <w:lang w:bidi="ar"/>
              </w:rPr>
              <w:t>三年质保及原厂技术服务，三年规则库升级许可</w:t>
            </w:r>
          </w:p>
        </w:tc>
      </w:tr>
    </w:tbl>
    <w:p>
      <w:pPr>
        <w:pStyle w:val="5"/>
        <w:rPr>
          <w:color w:val="auto"/>
          <w:highlight w:val="none"/>
        </w:rPr>
      </w:pPr>
      <w:r>
        <w:rPr>
          <w:rFonts w:hint="eastAsia"/>
          <w:color w:val="auto"/>
          <w:highlight w:val="none"/>
        </w:rPr>
        <w:t>外网网闸</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31"/>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highlight w:val="none"/>
              </w:rPr>
            </w:pPr>
            <w:r>
              <w:rPr>
                <w:rFonts w:hint="eastAsia" w:ascii="宋体" w:hAnsi="宋体"/>
                <w:b/>
                <w:bCs/>
                <w:color w:val="auto"/>
                <w:sz w:val="21"/>
                <w:szCs w:val="21"/>
                <w:highlight w:val="none"/>
              </w:rPr>
              <w:t>序号</w:t>
            </w:r>
          </w:p>
        </w:tc>
        <w:tc>
          <w:tcPr>
            <w:tcW w:w="1731" w:type="dxa"/>
            <w:tcBorders>
              <w:top w:val="single" w:color="auto" w:sz="4" w:space="0"/>
              <w:left w:val="nil"/>
              <w:bottom w:val="single" w:color="auto" w:sz="4" w:space="0"/>
              <w:right w:val="single" w:color="auto" w:sz="4" w:space="0"/>
            </w:tcBorders>
            <w:vAlign w:val="center"/>
          </w:tcPr>
          <w:p>
            <w:pPr>
              <w:pStyle w:val="67"/>
              <w:ind w:firstLine="361"/>
              <w:jc w:val="center"/>
              <w:rPr>
                <w:rFonts w:ascii="宋体" w:hAnsi="宋体"/>
                <w:b/>
                <w:bCs/>
                <w:color w:val="auto"/>
                <w:highlight w:val="none"/>
              </w:rPr>
            </w:pPr>
            <w:r>
              <w:rPr>
                <w:rFonts w:hint="eastAsia" w:ascii="宋体" w:hAnsi="宋体"/>
                <w:b/>
                <w:bCs/>
                <w:color w:val="auto"/>
                <w:highlight w:val="none"/>
              </w:rPr>
              <w:t>指标项</w:t>
            </w:r>
          </w:p>
        </w:tc>
        <w:tc>
          <w:tcPr>
            <w:tcW w:w="7161" w:type="dxa"/>
            <w:tcBorders>
              <w:top w:val="single" w:color="auto" w:sz="4" w:space="0"/>
              <w:left w:val="nil"/>
              <w:bottom w:val="single" w:color="auto" w:sz="4" w:space="0"/>
              <w:right w:val="single" w:color="auto" w:sz="4" w:space="0"/>
            </w:tcBorders>
            <w:vAlign w:val="center"/>
          </w:tcPr>
          <w:p>
            <w:pPr>
              <w:pStyle w:val="67"/>
              <w:ind w:firstLine="361"/>
              <w:jc w:val="center"/>
              <w:rPr>
                <w:rFonts w:ascii="宋体" w:hAnsi="宋体"/>
                <w:b/>
                <w:bCs/>
                <w:color w:val="auto"/>
                <w:highlight w:val="none"/>
              </w:rPr>
            </w:pPr>
            <w:r>
              <w:rPr>
                <w:rFonts w:hint="eastAsia" w:ascii="宋体" w:hAnsi="宋体"/>
                <w:b/>
                <w:bCs/>
                <w:color w:val="auto"/>
                <w:highlight w:val="none"/>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1</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系统基本架构</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2</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接口配置</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内网：</w:t>
            </w:r>
            <w:r>
              <w:rPr>
                <w:rFonts w:hint="eastAsia" w:ascii="宋体" w:hAnsi="宋体"/>
                <w:color w:val="auto"/>
                <w:szCs w:val="21"/>
                <w:highlight w:val="none"/>
              </w:rPr>
              <w:t>不低于</w:t>
            </w:r>
            <w:r>
              <w:rPr>
                <w:rFonts w:hint="eastAsia" w:ascii="宋体" w:hAnsi="宋体"/>
                <w:color w:val="auto"/>
                <w:highlight w:val="none"/>
              </w:rPr>
              <w:t>4个10/100/1000M RJ45接口，1个串口，2个USB口</w:t>
            </w:r>
          </w:p>
          <w:p>
            <w:pPr>
              <w:pStyle w:val="67"/>
              <w:jc w:val="left"/>
              <w:rPr>
                <w:rFonts w:ascii="宋体" w:hAnsi="宋体"/>
                <w:color w:val="auto"/>
                <w:highlight w:val="none"/>
              </w:rPr>
            </w:pPr>
            <w:r>
              <w:rPr>
                <w:rFonts w:hint="eastAsia" w:ascii="宋体" w:hAnsi="宋体"/>
                <w:color w:val="auto"/>
                <w:highlight w:val="none"/>
              </w:rPr>
              <w:t>外网：</w:t>
            </w:r>
            <w:r>
              <w:rPr>
                <w:rFonts w:hint="eastAsia" w:ascii="宋体" w:hAnsi="宋体"/>
                <w:color w:val="auto"/>
                <w:szCs w:val="21"/>
                <w:highlight w:val="none"/>
              </w:rPr>
              <w:t>不低于</w:t>
            </w:r>
            <w:r>
              <w:rPr>
                <w:rFonts w:hint="eastAsia" w:ascii="宋体" w:hAnsi="宋体"/>
                <w:color w:val="auto"/>
                <w:highlight w:val="none"/>
              </w:rPr>
              <w:t>4个10/100/1000M RJ45接口，1个串口，2个USB口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3</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性能指标</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网络吞吐量：</w:t>
            </w:r>
            <w:r>
              <w:rPr>
                <w:rFonts w:hint="eastAsia" w:ascii="宋体" w:hAnsi="宋体"/>
                <w:color w:val="auto"/>
                <w:szCs w:val="21"/>
                <w:highlight w:val="none"/>
              </w:rPr>
              <w:t>不低于</w:t>
            </w:r>
            <w:r>
              <w:rPr>
                <w:rFonts w:hint="eastAsia" w:ascii="宋体" w:hAnsi="宋体"/>
                <w:color w:val="auto"/>
                <w:highlight w:val="none"/>
              </w:rPr>
              <w:t>1000Mbps。</w:t>
            </w:r>
          </w:p>
          <w:p>
            <w:pPr>
              <w:pStyle w:val="67"/>
              <w:jc w:val="left"/>
              <w:rPr>
                <w:rFonts w:ascii="宋体" w:hAnsi="宋体"/>
                <w:color w:val="auto"/>
                <w:highlight w:val="none"/>
              </w:rPr>
            </w:pPr>
            <w:r>
              <w:rPr>
                <w:rFonts w:hint="eastAsia" w:ascii="宋体" w:hAnsi="宋体"/>
                <w:color w:val="auto"/>
                <w:highlight w:val="none"/>
              </w:rPr>
              <w:t>系统整体时延：&lt;5毫秒</w:t>
            </w:r>
          </w:p>
          <w:p>
            <w:pPr>
              <w:pStyle w:val="67"/>
              <w:jc w:val="left"/>
              <w:rPr>
                <w:rFonts w:ascii="宋体" w:hAnsi="宋体"/>
                <w:color w:val="auto"/>
                <w:highlight w:val="none"/>
              </w:rPr>
            </w:pPr>
            <w:r>
              <w:rPr>
                <w:rFonts w:hint="eastAsia" w:ascii="宋体" w:hAnsi="宋体"/>
                <w:color w:val="auto"/>
                <w:highlight w:val="none"/>
              </w:rPr>
              <w:t>所有协议通道并发连接数：不低于45000个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4</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安全上网功能</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支持WEB访问，支持HTTP协议应用的各种指令控制</w:t>
            </w:r>
          </w:p>
          <w:p>
            <w:pPr>
              <w:pStyle w:val="67"/>
              <w:jc w:val="left"/>
              <w:rPr>
                <w:rFonts w:ascii="宋体" w:hAnsi="宋体"/>
                <w:color w:val="auto"/>
                <w:highlight w:val="none"/>
              </w:rPr>
            </w:pPr>
            <w:r>
              <w:rPr>
                <w:rFonts w:hint="eastAsia" w:ascii="宋体" w:hAnsi="宋体"/>
                <w:color w:val="auto"/>
                <w:highlight w:val="none"/>
              </w:rPr>
              <w:t>支持HTTPS网络传输，并且可在该加密通道中分解出正常HTTPS网络应用，保障传输。同时可以屏蔽自由门等各类加密翻墙软件的传输。（提供功能截图证明）</w:t>
            </w:r>
          </w:p>
          <w:p>
            <w:pPr>
              <w:pStyle w:val="67"/>
              <w:jc w:val="left"/>
              <w:rPr>
                <w:rFonts w:ascii="宋体" w:hAnsi="宋体"/>
                <w:color w:val="auto"/>
                <w:highlight w:val="none"/>
              </w:rPr>
            </w:pPr>
            <w:r>
              <w:rPr>
                <w:rFonts w:hint="eastAsia" w:ascii="宋体" w:hAnsi="宋体"/>
                <w:color w:val="auto"/>
                <w:highlight w:val="none"/>
              </w:rPr>
              <w:t>其他过滤策略：文件类型、页面提交方式等。支持情景模式，能够控制用户上网以及服务器对外提供服务的具体时间</w:t>
            </w:r>
          </w:p>
          <w:p>
            <w:pPr>
              <w:pStyle w:val="67"/>
              <w:jc w:val="left"/>
              <w:rPr>
                <w:rFonts w:ascii="宋体" w:hAnsi="宋体"/>
                <w:color w:val="auto"/>
                <w:highlight w:val="none"/>
              </w:rPr>
            </w:pPr>
            <w:r>
              <w:rPr>
                <w:rFonts w:hint="eastAsia" w:ascii="宋体" w:hAnsi="宋体"/>
                <w:color w:val="auto"/>
                <w:highlight w:val="none"/>
              </w:rPr>
              <w:t>代理、透明和路由工作模式下均支持HTTP和HTTPS协议内部命令及命令参数控制策略（提供功能截图证明）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5</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文件传输功能</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支持FTP文件传输协议，支持主动被动两种模式。支持FTP命令参数控制支持对传输文件的类型过滤</w:t>
            </w:r>
          </w:p>
          <w:p>
            <w:pPr>
              <w:pStyle w:val="67"/>
              <w:jc w:val="left"/>
              <w:rPr>
                <w:rFonts w:ascii="宋体" w:hAnsi="宋体"/>
                <w:color w:val="auto"/>
                <w:highlight w:val="none"/>
              </w:rPr>
            </w:pPr>
            <w:r>
              <w:rPr>
                <w:rFonts w:hint="eastAsia" w:ascii="宋体" w:hAnsi="宋体"/>
                <w:color w:val="auto"/>
                <w:highlight w:val="none"/>
              </w:rPr>
              <w:t>代理、透明和路由工作模式下均支持FTP协议内部命令及命令参数控制策略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6</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文件同步功能</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提供专用文件同步客户端提供安全的文件同步功能</w:t>
            </w:r>
          </w:p>
          <w:p>
            <w:pPr>
              <w:pStyle w:val="67"/>
              <w:jc w:val="left"/>
              <w:rPr>
                <w:rFonts w:ascii="宋体" w:hAnsi="宋体"/>
                <w:color w:val="auto"/>
                <w:highlight w:val="none"/>
              </w:rPr>
            </w:pPr>
            <w:r>
              <w:rPr>
                <w:rFonts w:hint="eastAsia" w:ascii="宋体" w:hAnsi="宋体"/>
                <w:color w:val="auto"/>
                <w:highlight w:val="none"/>
              </w:rPr>
              <w:t>同步传输方向可控，双向或单向</w:t>
            </w:r>
          </w:p>
          <w:p>
            <w:pPr>
              <w:pStyle w:val="67"/>
              <w:jc w:val="left"/>
              <w:rPr>
                <w:rFonts w:ascii="宋体" w:hAnsi="宋体"/>
                <w:color w:val="auto"/>
                <w:highlight w:val="none"/>
              </w:rPr>
            </w:pPr>
            <w:r>
              <w:rPr>
                <w:rFonts w:hint="eastAsia" w:ascii="宋体" w:hAnsi="宋体"/>
                <w:color w:val="auto"/>
                <w:highlight w:val="none"/>
              </w:rPr>
              <w:t>支持一对多或多对一文件同步</w:t>
            </w:r>
          </w:p>
          <w:p>
            <w:pPr>
              <w:pStyle w:val="67"/>
              <w:jc w:val="left"/>
              <w:rPr>
                <w:rFonts w:ascii="宋体" w:hAnsi="宋体"/>
                <w:color w:val="auto"/>
                <w:highlight w:val="none"/>
              </w:rPr>
            </w:pPr>
            <w:r>
              <w:rPr>
                <w:rFonts w:hint="eastAsia" w:ascii="宋体" w:hAnsi="宋体"/>
                <w:color w:val="auto"/>
                <w:highlight w:val="none"/>
              </w:rPr>
              <w:t>支持文件变动实时同步、定时同步、系统资源空闲智能同步等多种同步方式</w:t>
            </w:r>
          </w:p>
          <w:p>
            <w:pPr>
              <w:pStyle w:val="67"/>
              <w:jc w:val="left"/>
              <w:rPr>
                <w:rFonts w:ascii="宋体" w:hAnsi="宋体"/>
                <w:color w:val="auto"/>
                <w:highlight w:val="none"/>
              </w:rPr>
            </w:pPr>
            <w:r>
              <w:rPr>
                <w:rFonts w:hint="eastAsia" w:ascii="宋体" w:hAnsi="宋体"/>
                <w:color w:val="auto"/>
                <w:highlight w:val="none"/>
              </w:rPr>
              <w:t>支持同步删除和同步覆盖策略配置，并能将同步删除和同步覆盖的文件备份到指定文件夹</w:t>
            </w:r>
          </w:p>
          <w:p>
            <w:pPr>
              <w:pStyle w:val="67"/>
              <w:jc w:val="left"/>
              <w:rPr>
                <w:rFonts w:ascii="宋体" w:hAnsi="宋体"/>
                <w:color w:val="auto"/>
                <w:highlight w:val="none"/>
              </w:rPr>
            </w:pPr>
            <w:r>
              <w:rPr>
                <w:rFonts w:hint="eastAsia" w:ascii="宋体" w:hAnsi="宋体"/>
                <w:color w:val="auto"/>
                <w:highlight w:val="none"/>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7</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数据库访问功能</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提供对多种主流数据库,如：MYSQL、SQLSERVER、ORACLE、DB2、SYBASE等系统的安全访问</w:t>
            </w:r>
          </w:p>
          <w:p>
            <w:pPr>
              <w:pStyle w:val="67"/>
              <w:jc w:val="left"/>
              <w:rPr>
                <w:rFonts w:ascii="宋体" w:hAnsi="宋体"/>
                <w:color w:val="auto"/>
                <w:highlight w:val="none"/>
              </w:rPr>
            </w:pPr>
            <w:r>
              <w:rPr>
                <w:rFonts w:hint="eastAsia" w:ascii="宋体" w:hAnsi="宋体"/>
                <w:color w:val="auto"/>
                <w:highlight w:val="none"/>
              </w:rPr>
              <w:t>代理、透明和路由工作模式下均支持数据库内部命令及命令参数控制策略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8</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数据库同步功能</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基于专用客户端与网闸安全连接方式，提供多种主流数据库系统如：ORACLE、SQLSERVER、MYSQL、SYBASE、DB2等之间的同步</w:t>
            </w:r>
          </w:p>
          <w:p>
            <w:pPr>
              <w:pStyle w:val="67"/>
              <w:jc w:val="left"/>
              <w:rPr>
                <w:rFonts w:ascii="宋体" w:hAnsi="宋体"/>
                <w:color w:val="auto"/>
                <w:highlight w:val="none"/>
              </w:rPr>
            </w:pPr>
            <w:r>
              <w:rPr>
                <w:rFonts w:hint="eastAsia" w:ascii="宋体" w:hAnsi="宋体"/>
                <w:color w:val="auto"/>
                <w:highlight w:val="none"/>
              </w:rPr>
              <w:t>支持达梦、人大金仓等国产数据。（提供功能截图证明）</w:t>
            </w:r>
          </w:p>
          <w:p>
            <w:pPr>
              <w:pStyle w:val="67"/>
              <w:jc w:val="left"/>
              <w:rPr>
                <w:rFonts w:ascii="宋体" w:hAnsi="宋体"/>
                <w:color w:val="auto"/>
                <w:highlight w:val="none"/>
              </w:rPr>
            </w:pPr>
            <w:r>
              <w:rPr>
                <w:rFonts w:hint="eastAsia" w:ascii="宋体" w:hAnsi="宋体"/>
                <w:color w:val="auto"/>
                <w:highlight w:val="none"/>
              </w:rPr>
              <w:t>支持二进制普通文件、图片、文本文件及BLOB大字段同步。（提供功能截图证明）</w:t>
            </w:r>
          </w:p>
          <w:p>
            <w:pPr>
              <w:pStyle w:val="67"/>
              <w:jc w:val="left"/>
              <w:rPr>
                <w:rFonts w:ascii="宋体" w:hAnsi="宋体"/>
                <w:color w:val="auto"/>
                <w:highlight w:val="none"/>
              </w:rPr>
            </w:pPr>
            <w:r>
              <w:rPr>
                <w:rFonts w:hint="eastAsia" w:ascii="宋体" w:hAnsi="宋体"/>
                <w:color w:val="auto"/>
                <w:highlight w:val="none"/>
              </w:rPr>
              <w:t>支持数据一对一、一对多、多对多的单向或双向交换和同步</w:t>
            </w:r>
          </w:p>
          <w:p>
            <w:pPr>
              <w:pStyle w:val="67"/>
              <w:jc w:val="left"/>
              <w:rPr>
                <w:rFonts w:ascii="宋体" w:hAnsi="宋体"/>
                <w:color w:val="auto"/>
                <w:highlight w:val="none"/>
              </w:rPr>
            </w:pPr>
            <w:r>
              <w:rPr>
                <w:rFonts w:hint="eastAsia" w:ascii="宋体" w:hAnsi="宋体"/>
                <w:color w:val="auto"/>
                <w:highlight w:val="none"/>
              </w:rPr>
              <w:t>支持数据库实时同步或定时同步的策略定义</w:t>
            </w:r>
          </w:p>
          <w:p>
            <w:pPr>
              <w:pStyle w:val="67"/>
              <w:jc w:val="left"/>
              <w:rPr>
                <w:rFonts w:ascii="宋体" w:hAnsi="宋体"/>
                <w:color w:val="auto"/>
                <w:highlight w:val="none"/>
              </w:rPr>
            </w:pPr>
            <w:r>
              <w:rPr>
                <w:rFonts w:hint="eastAsia" w:ascii="宋体" w:hAnsi="宋体"/>
                <w:color w:val="auto"/>
                <w:highlight w:val="none"/>
              </w:rPr>
              <w:t>数据库同步传输不使用通用数据库服务端口例如1433、1521、3306等，保障数据库同步传输的安全性</w:t>
            </w:r>
          </w:p>
          <w:p>
            <w:pPr>
              <w:pStyle w:val="67"/>
              <w:jc w:val="left"/>
              <w:rPr>
                <w:rFonts w:ascii="宋体" w:hAnsi="宋体"/>
                <w:color w:val="auto"/>
                <w:highlight w:val="none"/>
              </w:rPr>
            </w:pPr>
            <w:r>
              <w:rPr>
                <w:rFonts w:hint="eastAsia" w:ascii="宋体" w:hAnsi="宋体"/>
                <w:color w:val="auto"/>
                <w:highlight w:val="none"/>
              </w:rPr>
              <w:t>支持灵活的数据冲突检测机制，当同步的数据记录发成冲突时，可以灵活处理出现冲突的数据记录</w:t>
            </w:r>
          </w:p>
          <w:p>
            <w:pPr>
              <w:pStyle w:val="67"/>
              <w:jc w:val="left"/>
              <w:rPr>
                <w:rFonts w:ascii="宋体" w:hAnsi="宋体"/>
                <w:color w:val="auto"/>
                <w:highlight w:val="none"/>
              </w:rPr>
            </w:pPr>
            <w:r>
              <w:rPr>
                <w:rFonts w:hint="eastAsia" w:ascii="宋体" w:hAnsi="宋体"/>
                <w:color w:val="auto"/>
                <w:highlight w:val="none"/>
              </w:rPr>
              <w:t>数据库同步高可靠性，即使发生网络故障，已变化数据也不会丢失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9</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管理配置</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管理采用C/S架构专有协议管理，网闸管理口无IP地址，管理主机也不必设置IP即可搜索到设备，管理设备，支持设备集中管理。（提供功能截图证明）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10</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日志审计</w:t>
            </w:r>
          </w:p>
        </w:tc>
        <w:tc>
          <w:tcPr>
            <w:tcW w:w="716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支持对所有访问进行日志记录，包括系统事件、成功事件、报警事件。提供对日志信息的浏览、查询、删除、下载等多种操作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11</w:t>
            </w:r>
          </w:p>
        </w:tc>
        <w:tc>
          <w:tcPr>
            <w:tcW w:w="1731" w:type="dxa"/>
            <w:tcBorders>
              <w:top w:val="single" w:color="auto" w:sz="4" w:space="0"/>
              <w:left w:val="nil"/>
              <w:bottom w:val="single" w:color="auto" w:sz="4" w:space="0"/>
              <w:right w:val="single" w:color="auto" w:sz="4" w:space="0"/>
            </w:tcBorders>
            <w:vAlign w:val="center"/>
          </w:tcPr>
          <w:p>
            <w:pPr>
              <w:pStyle w:val="67"/>
              <w:jc w:val="left"/>
              <w:rPr>
                <w:rFonts w:ascii="宋体" w:hAnsi="宋体"/>
                <w:color w:val="auto"/>
                <w:highlight w:val="none"/>
              </w:rPr>
            </w:pPr>
            <w:r>
              <w:rPr>
                <w:rFonts w:hint="eastAsia" w:ascii="宋体" w:hAnsi="宋体"/>
                <w:color w:val="auto"/>
                <w:highlight w:val="none"/>
              </w:rPr>
              <w:t>产品资质</w:t>
            </w:r>
          </w:p>
        </w:tc>
        <w:tc>
          <w:tcPr>
            <w:tcW w:w="7161" w:type="dxa"/>
            <w:tcBorders>
              <w:top w:val="single" w:color="auto" w:sz="4" w:space="0"/>
              <w:left w:val="nil"/>
              <w:bottom w:val="single" w:color="auto" w:sz="4" w:space="0"/>
              <w:right w:val="single" w:color="auto" w:sz="4" w:space="0"/>
            </w:tcBorders>
          </w:tcPr>
          <w:p>
            <w:pPr>
              <w:pStyle w:val="67"/>
              <w:jc w:val="left"/>
              <w:rPr>
                <w:rFonts w:ascii="宋体" w:hAnsi="宋体"/>
                <w:color w:val="auto"/>
                <w:highlight w:val="none"/>
              </w:rPr>
            </w:pPr>
            <w:r>
              <w:rPr>
                <w:rFonts w:hint="eastAsia" w:ascii="宋体" w:hAnsi="宋体"/>
                <w:color w:val="auto"/>
                <w:highlight w:val="none"/>
              </w:rPr>
              <w:t>具备信息安全认证中心中国国家信息安全产品认证证书</w:t>
            </w:r>
          </w:p>
        </w:tc>
      </w:tr>
    </w:tbl>
    <w:p>
      <w:pPr>
        <w:pStyle w:val="5"/>
        <w:rPr>
          <w:color w:val="auto"/>
          <w:highlight w:val="none"/>
        </w:rPr>
      </w:pPr>
      <w:r>
        <w:rPr>
          <w:rFonts w:hint="eastAsia"/>
          <w:color w:val="auto"/>
          <w:highlight w:val="none"/>
        </w:rPr>
        <w:t>内网防火墙</w:t>
      </w:r>
    </w:p>
    <w:tbl>
      <w:tblPr>
        <w:tblStyle w:val="22"/>
        <w:tblW w:w="94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1"/>
        <w:gridCol w:w="1499"/>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499" w:type="dxa"/>
            <w:tcBorders>
              <w:top w:val="single" w:color="000000" w:sz="4" w:space="0"/>
              <w:left w:val="nil"/>
              <w:bottom w:val="single" w:color="000000" w:sz="4" w:space="0"/>
              <w:right w:val="single" w:color="000000"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指标项</w:t>
            </w:r>
          </w:p>
        </w:tc>
        <w:tc>
          <w:tcPr>
            <w:tcW w:w="7312" w:type="dxa"/>
            <w:tcBorders>
              <w:top w:val="single" w:color="000000" w:sz="4" w:space="0"/>
              <w:left w:val="nil"/>
              <w:bottom w:val="single" w:color="000000" w:sz="4" w:space="0"/>
              <w:right w:val="single" w:color="000000"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招标要求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76"/>
                <w:rFonts w:hint="default"/>
                <w:color w:val="auto"/>
                <w:highlight w:val="none"/>
              </w:rPr>
            </w:pPr>
            <w:r>
              <w:rPr>
                <w:rFonts w:hint="eastAsia" w:ascii="宋体" w:hAnsi="宋体"/>
                <w:color w:val="auto"/>
                <w:sz w:val="21"/>
                <w:szCs w:val="21"/>
                <w:highlight w:val="none"/>
              </w:rPr>
              <w:t>1</w:t>
            </w:r>
          </w:p>
        </w:tc>
        <w:tc>
          <w:tcPr>
            <w:tcW w:w="1499" w:type="dxa"/>
            <w:tcBorders>
              <w:top w:val="single" w:color="000000" w:sz="4" w:space="0"/>
              <w:left w:val="nil"/>
              <w:bottom w:val="single" w:color="000000" w:sz="4" w:space="0"/>
              <w:right w:val="single" w:color="000000" w:sz="4" w:space="0"/>
            </w:tcBorders>
            <w:vAlign w:val="center"/>
          </w:tcPr>
          <w:p>
            <w:pPr>
              <w:pStyle w:val="67"/>
              <w:jc w:val="left"/>
              <w:rPr>
                <w:color w:val="auto"/>
                <w:szCs w:val="21"/>
                <w:highlight w:val="none"/>
              </w:rPr>
            </w:pPr>
            <w:r>
              <w:rPr>
                <w:rFonts w:hint="eastAsia" w:ascii="宋体" w:hAnsi="宋体"/>
                <w:color w:val="auto"/>
                <w:highlight w:val="none"/>
              </w:rPr>
              <w:t>基本要求和性能</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1U机箱，配置不少于6个10/100/1000BASE-T接口，标配模块化电源；防火墙吞吐率：2Gbps 应用层吞吐率（FW+APP）：1.2Gbps 并发连接数：120万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76"/>
                <w:rFonts w:hint="default"/>
                <w:color w:val="auto"/>
                <w:highlight w:val="none"/>
              </w:rPr>
            </w:pPr>
            <w:r>
              <w:rPr>
                <w:rFonts w:hint="eastAsia" w:ascii="宋体" w:hAnsi="宋体"/>
                <w:color w:val="auto"/>
                <w:sz w:val="21"/>
                <w:szCs w:val="21"/>
                <w:highlight w:val="none"/>
              </w:rPr>
              <w:t>2</w:t>
            </w:r>
          </w:p>
        </w:tc>
        <w:tc>
          <w:tcPr>
            <w:tcW w:w="1499" w:type="dxa"/>
            <w:tcBorders>
              <w:top w:val="single" w:color="000000" w:sz="4" w:space="0"/>
              <w:left w:val="nil"/>
              <w:bottom w:val="single" w:color="000000" w:sz="4" w:space="0"/>
              <w:right w:val="single" w:color="000000" w:sz="4" w:space="0"/>
            </w:tcBorders>
            <w:vAlign w:val="center"/>
          </w:tcPr>
          <w:p>
            <w:pPr>
              <w:pStyle w:val="67"/>
              <w:jc w:val="left"/>
              <w:rPr>
                <w:color w:val="auto"/>
                <w:szCs w:val="21"/>
                <w:highlight w:val="none"/>
              </w:rPr>
            </w:pPr>
            <w:r>
              <w:rPr>
                <w:rFonts w:hint="eastAsia" w:ascii="宋体" w:hAnsi="宋体"/>
                <w:color w:val="auto"/>
                <w:highlight w:val="none"/>
              </w:rPr>
              <w:t>工作模式</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支持路由、交换、混合、虚拟线工作模式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vMerge w:val="restart"/>
            <w:tcBorders>
              <w:top w:val="nil"/>
              <w:left w:val="single" w:color="000000" w:sz="4" w:space="0"/>
              <w:bottom w:val="single" w:color="000000" w:sz="4" w:space="0"/>
              <w:right w:val="single" w:color="000000" w:sz="4" w:space="0"/>
            </w:tcBorders>
            <w:vAlign w:val="center"/>
          </w:tcPr>
          <w:p>
            <w:pPr>
              <w:jc w:val="center"/>
              <w:rPr>
                <w:rStyle w:val="76"/>
                <w:rFonts w:hint="default"/>
                <w:color w:val="auto"/>
                <w:highlight w:val="none"/>
              </w:rPr>
            </w:pPr>
            <w:r>
              <w:rPr>
                <w:rFonts w:hint="eastAsia" w:ascii="宋体" w:hAnsi="宋体"/>
                <w:color w:val="auto"/>
                <w:sz w:val="21"/>
                <w:szCs w:val="21"/>
                <w:highlight w:val="none"/>
              </w:rPr>
              <w:t>3</w:t>
            </w:r>
          </w:p>
        </w:tc>
        <w:tc>
          <w:tcPr>
            <w:tcW w:w="1499" w:type="dxa"/>
            <w:vMerge w:val="restart"/>
            <w:tcBorders>
              <w:top w:val="nil"/>
              <w:left w:val="nil"/>
              <w:bottom w:val="single" w:color="000000" w:sz="4" w:space="0"/>
              <w:right w:val="single" w:color="000000" w:sz="4" w:space="0"/>
            </w:tcBorders>
            <w:vAlign w:val="center"/>
          </w:tcPr>
          <w:p>
            <w:pPr>
              <w:pStyle w:val="67"/>
              <w:jc w:val="left"/>
              <w:rPr>
                <w:color w:val="auto"/>
                <w:szCs w:val="21"/>
                <w:highlight w:val="none"/>
              </w:rPr>
            </w:pPr>
            <w:r>
              <w:rPr>
                <w:rFonts w:hint="eastAsia" w:ascii="宋体" w:hAnsi="宋体"/>
                <w:color w:val="auto"/>
                <w:highlight w:val="none"/>
              </w:rPr>
              <w:t>智能DNS</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支持智能DNS功能，有效提高用户跨网访问效率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Style w:val="76"/>
                <w:rFonts w:hint="default"/>
                <w:color w:val="auto"/>
                <w:highlight w:val="none"/>
              </w:rPr>
            </w:pPr>
          </w:p>
        </w:tc>
        <w:tc>
          <w:tcPr>
            <w:tcW w:w="1499" w:type="dxa"/>
            <w:vMerge w:val="continue"/>
            <w:tcBorders>
              <w:top w:val="nil"/>
              <w:left w:val="nil"/>
              <w:bottom w:val="single" w:color="000000" w:sz="4" w:space="0"/>
              <w:right w:val="single" w:color="000000" w:sz="4" w:space="0"/>
            </w:tcBorders>
            <w:vAlign w:val="center"/>
          </w:tcPr>
          <w:p>
            <w:pPr>
              <w:widowControl/>
              <w:jc w:val="left"/>
              <w:rPr>
                <w:rFonts w:ascii="Calibri" w:hAnsi="Calibri" w:cs="宋体"/>
                <w:color w:val="auto"/>
                <w:kern w:val="0"/>
                <w:sz w:val="21"/>
                <w:szCs w:val="21"/>
                <w:highlight w:val="none"/>
              </w:rPr>
            </w:pP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支持DNS Docting，能够将来自内部网络的域名解析请求定向到真实内网资源，降低路径开销，提高访问效率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76"/>
                <w:rFonts w:hint="default"/>
                <w:color w:val="auto"/>
                <w:highlight w:val="none"/>
              </w:rPr>
            </w:pPr>
            <w:r>
              <w:rPr>
                <w:rStyle w:val="76"/>
                <w:rFonts w:hint="default"/>
                <w:color w:val="auto"/>
                <w:highlight w:val="none"/>
              </w:rPr>
              <w:t>4</w:t>
            </w:r>
          </w:p>
        </w:tc>
        <w:tc>
          <w:tcPr>
            <w:tcW w:w="1499" w:type="dxa"/>
            <w:tcBorders>
              <w:top w:val="single" w:color="000000" w:sz="4" w:space="0"/>
              <w:left w:val="nil"/>
              <w:bottom w:val="single" w:color="000000" w:sz="4" w:space="0"/>
              <w:right w:val="single" w:color="000000" w:sz="4" w:space="0"/>
            </w:tcBorders>
            <w:vAlign w:val="center"/>
          </w:tcPr>
          <w:p>
            <w:pPr>
              <w:pStyle w:val="67"/>
              <w:jc w:val="left"/>
              <w:rPr>
                <w:color w:val="auto"/>
                <w:szCs w:val="21"/>
                <w:highlight w:val="none"/>
              </w:rPr>
            </w:pPr>
            <w:r>
              <w:rPr>
                <w:rFonts w:hint="eastAsia" w:ascii="宋体" w:hAnsi="宋体"/>
                <w:color w:val="auto"/>
                <w:highlight w:val="none"/>
              </w:rPr>
              <w:t>链路质量探测</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支持ICMP、Traceroute、TCP、HTTP、DNS等多种链路质量探测方式，用户可以根据探测结果有效判断链路质量；通过HTTP链路质量探测方式，探测结果可以提供DNS解析响应时间、TCP建立连接时间、HTTP交易时间等；通过TCP链路质量探测方式，探测结果可以提供TCP建立连接时间等；通过DNS链路质量探测方式，探测结果可以提供DNS解析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0"/>
                <w:highlight w:val="none"/>
              </w:rPr>
            </w:pPr>
            <w:r>
              <w:rPr>
                <w:rFonts w:hint="eastAsia" w:ascii="宋体" w:hAnsi="宋体"/>
                <w:color w:val="auto"/>
                <w:sz w:val="21"/>
                <w:szCs w:val="21"/>
                <w:highlight w:val="none"/>
              </w:rPr>
              <w:t>5</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szCs w:val="21"/>
                <w:highlight w:val="none"/>
              </w:rPr>
            </w:pPr>
            <w:r>
              <w:rPr>
                <w:rFonts w:hint="eastAsia" w:ascii="宋体" w:hAnsi="宋体"/>
                <w:color w:val="auto"/>
                <w:highlight w:val="none"/>
              </w:rPr>
              <w:t>数据防泄露功能</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支持DLP数据防泄漏功能，可针对发送IP或接收IP配置相互独立的DLP策略，对数据进行监控识别，达到敏感数据防护目的</w:t>
            </w:r>
          </w:p>
          <w:p>
            <w:pPr>
              <w:pStyle w:val="67"/>
              <w:jc w:val="left"/>
              <w:rPr>
                <w:rFonts w:ascii="宋体" w:hAnsi="宋体"/>
                <w:color w:val="auto"/>
                <w:highlight w:val="none"/>
              </w:rPr>
            </w:pPr>
            <w:r>
              <w:rPr>
                <w:rFonts w:hint="eastAsia" w:ascii="宋体" w:hAnsi="宋体"/>
                <w:color w:val="auto"/>
                <w:highlight w:val="none"/>
              </w:rPr>
              <w:t>支持识别的加密文件格式不少于12种；压缩文件格式不少于25种，如RAR、ZIP、GZ、TAR等；支持识别Linux，Unix等非Winodws的文件类型；支持识别异常文件格式类型；支持识别自定义文件类型（提供功能截图证明）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0"/>
                <w:highlight w:val="none"/>
              </w:rPr>
            </w:pPr>
            <w:r>
              <w:rPr>
                <w:rFonts w:hint="eastAsia" w:ascii="宋体" w:hAnsi="宋体"/>
                <w:color w:val="auto"/>
                <w:sz w:val="21"/>
                <w:szCs w:val="21"/>
                <w:highlight w:val="none"/>
              </w:rPr>
              <w:t>6</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szCs w:val="21"/>
                <w:highlight w:val="none"/>
              </w:rPr>
            </w:pPr>
            <w:r>
              <w:rPr>
                <w:rFonts w:hint="eastAsia" w:ascii="宋体" w:hAnsi="宋体"/>
                <w:color w:val="auto"/>
                <w:highlight w:val="none"/>
              </w:rPr>
              <w:t>用户管控</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综合运用身份认证与访问控制技术，通过内置智能过滤引擎实现基于用户身份的安全防护策略部署与可视化监控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0"/>
                <w:highlight w:val="none"/>
              </w:rPr>
            </w:pPr>
            <w:r>
              <w:rPr>
                <w:rFonts w:hint="eastAsia" w:ascii="宋体" w:hAnsi="宋体"/>
                <w:color w:val="auto"/>
                <w:sz w:val="21"/>
                <w:szCs w:val="21"/>
                <w:highlight w:val="none"/>
              </w:rPr>
              <w:t>7</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szCs w:val="21"/>
                <w:highlight w:val="none"/>
              </w:rPr>
            </w:pPr>
            <w:r>
              <w:rPr>
                <w:rFonts w:hint="eastAsia" w:ascii="宋体" w:hAnsi="宋体"/>
                <w:color w:val="auto"/>
                <w:highlight w:val="none"/>
              </w:rPr>
              <w:t>应用识别</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内置强大应用识别引擎，综合运用端口识别、行为识别、特征识别、关联识别等技术手段，准确识别传统应用如P2P、web应用、移动应用、云应用、加密应用等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0"/>
                <w:highlight w:val="none"/>
              </w:rPr>
            </w:pPr>
            <w:r>
              <w:rPr>
                <w:rFonts w:hint="eastAsia" w:ascii="宋体" w:hAnsi="宋体"/>
                <w:color w:val="auto"/>
                <w:sz w:val="21"/>
                <w:szCs w:val="21"/>
                <w:highlight w:val="none"/>
              </w:rPr>
              <w:t>8</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szCs w:val="21"/>
                <w:highlight w:val="none"/>
              </w:rPr>
            </w:pPr>
            <w:r>
              <w:rPr>
                <w:rFonts w:hint="eastAsia" w:ascii="宋体" w:hAnsi="宋体"/>
                <w:color w:val="auto"/>
                <w:highlight w:val="none"/>
              </w:rPr>
              <w:t>一体化访问控制</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内置高度集成的一体化智能过滤引擎技术，实现在同一条访问控制策略中配置传统的五元组信息、应用、服务、时间、安全引擎（入侵、URL过滤、病毒过滤、DLP、内容过滤）的识别与控制</w:t>
            </w:r>
          </w:p>
          <w:p>
            <w:pPr>
              <w:pStyle w:val="67"/>
              <w:jc w:val="left"/>
              <w:rPr>
                <w:rFonts w:ascii="宋体" w:hAnsi="宋体"/>
                <w:color w:val="auto"/>
                <w:highlight w:val="none"/>
              </w:rPr>
            </w:pPr>
            <w:r>
              <w:rPr>
                <w:rFonts w:hint="eastAsia" w:ascii="宋体" w:hAnsi="宋体"/>
                <w:color w:val="auto"/>
                <w:highlight w:val="none"/>
              </w:rPr>
              <w:t>支持对单条访问控制策略进行最大并发连接数限制（提供功能截图证明）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sz w:val="21"/>
                <w:szCs w:val="21"/>
                <w:highlight w:val="none"/>
              </w:rPr>
              <w:t>9</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DDOS防御</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内置攻击检测引擎，支持独立的DDOS检测、阻断能力（提供功能截图证明），支持检测包括land、Smurf、winnuke、tcp_sscan、ip_option、targa3、Synflood、Icmpflood、Udpflood、Portscan、ipsweep等攻击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6"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0"/>
                <w:highlight w:val="none"/>
              </w:rPr>
            </w:pPr>
            <w:r>
              <w:rPr>
                <w:rFonts w:hint="eastAsia" w:ascii="宋体" w:hAnsi="宋体"/>
                <w:color w:val="auto"/>
                <w:sz w:val="21"/>
                <w:szCs w:val="21"/>
                <w:highlight w:val="none"/>
              </w:rPr>
              <w:t>10</w:t>
            </w:r>
          </w:p>
        </w:tc>
        <w:tc>
          <w:tcPr>
            <w:tcW w:w="1499"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szCs w:val="21"/>
                <w:highlight w:val="none"/>
              </w:rPr>
            </w:pPr>
            <w:r>
              <w:rPr>
                <w:rFonts w:hint="eastAsia" w:ascii="宋体" w:hAnsi="宋体"/>
                <w:color w:val="auto"/>
                <w:highlight w:val="none"/>
              </w:rPr>
              <w:t>产品资质</w:t>
            </w:r>
          </w:p>
        </w:tc>
        <w:tc>
          <w:tcPr>
            <w:tcW w:w="7312" w:type="dxa"/>
            <w:tcBorders>
              <w:top w:val="single" w:color="000000" w:sz="4" w:space="0"/>
              <w:left w:val="nil"/>
              <w:bottom w:val="single" w:color="000000" w:sz="4" w:space="0"/>
              <w:right w:val="single" w:color="000000" w:sz="4" w:space="0"/>
            </w:tcBorders>
            <w:vAlign w:val="center"/>
          </w:tcPr>
          <w:p>
            <w:pPr>
              <w:pStyle w:val="67"/>
              <w:jc w:val="left"/>
              <w:rPr>
                <w:rFonts w:ascii="宋体" w:hAnsi="宋体"/>
                <w:color w:val="auto"/>
                <w:highlight w:val="none"/>
              </w:rPr>
            </w:pPr>
            <w:r>
              <w:rPr>
                <w:rFonts w:hint="eastAsia" w:ascii="宋体" w:hAnsi="宋体"/>
                <w:color w:val="auto"/>
                <w:highlight w:val="none"/>
              </w:rPr>
              <w:t>*具备中国信息安全认证中心颁发的《国家信息安全产品认证证书（ISCCC）》</w:t>
            </w:r>
          </w:p>
          <w:p>
            <w:pPr>
              <w:pStyle w:val="67"/>
              <w:jc w:val="left"/>
              <w:rPr>
                <w:rFonts w:ascii="宋体" w:hAnsi="宋体"/>
                <w:color w:val="auto"/>
                <w:highlight w:val="none"/>
              </w:rPr>
            </w:pPr>
            <w:r>
              <w:rPr>
                <w:rFonts w:hint="eastAsia" w:ascii="宋体" w:hAnsi="宋体"/>
                <w:color w:val="auto"/>
                <w:highlight w:val="none"/>
              </w:rPr>
              <w:t>投标时需提供以上资质证书复印件</w:t>
            </w:r>
          </w:p>
        </w:tc>
      </w:tr>
    </w:tbl>
    <w:p>
      <w:pPr>
        <w:ind w:firstLine="480"/>
        <w:rPr>
          <w:color w:val="auto"/>
          <w:szCs w:val="28"/>
          <w:highlight w:val="none"/>
        </w:rPr>
      </w:pPr>
      <w:r>
        <w:rPr>
          <w:rFonts w:hint="eastAsia"/>
          <w:color w:val="auto"/>
          <w:highlight w:val="none"/>
        </w:rPr>
        <w:t xml:space="preserve"> </w:t>
      </w:r>
    </w:p>
    <w:p>
      <w:pPr>
        <w:pStyle w:val="5"/>
        <w:rPr>
          <w:color w:val="auto"/>
          <w:highlight w:val="none"/>
        </w:rPr>
      </w:pPr>
      <w:r>
        <w:rPr>
          <w:rFonts w:hint="eastAsia"/>
          <w:color w:val="auto"/>
          <w:highlight w:val="none"/>
        </w:rPr>
        <w:t>内网网闸</w:t>
      </w:r>
    </w:p>
    <w:tbl>
      <w:tblPr>
        <w:tblStyle w:val="22"/>
        <w:tblW w:w="9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0"/>
        <w:gridCol w:w="1469"/>
        <w:gridCol w:w="7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469" w:type="dxa"/>
            <w:tcBorders>
              <w:top w:val="single" w:color="auto" w:sz="6" w:space="0"/>
              <w:left w:val="nil"/>
              <w:bottom w:val="single" w:color="auto" w:sz="6" w:space="0"/>
              <w:right w:val="single" w:color="auto" w:sz="6"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指标项</w:t>
            </w:r>
          </w:p>
        </w:tc>
        <w:tc>
          <w:tcPr>
            <w:tcW w:w="7379" w:type="dxa"/>
            <w:tcBorders>
              <w:top w:val="single" w:color="auto" w:sz="6" w:space="0"/>
              <w:left w:val="nil"/>
              <w:bottom w:val="single" w:color="auto" w:sz="6" w:space="0"/>
              <w:right w:val="single" w:color="auto" w:sz="6"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招标要求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1</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系统基本架构</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2</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接口配置</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内网不低于4个10/100/1000M RJ45接口，1个串口，2个USB口</w:t>
            </w:r>
          </w:p>
          <w:p>
            <w:pPr>
              <w:pStyle w:val="67"/>
              <w:jc w:val="left"/>
              <w:rPr>
                <w:rFonts w:ascii="宋体" w:hAnsi="宋体"/>
                <w:color w:val="auto"/>
                <w:highlight w:val="none"/>
              </w:rPr>
            </w:pPr>
            <w:r>
              <w:rPr>
                <w:rFonts w:hint="eastAsia" w:ascii="宋体" w:hAnsi="宋体"/>
                <w:color w:val="auto"/>
                <w:highlight w:val="none"/>
              </w:rPr>
              <w:t>外网不低于4个10/100/1000M RJ45接口，1个串口，2个USB口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3</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性能指标</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网络吞吐量：≥1000Mbps</w:t>
            </w:r>
          </w:p>
          <w:p>
            <w:pPr>
              <w:pStyle w:val="67"/>
              <w:jc w:val="left"/>
              <w:rPr>
                <w:rFonts w:ascii="宋体" w:hAnsi="宋体"/>
                <w:color w:val="auto"/>
                <w:highlight w:val="none"/>
              </w:rPr>
            </w:pPr>
            <w:r>
              <w:rPr>
                <w:rFonts w:hint="eastAsia" w:ascii="宋体" w:hAnsi="宋体"/>
                <w:color w:val="auto"/>
                <w:highlight w:val="none"/>
              </w:rPr>
              <w:t>系统整体时延：&lt;5毫秒</w:t>
            </w:r>
          </w:p>
          <w:p>
            <w:pPr>
              <w:pStyle w:val="67"/>
              <w:jc w:val="left"/>
              <w:rPr>
                <w:rFonts w:ascii="宋体" w:hAnsi="宋体"/>
                <w:color w:val="auto"/>
                <w:highlight w:val="none"/>
              </w:rPr>
            </w:pPr>
            <w:r>
              <w:rPr>
                <w:rFonts w:hint="eastAsia" w:ascii="宋体" w:hAnsi="宋体"/>
                <w:color w:val="auto"/>
                <w:highlight w:val="none"/>
              </w:rPr>
              <w:t>所有协议通道并发连接数：45000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4</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安全上网功能</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支持WEB访问，支持HTTP协议应用的各种指令控制</w:t>
            </w:r>
          </w:p>
          <w:p>
            <w:pPr>
              <w:pStyle w:val="67"/>
              <w:jc w:val="left"/>
              <w:rPr>
                <w:rFonts w:ascii="宋体" w:hAnsi="宋体"/>
                <w:color w:val="auto"/>
                <w:highlight w:val="none"/>
              </w:rPr>
            </w:pPr>
            <w:r>
              <w:rPr>
                <w:rFonts w:hint="eastAsia" w:ascii="宋体" w:hAnsi="宋体"/>
                <w:color w:val="auto"/>
                <w:highlight w:val="none"/>
              </w:rPr>
              <w:t>支持HTTPS网络传输，并且可在该加密通道中分解出正常HTTPS网络应用，保障传输。同时可以屏蔽自由门等各类加密翻墙软件的传输。（提供功能截图证明）</w:t>
            </w:r>
          </w:p>
          <w:p>
            <w:pPr>
              <w:pStyle w:val="67"/>
              <w:jc w:val="left"/>
              <w:rPr>
                <w:rFonts w:ascii="宋体" w:hAnsi="宋体"/>
                <w:color w:val="auto"/>
                <w:highlight w:val="none"/>
              </w:rPr>
            </w:pPr>
            <w:r>
              <w:rPr>
                <w:rFonts w:hint="eastAsia" w:ascii="宋体" w:hAnsi="宋体"/>
                <w:color w:val="auto"/>
                <w:highlight w:val="none"/>
              </w:rPr>
              <w:t>其他过滤策略：文件类型、页面提交方式等。支持情景模式，能够控制用户上网以及服务器对外提供服务的具体时间</w:t>
            </w:r>
          </w:p>
          <w:p>
            <w:pPr>
              <w:pStyle w:val="67"/>
              <w:jc w:val="left"/>
              <w:rPr>
                <w:rFonts w:ascii="宋体" w:hAnsi="宋体"/>
                <w:color w:val="auto"/>
                <w:highlight w:val="none"/>
              </w:rPr>
            </w:pPr>
            <w:r>
              <w:rPr>
                <w:rFonts w:hint="eastAsia" w:ascii="宋体" w:hAnsi="宋体"/>
                <w:color w:val="auto"/>
                <w:highlight w:val="none"/>
              </w:rPr>
              <w:t>代理、透明和路由工作模式下均支持HTTP和HTTPS协议内部命令及命令参数控制策略。（提供功能截图证明）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5</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文件传输功能</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支持FTP文件传输协议，支持主动被动两种模式。支持FTP命令参数控制支持对传输文件的类型过滤。</w:t>
            </w:r>
          </w:p>
          <w:p>
            <w:pPr>
              <w:pStyle w:val="67"/>
              <w:jc w:val="left"/>
              <w:rPr>
                <w:rFonts w:ascii="宋体" w:hAnsi="宋体"/>
                <w:color w:val="auto"/>
                <w:highlight w:val="none"/>
              </w:rPr>
            </w:pPr>
            <w:r>
              <w:rPr>
                <w:rFonts w:hint="eastAsia" w:ascii="宋体" w:hAnsi="宋体"/>
                <w:color w:val="auto"/>
                <w:highlight w:val="none"/>
              </w:rPr>
              <w:t>代理、透明和路由工作模式下均支持FTP协议内部命令及命令参数控制策略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6</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文件同步功能</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提供专用文件同步客户端提供安全的文件同步功能</w:t>
            </w:r>
          </w:p>
          <w:p>
            <w:pPr>
              <w:pStyle w:val="67"/>
              <w:jc w:val="left"/>
              <w:rPr>
                <w:rFonts w:ascii="宋体" w:hAnsi="宋体"/>
                <w:color w:val="auto"/>
                <w:highlight w:val="none"/>
              </w:rPr>
            </w:pPr>
            <w:r>
              <w:rPr>
                <w:rFonts w:hint="eastAsia" w:ascii="宋体" w:hAnsi="宋体"/>
                <w:color w:val="auto"/>
                <w:highlight w:val="none"/>
              </w:rPr>
              <w:t>同步传输方向可控，双向或单向</w:t>
            </w:r>
          </w:p>
          <w:p>
            <w:pPr>
              <w:pStyle w:val="67"/>
              <w:jc w:val="left"/>
              <w:rPr>
                <w:rFonts w:ascii="宋体" w:hAnsi="宋体"/>
                <w:color w:val="auto"/>
                <w:highlight w:val="none"/>
              </w:rPr>
            </w:pPr>
            <w:r>
              <w:rPr>
                <w:rFonts w:hint="eastAsia" w:ascii="宋体" w:hAnsi="宋体"/>
                <w:color w:val="auto"/>
                <w:highlight w:val="none"/>
              </w:rPr>
              <w:t>支持一对多或多对一文件同步</w:t>
            </w:r>
          </w:p>
          <w:p>
            <w:pPr>
              <w:pStyle w:val="67"/>
              <w:jc w:val="left"/>
              <w:rPr>
                <w:rFonts w:ascii="宋体" w:hAnsi="宋体"/>
                <w:color w:val="auto"/>
                <w:highlight w:val="none"/>
              </w:rPr>
            </w:pPr>
            <w:r>
              <w:rPr>
                <w:rFonts w:hint="eastAsia" w:ascii="宋体" w:hAnsi="宋体"/>
                <w:color w:val="auto"/>
                <w:highlight w:val="none"/>
              </w:rPr>
              <w:t>支持文件变动实时同步、定时同步、系统资源空闲智能同步等多种同步方式</w:t>
            </w:r>
          </w:p>
          <w:p>
            <w:pPr>
              <w:pStyle w:val="67"/>
              <w:jc w:val="left"/>
              <w:rPr>
                <w:rFonts w:ascii="宋体" w:hAnsi="宋体"/>
                <w:color w:val="auto"/>
                <w:highlight w:val="none"/>
              </w:rPr>
            </w:pPr>
            <w:r>
              <w:rPr>
                <w:rFonts w:hint="eastAsia" w:ascii="宋体" w:hAnsi="宋体"/>
                <w:color w:val="auto"/>
                <w:highlight w:val="none"/>
              </w:rPr>
              <w:t>支持同步删除和同步覆盖策略配置，并能将同步删除和同步覆盖的文件备份到指定文件夹</w:t>
            </w:r>
          </w:p>
          <w:p>
            <w:pPr>
              <w:pStyle w:val="67"/>
              <w:jc w:val="left"/>
              <w:rPr>
                <w:rFonts w:ascii="宋体" w:hAnsi="宋体"/>
                <w:color w:val="auto"/>
                <w:highlight w:val="none"/>
              </w:rPr>
            </w:pPr>
            <w:r>
              <w:rPr>
                <w:rFonts w:hint="eastAsia" w:ascii="宋体" w:hAnsi="宋体"/>
                <w:color w:val="auto"/>
                <w:highlight w:val="none"/>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7</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数据库访问功能</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提供对多种主流数据库,如：MYSQL、SQLSERVER、ORACLE、DB2、SYBASE等系统的安全访问</w:t>
            </w:r>
          </w:p>
          <w:p>
            <w:pPr>
              <w:pStyle w:val="67"/>
              <w:jc w:val="left"/>
              <w:rPr>
                <w:rFonts w:ascii="宋体" w:hAnsi="宋体"/>
                <w:color w:val="auto"/>
                <w:highlight w:val="none"/>
              </w:rPr>
            </w:pPr>
            <w:r>
              <w:rPr>
                <w:rFonts w:hint="eastAsia" w:ascii="宋体" w:hAnsi="宋体"/>
                <w:color w:val="auto"/>
                <w:highlight w:val="none"/>
              </w:rPr>
              <w:t>代理、透明和路由工作模式下均支持数据库内部命令及命令参数控制策略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8</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数据库同步功能</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基于专用客户端与网闸安全连接方式，提供多种主流数据库系统如：ORACLE、SQLSERVER、MYSQL、SYBASE、DB2等之间的同步</w:t>
            </w:r>
          </w:p>
          <w:p>
            <w:pPr>
              <w:pStyle w:val="67"/>
              <w:jc w:val="left"/>
              <w:rPr>
                <w:rFonts w:ascii="宋体" w:hAnsi="宋体"/>
                <w:color w:val="auto"/>
                <w:highlight w:val="none"/>
              </w:rPr>
            </w:pPr>
            <w:r>
              <w:rPr>
                <w:rFonts w:hint="eastAsia" w:ascii="宋体" w:hAnsi="宋体"/>
                <w:color w:val="auto"/>
                <w:highlight w:val="none"/>
              </w:rPr>
              <w:t>支持达梦、人大金仓等国产数据。（提供功能截图证明）</w:t>
            </w:r>
          </w:p>
          <w:p>
            <w:pPr>
              <w:pStyle w:val="67"/>
              <w:jc w:val="left"/>
              <w:rPr>
                <w:rFonts w:ascii="宋体" w:hAnsi="宋体"/>
                <w:color w:val="auto"/>
                <w:highlight w:val="none"/>
              </w:rPr>
            </w:pPr>
            <w:r>
              <w:rPr>
                <w:rFonts w:hint="eastAsia" w:ascii="宋体" w:hAnsi="宋体"/>
                <w:color w:val="auto"/>
                <w:highlight w:val="none"/>
              </w:rPr>
              <w:t>支持二进制普通文件、图片、文本文件及BLOB大字段同步。（提供功能截图证明）</w:t>
            </w:r>
          </w:p>
          <w:p>
            <w:pPr>
              <w:pStyle w:val="67"/>
              <w:jc w:val="left"/>
              <w:rPr>
                <w:rFonts w:ascii="宋体" w:hAnsi="宋体"/>
                <w:color w:val="auto"/>
                <w:highlight w:val="none"/>
              </w:rPr>
            </w:pPr>
            <w:r>
              <w:rPr>
                <w:rFonts w:hint="eastAsia" w:ascii="宋体" w:hAnsi="宋体"/>
                <w:color w:val="auto"/>
                <w:highlight w:val="none"/>
              </w:rPr>
              <w:t>支持数据一对一、一对多、多对多的单向或双向交换和同步</w:t>
            </w:r>
          </w:p>
          <w:p>
            <w:pPr>
              <w:pStyle w:val="67"/>
              <w:jc w:val="left"/>
              <w:rPr>
                <w:rFonts w:ascii="宋体" w:hAnsi="宋体"/>
                <w:color w:val="auto"/>
                <w:highlight w:val="none"/>
              </w:rPr>
            </w:pPr>
            <w:r>
              <w:rPr>
                <w:rFonts w:hint="eastAsia" w:ascii="宋体" w:hAnsi="宋体"/>
                <w:color w:val="auto"/>
                <w:highlight w:val="none"/>
              </w:rPr>
              <w:t>支持数据库实时同步或定时同步的策略定义</w:t>
            </w:r>
          </w:p>
          <w:p>
            <w:pPr>
              <w:pStyle w:val="67"/>
              <w:jc w:val="left"/>
              <w:rPr>
                <w:rFonts w:ascii="宋体" w:hAnsi="宋体"/>
                <w:color w:val="auto"/>
                <w:highlight w:val="none"/>
              </w:rPr>
            </w:pPr>
            <w:r>
              <w:rPr>
                <w:rFonts w:hint="eastAsia" w:ascii="宋体" w:hAnsi="宋体"/>
                <w:color w:val="auto"/>
                <w:highlight w:val="none"/>
              </w:rPr>
              <w:t>数据库同步传输不使用通用数据库服务端口例如1433、1521、3306等，保障数据库同步传输的安全性</w:t>
            </w:r>
          </w:p>
          <w:p>
            <w:pPr>
              <w:pStyle w:val="67"/>
              <w:jc w:val="left"/>
              <w:rPr>
                <w:rFonts w:ascii="宋体" w:hAnsi="宋体"/>
                <w:color w:val="auto"/>
                <w:highlight w:val="none"/>
              </w:rPr>
            </w:pPr>
            <w:r>
              <w:rPr>
                <w:rFonts w:hint="eastAsia" w:ascii="宋体" w:hAnsi="宋体"/>
                <w:color w:val="auto"/>
                <w:highlight w:val="none"/>
              </w:rPr>
              <w:t>支持灵活的数据冲突检测机制，当同步的数据记录发成冲突时，可以灵活处理出现冲突的数据记录</w:t>
            </w:r>
          </w:p>
          <w:p>
            <w:pPr>
              <w:pStyle w:val="67"/>
              <w:jc w:val="left"/>
              <w:rPr>
                <w:rFonts w:ascii="宋体" w:hAnsi="宋体"/>
                <w:color w:val="auto"/>
                <w:highlight w:val="none"/>
              </w:rPr>
            </w:pPr>
            <w:r>
              <w:rPr>
                <w:rFonts w:hint="eastAsia" w:ascii="宋体" w:hAnsi="宋体"/>
                <w:color w:val="auto"/>
                <w:highlight w:val="none"/>
              </w:rPr>
              <w:t>数据库同步高可靠性，即使发生网络故障，已变化数据也不会丢失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9</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管理配置</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管理采用C/S架构专有协议管理，网闸管理口无IP地址，管理主机也不必设置IP即可搜索到设备，管理设备，支持设备集中管理（提供功能截图证明）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10</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日志审计</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支持对所有访问进行日志记录，包括系统事件、成功事件、报警事件提供对日志信息的浏览、查询、删除、下载等多种操作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76"/>
                <w:rFonts w:hint="default"/>
                <w:color w:val="auto"/>
                <w:sz w:val="21"/>
                <w:szCs w:val="21"/>
                <w:highlight w:val="none"/>
              </w:rPr>
            </w:pPr>
            <w:r>
              <w:rPr>
                <w:rFonts w:hint="eastAsia" w:ascii="宋体" w:hAnsi="宋体"/>
                <w:color w:val="auto"/>
                <w:sz w:val="21"/>
                <w:szCs w:val="21"/>
                <w:highlight w:val="none"/>
              </w:rPr>
              <w:t>11</w:t>
            </w:r>
          </w:p>
        </w:tc>
        <w:tc>
          <w:tcPr>
            <w:tcW w:w="1469" w:type="dxa"/>
            <w:tcBorders>
              <w:top w:val="single" w:color="auto" w:sz="6" w:space="0"/>
              <w:left w:val="nil"/>
              <w:bottom w:val="single" w:color="auto" w:sz="6" w:space="0"/>
              <w:right w:val="single" w:color="auto" w:sz="6" w:space="0"/>
            </w:tcBorders>
            <w:vAlign w:val="center"/>
          </w:tcPr>
          <w:p>
            <w:pPr>
              <w:pStyle w:val="67"/>
              <w:jc w:val="left"/>
              <w:rPr>
                <w:color w:val="auto"/>
                <w:highlight w:val="none"/>
              </w:rPr>
            </w:pPr>
            <w:r>
              <w:rPr>
                <w:rFonts w:hint="eastAsia" w:ascii="宋体" w:hAnsi="宋体"/>
                <w:color w:val="auto"/>
                <w:highlight w:val="none"/>
              </w:rPr>
              <w:t>产品资质</w:t>
            </w:r>
          </w:p>
        </w:tc>
        <w:tc>
          <w:tcPr>
            <w:tcW w:w="7379" w:type="dxa"/>
            <w:tcBorders>
              <w:top w:val="single" w:color="auto" w:sz="6" w:space="0"/>
              <w:left w:val="nil"/>
              <w:bottom w:val="single" w:color="auto" w:sz="6" w:space="0"/>
              <w:right w:val="single" w:color="auto" w:sz="6" w:space="0"/>
            </w:tcBorders>
            <w:vAlign w:val="center"/>
          </w:tcPr>
          <w:p>
            <w:pPr>
              <w:pStyle w:val="67"/>
              <w:jc w:val="left"/>
              <w:rPr>
                <w:rFonts w:ascii="宋体" w:hAnsi="宋体"/>
                <w:color w:val="auto"/>
                <w:highlight w:val="none"/>
              </w:rPr>
            </w:pPr>
            <w:r>
              <w:rPr>
                <w:rFonts w:hint="eastAsia" w:ascii="宋体" w:hAnsi="宋体"/>
                <w:color w:val="auto"/>
                <w:highlight w:val="none"/>
              </w:rPr>
              <w:t>具备信息安全认证中心中国国家信息安全产品认证证书</w:t>
            </w:r>
          </w:p>
        </w:tc>
      </w:tr>
    </w:tbl>
    <w:p>
      <w:pPr>
        <w:rPr>
          <w:rFonts w:ascii="宋体" w:hAnsi="宋体"/>
          <w:color w:val="auto"/>
          <w:szCs w:val="28"/>
          <w:highlight w:val="none"/>
        </w:rPr>
      </w:pPr>
      <w:r>
        <w:rPr>
          <w:rFonts w:hint="eastAsia" w:ascii="宋体" w:hAnsi="宋体"/>
          <w:color w:val="auto"/>
          <w:highlight w:val="none"/>
        </w:rPr>
        <w:t xml:space="preserve"> </w:t>
      </w:r>
    </w:p>
    <w:p>
      <w:pPr>
        <w:pStyle w:val="5"/>
        <w:rPr>
          <w:color w:val="auto"/>
          <w:highlight w:val="none"/>
        </w:rPr>
      </w:pPr>
      <w:r>
        <w:rPr>
          <w:rFonts w:hint="eastAsia"/>
          <w:color w:val="auto"/>
          <w:highlight w:val="none"/>
        </w:rPr>
        <w:t>存储备份一体机</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74"/>
        <w:gridCol w:w="1693"/>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2567"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指标项</w:t>
            </w:r>
          </w:p>
        </w:tc>
        <w:tc>
          <w:tcPr>
            <w:tcW w:w="6229"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szCs w:val="21"/>
                <w:highlight w:val="none"/>
              </w:rPr>
            </w:pPr>
            <w:r>
              <w:rPr>
                <w:rFonts w:hint="eastAsia" w:ascii="宋体" w:hAnsi="宋体"/>
                <w:color w:val="auto"/>
                <w:highlight w:val="none"/>
              </w:rPr>
              <w:t>1</w:t>
            </w:r>
          </w:p>
        </w:tc>
        <w:tc>
          <w:tcPr>
            <w:tcW w:w="874"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硬件要求</w:t>
            </w: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处理器</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不低于1*XEON E3-1230 V5（2.4G/6核12线程）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硬盘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配置至少支持4个硬盘槽位配置4T企业级SATA。1*240GSSD用于系统安装，不占用外部存储槽位支持在线扩容，可通过后期在线添加磁盘和扩展磁盘柜的方式，进行备份介质容量的增加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内存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不少于8GB RAM，最大可扩容64GB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网络接口</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不少于2个千兆网络端口，网络端口都可用且可分配不同的备份任务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2</w:t>
            </w:r>
          </w:p>
        </w:tc>
        <w:tc>
          <w:tcPr>
            <w:tcW w:w="874"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保护功能</w:t>
            </w: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平台兼容性</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支持Windows、Linux、UNIX、AIX、Solaris、 HP-UX等主流操作系统，以及龙芯、飞腾架构下中标麒麟、银河麒麟等自主可控操作系统，提供自主可控操作系统互认证证书复印件，并加盖公章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支持在天津飞腾自研FT-1500A芯片系列的硬件平台上部署备份服务，提供产品的兼容性认证证书复印件，并加盖公章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支持在华为自研的高性能低功耗ARM架构64位处理器的服务器上部署备份服务，提供产品的兼容互认证证书复印件，并加盖公章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平台安全性</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基于linux的备份存储专用系统，支持https方式登录，确保登录安全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文件保护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支持在同一文件备份作业中采用多通道并发备份，提高备份和恢复的速度。（提供产品功能截图）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文件执行完全备份后的备份集，无需还原数据，直接通过挂载方式实现即时恢复。（提供产品功能截图）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支持文件合成备份，合成数据通过挂载方式实现即时恢复（提供产品功能截图）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分布式文件保护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支持Hadoop 分布式文件系统（HDFS）的文件备份（完全备份、增量备份、合成备份）与恢复。（提供产品功能截图）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操作系统保护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支持linux 和windows操作系统的备份及异机恢复，支持操作系统备份与恢复的UEFI引导方式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操作系统恢复过程中提供驱动程序更换界面，允许客户针对不同的驱动程序做调整。（提供产品功能截图）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支持基于龙芯3A/3B、飞腾1000/1500架构上的操作系统备份以及基于龙芯3A/3B的裸机恢复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支持把Windows 操作系统的备份数据直接生成为VMWare、KVM、H3C CAS等虚拟平台支持数据，通过挂载方式实现即时恢复。（提供产品功能截图）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数据库应用保护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支持主流的数据库备份恢复，包括但不限于Oracle、 SQL Server、MySQL、Sybase、DB2、Informix、PostgreSQL、MongoDB、Exchange、SharePoint、Domino等主流数据库应用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MySQL的逻辑备份和物理备份（完全备份、增量备份、日志备份、连续日志备份），通过物理备份实现对数据库的热备份。支持MySQL基于物理备份的备份数据（非CDP备份数据），实现任意时间点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支持采用ON-Bar方式实现对Informix的任意时间点备份/恢复，并支持自动配置ON-Bar的相关配置文件，以及设置自动日志备份。（提供产品功能截图）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支持国产主流的数据备份恢复，包括但不限于达梦（DM）、人大金仓（kingbase）、南大通用（GBase）、神州通用（ShenTong）等数据库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支持Oracle单个表和多个表在不同时间点上的恢复、支持对Exchange单邮件恢复；（提供产品功能截图）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支持对Oracle的日志进行详细解析，可以查看每条日志数据的实际执行内容，包括：时间、 SCN、 用户名、 表名、 操作类型、 SQL 语句等。在数据恢复作业中可以选择准确的SCN来确定数据恢复点。（提供产品功能截图）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针对Oracle中已经提交的事务，根据日志解析后得到的SQL语句，创建撤销处理，把数据回滚到事务提交前的状态。（提供产品功能截图）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支持对Oracle、MySQL的日志文件采用连续日志备份方式，持续监控日志文件的变化情况，即时把新增日志的数据块进行备份，实现对数据库变化数据达到秒级以内的备份保护。（提供产品功能截图）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支持Oracle、SQL Server、MySQL等合成备份，不用周期性执行全量备份，只需把增量数据合并到已存储的全量数据，就可生成新的全量数据，合成后的备份数据通过挂载方式实现即时恢复，极大缩短数据恢复的时间窗口。（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支持Oracle数据库的逻辑备份，以非脚本方式实现导入/导出功能（提供产品功能截图）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产品必须支持Oracle RAC 在内的多种集群环境的数据备份，支持RAC集群环境向备用机的恢复，只需通过web向导界面即可完成配置，无须手工修改rman脚本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 SQL Server Always On Availability Groups 的备份和恢复。（提供产品功能截图）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在同一DB2的作业配置中，支持自定义配置多通道并行数据传输，提升数据备份或恢复效率。（提供产品功能截图）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在作业配置向导界面中提供时间导轨滚动条，通过拉动滚动条，提供以秒为进度单位来选定恢复时间点，实现数据库可以在任意时间点上的恢复。（提供产品功能截图）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3</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实时保护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支持CDP实时容灾功能，可实现秒级内的数据实时容灾。在恢复时支持通过挂载方式实现任意时间点的即时恢复（提供产品功能截图）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数据库采用基于应用层（非物理IO同步方式）数据同步技术实现业务容灾，支持主从切换、继续同步等灵活功能。容灾主机可在线激活，承担业务数据查询等功能，并能够继续同步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 Oracle RAC 在内的多种集群环境下的数据库主备切换、应用接管。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4</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云平台保护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支持VMware、Hyper-V、Xenserver、Xen、KVM、FusionSphere、H3C CAS、OpenStack、CNware等虚拟机的备份恢复（不能采用guest host 操作系统备份恢复方式）。（提供产品功能截图）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针对Vmware、Hyper-V、H3C CAS等虚拟化平台，支持通过挂载方式实现虚拟机的即时恢复。（提供产品功能截图）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Vmware平台虚拟机备份，恢复时可恢复虚拟机网络标签及IP地址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支持VMWare策略化配置合成备份。（提供产品功能截图）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支持备份产品和VMWare vCenter平台信息联动，在VMWare vCenter的管理界面上可以直接查看备份产品中虚拟机备份任务的状态。（提供产品功能截图）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支持KVM、H3C CAS、XenServer、CNware等虚拟平台下虚拟机的差异备份。（提供产品功能截图）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5</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高可用支持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可支持共享型存储和镜像型存储的高可用集群，可支持一主多备模式集群（提供产品功能截图）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6</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重复数据删除</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支持固定块、变长块的数据重删技术，在创建重删存储空间时，需要提供变长和固定数据的数据块大小选择。（提供产品功能截图）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支持对操作系统、文件、各种数据库与虚拟机等备份集的重复数据删除功能。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7</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远程复制</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支持catalog、备份集等备份数据的异地容灾，即通过异地存储的备份数据，对本地、异地中备份服务器、存储服务器、代理端等设备，实现在本机或异机上进行恢复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支持备份任务执行时，采用接龙式的点到点复制方式，实现备份集在存储服务器中的多份同步复制，避免源端服务器在备份集进行1对多并发复制时造成的占用多倍传输资源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8</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磁带支持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支持LAN-free备份架构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提供对文件、操作系统、数据库、应用软件、虚拟化的备份保护，支持D2T和D2D2T模式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9</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数据加密</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支持AES、Blowfish等加密算法。对于AES加密需要支持选择不同密钥长度，以便用户根据源端计算资源情况选择合适的数据加密处理。（提供产品功能截图）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10</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云端备份</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基于对象存储技术，支持采用D2C方式，把本地数据备份到云平台，实现本地与云端数据的协同保护，云平台包括但不限于：亚马逊云、阿里云、微软云、百度云、腾讯云、华为云、新浪云、天翼云、金山云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11</w:t>
            </w:r>
          </w:p>
        </w:tc>
        <w:tc>
          <w:tcPr>
            <w:tcW w:w="874"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可用性</w:t>
            </w: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可用性验证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支持对Oracle、SQL Server、MySQL、DB2、PostgreSQL、Informix、Sybase、达梦、Kingbase、Gbase、Domino等主流数据库的备份集进行定时容灾演练，以此检验备份集的可用性。（提供产品功能截图）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12</w:t>
            </w:r>
          </w:p>
        </w:tc>
        <w:tc>
          <w:tcPr>
            <w:tcW w:w="874"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可管理性</w:t>
            </w: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管理方式</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采用先进的运维管理架构，平台同时兼容备份、CDP、高可用、数据库同步等功能要求，所有功能的管理和监控，都在备份软件中采用同一可视化界面实现。（提供产品功能截图）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智能报表，能够自定义报表。自主选择字段来源以及需要显示的字段等，并能够自定义新字段。支持筛选，排序等动作。（提供产品功能截图）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支持自定义启动需要审批的业务流程，包括创建存储空间、创建备份作业、创建恢复作业等，对需要审批的业务提供审批流程管理。（提供产品功能截图）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支持同一存储空间中通过添加多个存储（介质）服务器，把存储容量进行合并，达到备份数据存储空间的平滑扩展。（提供产品功能截图）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支持对存储大小、主机、资源、作业速度、作业耗时等备份相关资源进行图形统计，并根据存储使用趋势提供存储空间的使用建议。（提供产品功能截图）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告警方式</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支持以邮件告警的方式，针对于备份存储系统的硬件故障、软件故障等等信息及时通知管理员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trPr>
        <w:tc>
          <w:tcPr>
            <w:tcW w:w="832" w:type="dxa"/>
            <w:vMerge w:val="restart"/>
            <w:tcBorders>
              <w:top w:val="nil"/>
              <w:left w:val="single" w:color="auto" w:sz="4" w:space="0"/>
              <w:bottom w:val="single" w:color="auto" w:sz="4" w:space="0"/>
              <w:right w:val="single" w:color="auto" w:sz="4" w:space="0"/>
            </w:tcBorders>
            <w:vAlign w:val="center"/>
          </w:tcPr>
          <w:p>
            <w:pPr>
              <w:pStyle w:val="67"/>
              <w:jc w:val="center"/>
              <w:rPr>
                <w:rFonts w:ascii="宋体" w:hAnsi="宋体"/>
                <w:color w:val="auto"/>
                <w:highlight w:val="none"/>
              </w:rPr>
            </w:pPr>
            <w:r>
              <w:rPr>
                <w:rFonts w:hint="eastAsia" w:ascii="宋体" w:hAnsi="宋体"/>
                <w:color w:val="auto"/>
                <w:highlight w:val="none"/>
              </w:rPr>
              <w:t>13</w:t>
            </w:r>
          </w:p>
        </w:tc>
        <w:tc>
          <w:tcPr>
            <w:tcW w:w="874"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资质</w:t>
            </w: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产品资质证书</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 </w:t>
            </w:r>
          </w:p>
          <w:p>
            <w:pPr>
              <w:pStyle w:val="67"/>
              <w:rPr>
                <w:rFonts w:ascii="宋体" w:hAnsi="宋体"/>
                <w:color w:val="auto"/>
                <w:highlight w:val="none"/>
              </w:rPr>
            </w:pPr>
            <w:r>
              <w:rPr>
                <w:rFonts w:hint="eastAsia" w:ascii="宋体" w:hAnsi="宋体"/>
                <w:color w:val="auto"/>
                <w:highlight w:val="none"/>
              </w:rPr>
              <w:t xml:space="preserve">  投标产品必须具有国家保密科技测评中心颁发的《涉密信息系统产品检测证书》（提供证书复印件）</w:t>
            </w:r>
          </w:p>
          <w:p>
            <w:pPr>
              <w:pStyle w:val="67"/>
              <w:rPr>
                <w:rFonts w:ascii="宋体" w:hAnsi="宋体"/>
                <w:color w:val="auto"/>
                <w:highlight w:val="none"/>
              </w:rPr>
            </w:pPr>
            <w:r>
              <w:rPr>
                <w:rFonts w:hint="eastAsia" w:ascii="宋体" w:hAnsi="宋体"/>
                <w:color w:val="auto"/>
                <w:highlight w:val="none"/>
              </w:rPr>
              <w:t xml:space="preserve"> 投标产品必须具有中国信息安全认证中心颁发的《中国国家信息安全产品认证证书》（提供复印件）</w:t>
            </w:r>
          </w:p>
          <w:p>
            <w:pPr>
              <w:pStyle w:val="67"/>
              <w:rPr>
                <w:rFonts w:ascii="宋体" w:hAnsi="宋体"/>
                <w:color w:val="auto"/>
                <w:highlight w:val="none"/>
              </w:rPr>
            </w:pPr>
            <w:r>
              <w:rPr>
                <w:rFonts w:hint="eastAsia" w:ascii="宋体" w:hAnsi="宋体"/>
                <w:color w:val="auto"/>
                <w:highlight w:val="none"/>
              </w:rPr>
              <w:t xml:space="preserve"> 投标产品必须具有国家版权局颁发的软件著作权证书。（提供证书复印件）</w:t>
            </w:r>
          </w:p>
          <w:p>
            <w:pPr>
              <w:pStyle w:val="67"/>
              <w:rPr>
                <w:rFonts w:ascii="宋体" w:hAnsi="宋体"/>
                <w:color w:val="auto"/>
                <w:highlight w:val="none"/>
              </w:rPr>
            </w:pPr>
            <w:r>
              <w:rPr>
                <w:rFonts w:hint="eastAsia" w:ascii="宋体" w:hAnsi="宋体"/>
                <w:color w:val="auto"/>
                <w:highlight w:val="none"/>
              </w:rPr>
              <w:t xml:space="preserve"> 提供商用密码产品生产定点单位证书（提供证书复印件）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操作系统认证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投标产品中内置操作系统部件需要得到操作系统厂商的认证，要求提供官网截图加盖公章，并在官网可查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节能认证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备份容灾产品具有中国质量认证中心颁发的《中国节能产品认证证书》 </w:t>
            </w:r>
          </w:p>
          <w:p>
            <w:pPr>
              <w:pStyle w:val="67"/>
              <w:rPr>
                <w:rFonts w:ascii="宋体" w:hAnsi="宋体"/>
                <w:color w:val="auto"/>
                <w:highlight w:val="none"/>
              </w:rPr>
            </w:pPr>
            <w:r>
              <w:rPr>
                <w:rFonts w:hint="eastAsia" w:ascii="宋体" w:hAnsi="宋体"/>
                <w:color w:val="auto"/>
                <w:highlight w:val="none"/>
              </w:rPr>
              <w:t>备份容灾产品列入中国政府采购网节能产品政府采购清单（提供官网下载链接以及清单截图并加盖公章）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商标注册</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 xml:space="preserve">为了核实投标产品是正版产品，投标产品需具有商标局颁发的《商标注册证》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项目人员认证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供应商必须具有3名以上获得工信部容灾备份管理师证书的工程师；提供用工合同证明和管理师证书的扫描件或复印件，以保证项目的顺利实施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restart"/>
            <w:tcBorders>
              <w:top w:val="nil"/>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产品兼容认证</w:t>
            </w: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为保障项目投资，投标产品应获得国产数据库（南大通用、神舟通用、人大金仓、达梦、星瑞格）、国产操作系统（中标麒麟、银河麒麟、红旗Linux、深度、浪潮、普华）、国产云平台（华为FusionSphere、华三CAS、EasyStack ECS、云宏CNware）、国产服务器（中科曙光、龙芯、天津飞腾、华为ARM）等国产产品及厂商的认证证书，需提供证书复印件，并加盖公章，满足后续国产化要求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投标产品通过Oracle 公司颁发的BSP资质认证，要求提供Oracle官网截图加盖公章，并在Oracle官网可查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投标产品通过 VMware Ready Application Software 的认证，要求提供VMware官网截图加盖公章，并在VMware官网可查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6229"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投标产品通过 Citrix Ready 的认证，要求提供 Citrix 官网截图加盖公章，并在 Citrix 官网可查</w:t>
            </w:r>
          </w:p>
        </w:tc>
      </w:tr>
    </w:tbl>
    <w:p>
      <w:pPr>
        <w:ind w:firstLine="480"/>
        <w:rPr>
          <w:color w:val="auto"/>
          <w:szCs w:val="28"/>
          <w:highlight w:val="none"/>
        </w:rPr>
      </w:pPr>
      <w:r>
        <w:rPr>
          <w:rFonts w:hint="eastAsia"/>
          <w:color w:val="auto"/>
          <w:highlight w:val="none"/>
        </w:rPr>
        <w:t xml:space="preserve"> </w:t>
      </w:r>
    </w:p>
    <w:p>
      <w:pPr>
        <w:pStyle w:val="5"/>
        <w:rPr>
          <w:color w:val="auto"/>
          <w:highlight w:val="none"/>
        </w:rPr>
      </w:pPr>
      <w:r>
        <w:rPr>
          <w:rFonts w:hint="eastAsia"/>
          <w:color w:val="auto"/>
          <w:highlight w:val="none"/>
        </w:rPr>
        <w:t>防病毒软件</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47"/>
        <w:gridCol w:w="8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847"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b/>
                <w:bCs/>
                <w:color w:val="auto"/>
                <w:szCs w:val="21"/>
                <w:highlight w:val="none"/>
              </w:rPr>
            </w:pPr>
            <w:r>
              <w:rPr>
                <w:rFonts w:hint="eastAsia" w:ascii="宋体" w:hAnsi="宋体"/>
                <w:b/>
                <w:bCs/>
                <w:color w:val="auto"/>
                <w:highlight w:val="none"/>
              </w:rPr>
              <w:t>指标项</w:t>
            </w: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67"/>
              <w:ind w:firstLine="361"/>
              <w:jc w:val="center"/>
              <w:rPr>
                <w:rFonts w:ascii="宋体" w:hAnsi="宋体"/>
                <w:b/>
                <w:bCs/>
                <w:color w:val="auto"/>
                <w:highlight w:val="none"/>
              </w:rPr>
            </w:pPr>
            <w:r>
              <w:rPr>
                <w:rFonts w:hint="eastAsia" w:ascii="宋体" w:hAnsi="宋体"/>
                <w:b/>
                <w:bCs/>
                <w:color w:val="auto"/>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847" w:type="dxa"/>
            <w:vMerge w:val="restart"/>
            <w:tcBorders>
              <w:top w:val="nil"/>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安装部署</w:t>
            </w: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w:t>
            </w:r>
          </w:p>
          <w:p>
            <w:pPr>
              <w:pStyle w:val="67"/>
              <w:rPr>
                <w:rFonts w:ascii="宋体" w:hAnsi="宋体"/>
                <w:color w:val="auto"/>
                <w:highlight w:val="none"/>
              </w:rPr>
            </w:pPr>
            <w:r>
              <w:rPr>
                <w:rFonts w:hint="eastAsia" w:ascii="宋体" w:hAnsi="宋体"/>
                <w:color w:val="auto"/>
                <w:highlight w:val="none"/>
              </w:rPr>
              <w:t>客户端默认支持WindowsXP/VISTA/WIN7/WIN8/WIN10，含三年升级许可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客户端资源占用应小于50MB，有效节省终端资源使用率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至少支持WindowsXP、Windows 7、Windows 8、Windows 10等32位/64位操作系统，同时并支持Windows2003、Windows2008、Windows2012等32位/64位服务器操作系统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847" w:type="dxa"/>
            <w:vMerge w:val="restart"/>
            <w:tcBorders>
              <w:top w:val="nil"/>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管理控制</w:t>
            </w: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全网威胁统计分析管理控制台可直观的展示病毒趋势统计、终端信息、病毒类型排行、病毒排行、终端危险排行等统计情况。并随时对网络中病毒发生的情况进行查询统计，能按时间、按IP地址、机器名、按病毒名称、病毒类型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管理控制台支持实时显示客户端的状态，包括机器名称、IP地址、mac地址、操作系统、显卡信息、内存大小、连接状态、监控状态、当前版本信息和物理位置等信息。（提供功能截图证明）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支持对防病毒客户端进行分组，根据不同的组别可以设定不同的策略和执行不同的任务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支持对全网进行集中的管理和任务下发，可以通过控制台立即给客户端发送命令，包括立即杀毒、立即升级、关机、重启、显示消息等，而不需要通过建立策略方式实现，从而简化和方便了管理员的管理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管理控制台支持通知客户端立即升级、强制更新、客户端主动升级等方式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支持客户端防删功能，能够防止客户端在未经管理员允许情况下强行卸载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67"/>
              <w:rPr>
                <w:rFonts w:ascii="宋体" w:hAnsi="宋体"/>
                <w:color w:val="auto"/>
                <w:highlight w:val="none"/>
              </w:rPr>
            </w:pPr>
            <w:r>
              <w:rPr>
                <w:rFonts w:hint="eastAsia" w:ascii="宋体" w:hAnsi="宋体"/>
                <w:color w:val="auto"/>
                <w:highlight w:val="none"/>
              </w:rPr>
              <w:t>支持客户端未开机的全网查杀策略设置，在客户端下次启动时策略补做功能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支持分级管理及多管理员权限划分，如：超级管理员，操作管理员。同时管理控制台支持自定义管理员权限设定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管理控制台支持对客户端的系统操作行为进行记录功能，便于管理员对用户操作审查和分析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支持客户端威胁日志信息上报统计功能，包含终端危险排行统计、防御类型分布统计、病毒类型分布统计、病毒排行统计等，支持图表显示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报表内容必须包括御类型分析、病毒类型分析、病毒排行、终端杀毒排行、病毒趋势统计、黑客拦截、对外攻击分析。支持威胁Top10、Top20、Top30排行。（提供功能截图证明）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报表应该可以通过表格以及图形方式进行展现，支持将生成的报表以Excel、word、HTML、PDF等通用格式输出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支持按日、周、月定期推送报表功能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控制台支持恶意网站拦截、浏览器保护、恶意行为、文件保护、下载保护、黑客拦截、系统加固、U盘防护、邮件监控、白名单等策略下发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管理控制台支持预制策略功能，保障新安装客户端自动应用组策略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847" w:type="dxa"/>
            <w:vMerge w:val="restart"/>
            <w:tcBorders>
              <w:top w:val="nil"/>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highlight w:val="none"/>
              </w:rPr>
              <w:t>客户端防护</w:t>
            </w: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至少支持对终端电脑内部文件进行全盘扫描、快速扫描，自定义扫描三种扫描能力。并具备空闲查杀、异步查杀、断点查杀、后台查杀等功能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支持扫描和清除各种广告软件、恶意插件、隐蔽软件、黑客工具、风险程序等等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支持Office/IE/Lotus Notes等嵌入杀毒；支持用户添加嵌入杀毒的应用程序；支持MSN Messenger、AOL Messenger、FlashGet、NetAnts、NetVampire、WinZip、WellGet、WinRAR等工具的嵌入式杀毒功能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支持未知病毒、恶意代码的防范能力，支持基于行为的检测和防护技术：针对未知恶意威胁具有行为评分能力，智能识别蠕虫木马，无需提示用户操作判断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支持病毒查杀时目录排出功能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支持U盘扫描检查功能，防止病毒通过U盘在终端传播有效保护终端不受病毒侵扰。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支持对网页进行病毒、木马进行监测及防护，对可能产生威胁的网页进行提示或屏蔽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支持客户端对外攻击检测，防止用户终端感染病毒后的对外对外攻击行为，避免用户的利益受到损害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能够实时监控和清除来自各种途径的病毒、木马、恶意程序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支持对终端内文件、邮件、网页一体化实时监控，防止病毒运行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支持基于SMTP/POP3协议的邮件监控，包括如：Outlook、Outlook Express、foxmail、DreamMail等邮件客户端的防（杀）病毒。（提供功能截图证明）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8003" w:type="dxa"/>
            <w:tcBorders>
              <w:top w:val="single" w:color="auto" w:sz="4" w:space="0"/>
              <w:left w:val="nil"/>
              <w:bottom w:val="single" w:color="auto" w:sz="4" w:space="0"/>
              <w:right w:val="single" w:color="auto" w:sz="4" w:space="0"/>
            </w:tcBorders>
          </w:tcPr>
          <w:p>
            <w:pPr>
              <w:pStyle w:val="67"/>
              <w:rPr>
                <w:rFonts w:ascii="宋体" w:hAnsi="宋体"/>
                <w:color w:val="auto"/>
                <w:highlight w:val="none"/>
              </w:rPr>
            </w:pPr>
            <w:r>
              <w:rPr>
                <w:rFonts w:hint="eastAsia" w:ascii="宋体" w:hAnsi="宋体"/>
                <w:color w:val="auto"/>
                <w:highlight w:val="none"/>
              </w:rPr>
              <w:t>支持可疑文件上报功能，如果用户觉得某个文件比较可疑，可将此文件上报给病毒管控中心进行检查分析和处理，并将情报全网共享。（提供功能截图证明）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847" w:type="dxa"/>
            <w:tcBorders>
              <w:top w:val="single" w:color="auto" w:sz="4" w:space="0"/>
              <w:left w:val="nil"/>
              <w:bottom w:val="single" w:color="auto" w:sz="4" w:space="0"/>
              <w:right w:val="single" w:color="auto" w:sz="4" w:space="0"/>
            </w:tcBorders>
            <w:vAlign w:val="center"/>
          </w:tcPr>
          <w:p>
            <w:pPr>
              <w:pStyle w:val="67"/>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highlight w:val="none"/>
              </w:rPr>
              <w:t>产品资质</w:t>
            </w:r>
          </w:p>
        </w:tc>
        <w:tc>
          <w:tcPr>
            <w:tcW w:w="8003" w:type="dxa"/>
            <w:tcBorders>
              <w:top w:val="single" w:color="auto" w:sz="4" w:space="0"/>
              <w:left w:val="nil"/>
              <w:bottom w:val="single" w:color="auto" w:sz="4" w:space="0"/>
              <w:right w:val="single" w:color="auto" w:sz="4" w:space="0"/>
            </w:tcBorders>
            <w:vAlign w:val="center"/>
          </w:tcPr>
          <w:p>
            <w:pPr>
              <w:pStyle w:val="67"/>
              <w:rPr>
                <w:rFonts w:ascii="宋体" w:hAnsi="宋体"/>
                <w:color w:val="auto"/>
                <w:highlight w:val="none"/>
              </w:rPr>
            </w:pPr>
            <w:r>
              <w:rPr>
                <w:rFonts w:hint="eastAsia" w:ascii="宋体" w:hAnsi="宋体"/>
                <w:color w:val="auto"/>
                <w:highlight w:val="none"/>
              </w:rPr>
              <w:t>1.具备公安部颁发的《计算机信息系统安全专用产品销售许可证(一级)》</w:t>
            </w:r>
          </w:p>
          <w:p>
            <w:pPr>
              <w:pStyle w:val="67"/>
              <w:rPr>
                <w:rFonts w:ascii="宋体" w:hAnsi="宋体"/>
                <w:color w:val="auto"/>
                <w:highlight w:val="none"/>
              </w:rPr>
            </w:pPr>
            <w:r>
              <w:rPr>
                <w:rFonts w:hint="eastAsia" w:ascii="宋体" w:hAnsi="宋体"/>
                <w:color w:val="auto"/>
                <w:highlight w:val="none"/>
              </w:rPr>
              <w:t>2.具备国家版权局颁发的《计算机软件著作权登记证书》</w:t>
            </w:r>
          </w:p>
        </w:tc>
      </w:tr>
    </w:tbl>
    <w:p>
      <w:pPr>
        <w:ind w:firstLine="480"/>
        <w:rPr>
          <w:color w:val="auto"/>
          <w:szCs w:val="28"/>
          <w:highlight w:val="none"/>
        </w:rPr>
      </w:pPr>
      <w:r>
        <w:rPr>
          <w:rFonts w:hint="eastAsia"/>
          <w:color w:val="auto"/>
          <w:highlight w:val="none"/>
        </w:rPr>
        <w:t xml:space="preserve"> </w:t>
      </w:r>
    </w:p>
    <w:p>
      <w:pPr>
        <w:pStyle w:val="4"/>
        <w:rPr>
          <w:color w:val="auto"/>
          <w:highlight w:val="none"/>
        </w:rPr>
      </w:pPr>
      <w:r>
        <w:rPr>
          <w:rFonts w:hint="eastAsia"/>
          <w:color w:val="auto"/>
          <w:highlight w:val="none"/>
        </w:rPr>
        <w:t>人工智能在线监测平台</w:t>
      </w:r>
    </w:p>
    <w:p>
      <w:pPr>
        <w:pStyle w:val="5"/>
        <w:rPr>
          <w:color w:val="auto"/>
          <w:highlight w:val="none"/>
        </w:rPr>
      </w:pPr>
      <w:r>
        <w:rPr>
          <w:rFonts w:hint="eastAsia"/>
          <w:color w:val="auto"/>
          <w:highlight w:val="none"/>
        </w:rPr>
        <w:t>环保人工智能监测系统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应用软件系统，可实现数据采集、运行状况判定、设备参数分析、异常报警、数据查询、运行统计、远程控制、基础设置、视频回放等功能。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72"/>
        <w:gridCol w:w="1271"/>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127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c>
          <w:tcPr>
            <w:tcW w:w="6880"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772"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首页</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报警列表</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系统需要能够默认显示级别最高、时间最新的任务报警信息。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统计数据</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系统需要能够显示维护执行率，维护合格率，传输合格率，报警总数，报警分类图。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地图</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系统需要能够在地图上显示站点名称、状态，点击站点，可进入单站点信息查询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772"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单站详情</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运行状态</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系统需要能够以图标的形式实时显示摄像头、数采仪、监测设备的实时状态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因子数据</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系统需要可以查看实时数据，显示包括因子编码、因子名称、采集状态、采集值、单位、采集时间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状态管控</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系统需要可以查看实时参数以及历史参数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辅助维护</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辅助维护</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系统需要通过对监测区域内视频流的分析，根据确定的维护清单，全程监控维护人员的日常维护，自动判别少做，漏做、错做等违规维护行为并实时记录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违规分析</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违规分析</w:t>
            </w:r>
          </w:p>
        </w:tc>
        <w:tc>
          <w:tcPr>
            <w:tcW w:w="688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通过对监测区域内视频流的分析，全程监控区域内人员行为，对于现场人员行为与造假行为库动作进行匹配，当进行造假行为时进行实时记录和报警。对于非维护人员触碰设备，对损坏、偷盗行为，对非授权人员闯入行为，进行智能识别、实时记录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772" w:type="dxa"/>
            <w:vMerge w:val="restart"/>
            <w:tcBorders>
              <w:top w:val="nil"/>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异常报警</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报警生成</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能够以视频、监测数据、设备参数以及特征因子为报警源，用相关分析模型来检测、判断是否符合设定的报警条件并在检测到触发设定条件时启动报警的方式，建立在线设施智能监管机制，实现数据与视频的联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报警详情</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系统需要能够显示级别最高，时间最新的10条未处理的报警记录。系统以列表形式显示实时报警基本信息。也可按区域、监测因子类型和报警级别，查询相应监测因子实时报警数据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报警信息发布</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系统需要能够提供预警及报警信息的对外发布接口，实现监测因子预警监测与管理的联动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视频查询</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视频查询</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系统需要能够按时间、报警等级、监测站点等查询视频，支持预览和回放，为造假行为提供有效的佐证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实时监控</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实时监控</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系统需要实时监控页面显示有维护清单、违规清单、视频播放页面、视频切换按钮、人脸识别区域、实时数据、实时图表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77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系统日志</w:t>
            </w:r>
          </w:p>
        </w:tc>
        <w:tc>
          <w:tcPr>
            <w:tcW w:w="12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系统日志</w:t>
            </w:r>
          </w:p>
        </w:tc>
        <w:tc>
          <w:tcPr>
            <w:tcW w:w="6880"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系统需要有日志可以查看系统的登录日志以及操作日志</w:t>
            </w:r>
          </w:p>
        </w:tc>
      </w:tr>
    </w:tbl>
    <w:p>
      <w:pPr>
        <w:pStyle w:val="5"/>
        <w:rPr>
          <w:color w:val="auto"/>
          <w:highlight w:val="none"/>
        </w:rPr>
      </w:pPr>
      <w:r>
        <w:rPr>
          <w:rFonts w:hint="eastAsia"/>
          <w:color w:val="auto"/>
          <w:highlight w:val="none"/>
        </w:rPr>
        <w:t>园区安全人工智能监测系统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通过对人和物体的特征检测、提取、描述和分析，以及对场景环境的分析，理解识别人和物体的行为，在实时监控的基础上，对突发事件进行实时预警。实现了包括：区域入侵、绊线检测、徘徊检测、人群聚集等功能。</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371"/>
        <w:gridCol w:w="1816"/>
        <w:gridCol w:w="5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371" w:type="dxa"/>
            <w:tcBorders>
              <w:top w:val="single" w:color="auto" w:sz="4" w:space="0"/>
              <w:left w:val="nil"/>
              <w:bottom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内容</w:t>
            </w:r>
          </w:p>
        </w:tc>
        <w:tc>
          <w:tcPr>
            <w:tcW w:w="1816"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功能</w:t>
            </w:r>
          </w:p>
        </w:tc>
        <w:tc>
          <w:tcPr>
            <w:tcW w:w="5650" w:type="dxa"/>
            <w:tcBorders>
              <w:top w:val="single" w:color="auto" w:sz="4" w:space="0"/>
              <w:left w:val="nil"/>
              <w:bottom w:val="single" w:color="auto" w:sz="4" w:space="0"/>
              <w:right w:val="single" w:color="auto" w:sz="4" w:space="0"/>
            </w:tcBorders>
          </w:tcPr>
          <w:p>
            <w:pPr>
              <w:jc w:val="center"/>
              <w:rPr>
                <w:rFonts w:ascii="宋体" w:hAnsi="宋体"/>
                <w:b/>
                <w:bCs/>
                <w:color w:val="auto"/>
                <w:sz w:val="21"/>
                <w:szCs w:val="21"/>
                <w:highlight w:val="none"/>
              </w:rPr>
            </w:pPr>
            <w:r>
              <w:rPr>
                <w:rFonts w:hint="eastAsia" w:ascii="宋体" w:hAnsi="宋体"/>
                <w:b/>
                <w:bCs/>
                <w:color w:val="auto"/>
                <w:sz w:val="21"/>
                <w:szCs w:val="21"/>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71"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事件布防功能</w:t>
            </w: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区域入侵</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系统需要满足通过设定红线区域，当有人员检测到闯入红线区域后，产生告警信息并通知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71"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绊线检测</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系统需要满足通过软件上设置虚拟的警戒线，当发生闯入警戒线的事件时产生告警信息并通知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71"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徘徊检测</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系统需要满足对于监控范围内的人员，出现徘徊动作或者逗留时间过长等事件产生告警信息并通知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71"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人群聚集</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系统需要满足对于监控区域范围内，出现人员异常密集聚集事件产生告警信息，通知相关企业及管理部门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371" w:type="dxa"/>
            <w:vMerge w:val="restart"/>
            <w:tcBorders>
              <w:top w:val="nil"/>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异常报警</w:t>
            </w: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报警生成</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系统需要满足判断是否符合设定的报警条件并在检测到触发设定条件时启动报警的方式，建立在线设施智能监管机制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71"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报警详情</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系统需要显示级别最高，时间最新的10条未处理记录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371"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报警信息发布</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系统需要满足提供预警及报警信息的对外发布接口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3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视频查询</w:t>
            </w: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视频查询功能</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系统需要满足可按时间、报警等级、监测站点、不同的角色等查询视频，支持预览和回放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3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实时监控</w:t>
            </w: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实时监控功能</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系统需要满足实时监控页面显示有视频播放页面、视频切换按钮、人脸识别区域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371"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系统日志</w:t>
            </w:r>
          </w:p>
        </w:tc>
        <w:tc>
          <w:tcPr>
            <w:tcW w:w="1816" w:type="dxa"/>
            <w:tcBorders>
              <w:top w:val="single" w:color="auto" w:sz="4" w:space="0"/>
              <w:left w:val="nil"/>
              <w:bottom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系统日志</w:t>
            </w:r>
          </w:p>
        </w:tc>
        <w:tc>
          <w:tcPr>
            <w:tcW w:w="5650"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系统需要满足日志可以查看系统的登录日志以及操作日志</w:t>
            </w:r>
          </w:p>
        </w:tc>
      </w:tr>
    </w:tbl>
    <w:p>
      <w:pPr>
        <w:pStyle w:val="5"/>
        <w:rPr>
          <w:color w:val="auto"/>
          <w:highlight w:val="none"/>
        </w:rPr>
      </w:pPr>
      <w:r>
        <w:rPr>
          <w:rFonts w:hint="cs"/>
          <w:color w:val="auto"/>
          <w:highlight w:val="none"/>
        </w:rPr>
        <w:t>A</w:t>
      </w:r>
      <w:r>
        <w:rPr>
          <w:color w:val="auto"/>
          <w:highlight w:val="none"/>
        </w:rPr>
        <w:t>I</w:t>
      </w:r>
      <w:r>
        <w:rPr>
          <w:rFonts w:hint="eastAsia"/>
          <w:color w:val="auto"/>
          <w:highlight w:val="none"/>
        </w:rPr>
        <w:t>视频分析模型</w:t>
      </w:r>
    </w:p>
    <w:tbl>
      <w:tblPr>
        <w:tblStyle w:val="22"/>
        <w:tblW w:w="9420" w:type="dxa"/>
        <w:tblInd w:w="0" w:type="dxa"/>
        <w:tblLayout w:type="fixed"/>
        <w:tblCellMar>
          <w:top w:w="0" w:type="dxa"/>
          <w:left w:w="0" w:type="dxa"/>
          <w:bottom w:w="0" w:type="dxa"/>
          <w:right w:w="0" w:type="dxa"/>
        </w:tblCellMar>
      </w:tblPr>
      <w:tblGrid>
        <w:gridCol w:w="2235"/>
        <w:gridCol w:w="2406"/>
        <w:gridCol w:w="4779"/>
      </w:tblGrid>
      <w:tr>
        <w:tblPrEx>
          <w:tblCellMar>
            <w:top w:w="0" w:type="dxa"/>
            <w:left w:w="0" w:type="dxa"/>
            <w:bottom w:w="0" w:type="dxa"/>
            <w:right w:w="0" w:type="dxa"/>
          </w:tblCellMar>
        </w:tblPrEx>
        <w:trPr>
          <w:trHeight w:val="23" w:hRule="atLeast"/>
        </w:trPr>
        <w:tc>
          <w:tcPr>
            <w:tcW w:w="2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auto"/>
                <w:sz w:val="18"/>
                <w:szCs w:val="18"/>
                <w:highlight w:val="none"/>
              </w:rPr>
            </w:pPr>
            <w:r>
              <w:rPr>
                <w:rStyle w:val="76"/>
                <w:rFonts w:hint="default"/>
                <w:b/>
                <w:bCs/>
                <w:color w:val="auto"/>
                <w:sz w:val="18"/>
                <w:szCs w:val="18"/>
                <w:highlight w:val="none"/>
              </w:rPr>
              <w:t>建设内容</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auto"/>
                <w:kern w:val="0"/>
                <w:sz w:val="18"/>
                <w:szCs w:val="18"/>
                <w:highlight w:val="none"/>
              </w:rPr>
            </w:pPr>
            <w:r>
              <w:rPr>
                <w:rStyle w:val="76"/>
                <w:rFonts w:hint="default"/>
                <w:b/>
                <w:bCs/>
                <w:color w:val="auto"/>
                <w:sz w:val="18"/>
                <w:szCs w:val="18"/>
                <w:highlight w:val="none"/>
              </w:rPr>
              <w:t>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ind w:firstLine="361"/>
              <w:jc w:val="center"/>
              <w:rPr>
                <w:rFonts w:ascii="Calibri" w:hAnsi="Calibri" w:eastAsia="宋体" w:cs="Calibri"/>
                <w:b/>
                <w:bCs/>
                <w:color w:val="auto"/>
                <w:sz w:val="18"/>
                <w:szCs w:val="18"/>
                <w:highlight w:val="none"/>
              </w:rPr>
            </w:pPr>
            <w:r>
              <w:rPr>
                <w:rFonts w:hint="eastAsia" w:ascii="Calibri" w:hAnsi="Calibri" w:eastAsia="宋体" w:cs="Calibri"/>
                <w:b/>
                <w:bCs/>
                <w:color w:val="auto"/>
                <w:sz w:val="18"/>
                <w:szCs w:val="18"/>
                <w:highlight w:val="none"/>
              </w:rPr>
              <w:t>详细功能</w:t>
            </w:r>
          </w:p>
        </w:tc>
      </w:tr>
      <w:tr>
        <w:tblPrEx>
          <w:tblCellMar>
            <w:top w:w="0" w:type="dxa"/>
            <w:left w:w="0" w:type="dxa"/>
            <w:bottom w:w="0" w:type="dxa"/>
            <w:right w:w="0" w:type="dxa"/>
          </w:tblCellMar>
        </w:tblPrEx>
        <w:trPr>
          <w:trHeight w:val="23" w:hRule="atLeast"/>
        </w:trPr>
        <w:tc>
          <w:tcPr>
            <w:tcW w:w="2235" w:type="dxa"/>
            <w:vMerge w:val="restart"/>
            <w:tcBorders>
              <w:top w:val="single" w:color="auto" w:sz="4" w:space="0"/>
              <w:left w:val="single" w:color="auto"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视频分析人工智能算法库</w:t>
            </w:r>
          </w:p>
        </w:tc>
        <w:tc>
          <w:tcPr>
            <w:tcW w:w="2406" w:type="dxa"/>
            <w:tcBorders>
              <w:top w:val="single" w:color="auto" w:sz="4" w:space="0"/>
              <w:left w:val="nil"/>
              <w:bottom w:val="single" w:color="auto"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人脸识别模型</w:t>
            </w:r>
          </w:p>
        </w:tc>
        <w:tc>
          <w:tcPr>
            <w:tcW w:w="4779" w:type="dxa"/>
            <w:tcBorders>
              <w:top w:val="single" w:color="auto" w:sz="4" w:space="0"/>
              <w:left w:val="nil"/>
              <w:bottom w:val="single" w:color="auto" w:sz="4" w:space="0"/>
              <w:right w:val="single" w:color="auto" w:sz="4" w:space="0"/>
            </w:tcBorders>
            <w:vAlign w:val="center"/>
          </w:tcPr>
          <w:p>
            <w:pPr>
              <w:pStyle w:val="79"/>
              <w:ind w:firstLine="0" w:firstLineChars="0"/>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通过对人脸关键点识别和分析，实现人员身份确认。</w:t>
            </w:r>
          </w:p>
        </w:tc>
      </w:tr>
      <w:tr>
        <w:tblPrEx>
          <w:tblCellMar>
            <w:top w:w="0" w:type="dxa"/>
            <w:left w:w="0" w:type="dxa"/>
            <w:bottom w:w="0" w:type="dxa"/>
            <w:right w:w="0" w:type="dxa"/>
          </w:tblCellMar>
        </w:tblPrEx>
        <w:trPr>
          <w:trHeight w:val="23" w:hRule="atLeast"/>
        </w:trPr>
        <w:tc>
          <w:tcPr>
            <w:tcW w:w="2235" w:type="dxa"/>
            <w:vMerge w:val="continue"/>
            <w:tcBorders>
              <w:left w:val="single" w:color="auto" w:sz="4" w:space="0"/>
              <w:right w:val="single" w:color="000000" w:sz="4" w:space="0"/>
            </w:tcBorders>
            <w:vAlign w:val="center"/>
          </w:tcPr>
          <w:p>
            <w:pPr>
              <w:widowControl/>
              <w:jc w:val="left"/>
              <w:textAlignment w:val="center"/>
              <w:rPr>
                <w:rFonts w:ascii="宋体" w:hAnsi="宋体"/>
                <w:color w:val="auto"/>
                <w:sz w:val="18"/>
                <w:szCs w:val="18"/>
                <w:highlight w:val="none"/>
              </w:rPr>
            </w:pPr>
          </w:p>
        </w:tc>
        <w:tc>
          <w:tcPr>
            <w:tcW w:w="24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姿态识别模型</w:t>
            </w:r>
          </w:p>
        </w:tc>
        <w:tc>
          <w:tcPr>
            <w:tcW w:w="4779" w:type="dxa"/>
            <w:tcBorders>
              <w:top w:val="single" w:color="000000" w:sz="4" w:space="0"/>
              <w:left w:val="nil"/>
              <w:bottom w:val="single" w:color="auto" w:sz="4" w:space="0"/>
              <w:right w:val="single" w:color="auto" w:sz="4" w:space="0"/>
            </w:tcBorders>
            <w:vAlign w:val="center"/>
          </w:tcPr>
          <w:p>
            <w:pPr>
              <w:pStyle w:val="79"/>
              <w:ind w:firstLine="0" w:firstLineChars="0"/>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通过人体关键点识别和分析，实现人员行为甄别。</w:t>
            </w:r>
          </w:p>
        </w:tc>
      </w:tr>
      <w:tr>
        <w:tblPrEx>
          <w:tblCellMar>
            <w:top w:w="0" w:type="dxa"/>
            <w:left w:w="0" w:type="dxa"/>
            <w:bottom w:w="0" w:type="dxa"/>
            <w:right w:w="0" w:type="dxa"/>
          </w:tblCellMar>
        </w:tblPrEx>
        <w:trPr>
          <w:trHeight w:val="23" w:hRule="atLeast"/>
        </w:trPr>
        <w:tc>
          <w:tcPr>
            <w:tcW w:w="2235" w:type="dxa"/>
            <w:vMerge w:val="continue"/>
            <w:tcBorders>
              <w:left w:val="single" w:color="auto" w:sz="4" w:space="0"/>
              <w:right w:val="single" w:color="000000" w:sz="4" w:space="0"/>
            </w:tcBorders>
            <w:vAlign w:val="center"/>
          </w:tcPr>
          <w:p>
            <w:pPr>
              <w:widowControl/>
              <w:jc w:val="left"/>
              <w:textAlignment w:val="center"/>
              <w:rPr>
                <w:rFonts w:ascii="宋体" w:hAnsi="宋体"/>
                <w:color w:val="auto"/>
                <w:sz w:val="18"/>
                <w:szCs w:val="18"/>
                <w:highlight w:val="none"/>
              </w:rPr>
            </w:pPr>
          </w:p>
        </w:tc>
        <w:tc>
          <w:tcPr>
            <w:tcW w:w="24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烟火检测模型</w:t>
            </w:r>
          </w:p>
        </w:tc>
        <w:tc>
          <w:tcPr>
            <w:tcW w:w="4779" w:type="dxa"/>
            <w:tcBorders>
              <w:top w:val="single" w:color="000000" w:sz="4" w:space="0"/>
              <w:left w:val="nil"/>
              <w:bottom w:val="single" w:color="auto" w:sz="4" w:space="0"/>
              <w:right w:val="single" w:color="auto" w:sz="4" w:space="0"/>
            </w:tcBorders>
            <w:vAlign w:val="center"/>
          </w:tcPr>
          <w:p>
            <w:pPr>
              <w:pStyle w:val="79"/>
              <w:ind w:firstLine="0" w:firstLineChars="0"/>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利用火焰的动态特征和静态特征从而对火焰进行识别。</w:t>
            </w:r>
          </w:p>
        </w:tc>
      </w:tr>
      <w:tr>
        <w:tblPrEx>
          <w:tblCellMar>
            <w:top w:w="0" w:type="dxa"/>
            <w:left w:w="0" w:type="dxa"/>
            <w:bottom w:w="0" w:type="dxa"/>
            <w:right w:w="0" w:type="dxa"/>
          </w:tblCellMar>
        </w:tblPrEx>
        <w:trPr>
          <w:trHeight w:val="23" w:hRule="atLeast"/>
        </w:trPr>
        <w:tc>
          <w:tcPr>
            <w:tcW w:w="2235" w:type="dxa"/>
            <w:vMerge w:val="continue"/>
            <w:tcBorders>
              <w:left w:val="single" w:color="auto" w:sz="4" w:space="0"/>
              <w:right w:val="single" w:color="000000" w:sz="4" w:space="0"/>
            </w:tcBorders>
            <w:vAlign w:val="center"/>
          </w:tcPr>
          <w:p>
            <w:pPr>
              <w:widowControl/>
              <w:jc w:val="left"/>
              <w:textAlignment w:val="center"/>
              <w:rPr>
                <w:rFonts w:ascii="宋体" w:hAnsi="宋体"/>
                <w:color w:val="auto"/>
                <w:sz w:val="18"/>
                <w:szCs w:val="18"/>
                <w:highlight w:val="none"/>
              </w:rPr>
            </w:pPr>
          </w:p>
        </w:tc>
        <w:tc>
          <w:tcPr>
            <w:tcW w:w="24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人员入侵模型</w:t>
            </w:r>
          </w:p>
        </w:tc>
        <w:tc>
          <w:tcPr>
            <w:tcW w:w="4779" w:type="dxa"/>
            <w:tcBorders>
              <w:top w:val="single" w:color="000000" w:sz="4" w:space="0"/>
              <w:left w:val="nil"/>
              <w:bottom w:val="single" w:color="auto" w:sz="4" w:space="0"/>
              <w:right w:val="single" w:color="auto" w:sz="4" w:space="0"/>
            </w:tcBorders>
            <w:vAlign w:val="center"/>
          </w:tcPr>
          <w:p>
            <w:pPr>
              <w:pStyle w:val="79"/>
              <w:ind w:firstLine="0" w:firstLineChars="0"/>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对视频做实时检测，当侦测到目标入侵用户设置的警戒线/区域时，系统自动产生报警。</w:t>
            </w:r>
          </w:p>
        </w:tc>
      </w:tr>
      <w:tr>
        <w:tblPrEx>
          <w:tblCellMar>
            <w:top w:w="0" w:type="dxa"/>
            <w:left w:w="0" w:type="dxa"/>
            <w:bottom w:w="0" w:type="dxa"/>
            <w:right w:w="0" w:type="dxa"/>
          </w:tblCellMar>
        </w:tblPrEx>
        <w:trPr>
          <w:trHeight w:val="23" w:hRule="atLeast"/>
        </w:trPr>
        <w:tc>
          <w:tcPr>
            <w:tcW w:w="2235" w:type="dxa"/>
            <w:vMerge w:val="continue"/>
            <w:tcBorders>
              <w:left w:val="single" w:color="auto" w:sz="4" w:space="0"/>
              <w:bottom w:val="single" w:color="auto" w:sz="4" w:space="0"/>
              <w:right w:val="single" w:color="000000" w:sz="4" w:space="0"/>
            </w:tcBorders>
            <w:vAlign w:val="center"/>
          </w:tcPr>
          <w:p>
            <w:pPr>
              <w:widowControl/>
              <w:jc w:val="left"/>
              <w:textAlignment w:val="center"/>
              <w:rPr>
                <w:rFonts w:ascii="宋体" w:hAnsi="宋体"/>
                <w:color w:val="auto"/>
                <w:sz w:val="18"/>
                <w:szCs w:val="18"/>
                <w:highlight w:val="none"/>
              </w:rPr>
            </w:pPr>
          </w:p>
        </w:tc>
        <w:tc>
          <w:tcPr>
            <w:tcW w:w="24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绊线检测模型</w:t>
            </w:r>
          </w:p>
        </w:tc>
        <w:tc>
          <w:tcPr>
            <w:tcW w:w="4779" w:type="dxa"/>
            <w:tcBorders>
              <w:top w:val="single" w:color="000000" w:sz="4" w:space="0"/>
              <w:left w:val="nil"/>
              <w:bottom w:val="single" w:color="auto" w:sz="4" w:space="0"/>
              <w:right w:val="single" w:color="auto" w:sz="4" w:space="0"/>
            </w:tcBorders>
            <w:vAlign w:val="center"/>
          </w:tcPr>
          <w:p>
            <w:pPr>
              <w:pStyle w:val="79"/>
              <w:ind w:firstLine="0" w:firstLineChars="0"/>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自动检测穿越绊线的入侵者，当入侵者穿越设置的警戒线时，发出报警</w:t>
            </w:r>
            <w:r>
              <w:rPr>
                <w:rFonts w:ascii="Calibri" w:hAnsi="Calibri" w:eastAsia="宋体" w:cs="Calibri"/>
                <w:color w:val="auto"/>
                <w:sz w:val="18"/>
                <w:szCs w:val="18"/>
                <w:highlight w:val="none"/>
              </w:rPr>
              <w:cr/>
            </w:r>
            <w:r>
              <w:rPr>
                <w:rFonts w:hint="eastAsia" w:ascii="Calibri" w:hAnsi="Calibri" w:eastAsia="宋体" w:cs="Calibri"/>
                <w:color w:val="auto"/>
                <w:sz w:val="18"/>
                <w:szCs w:val="18"/>
                <w:highlight w:val="none"/>
              </w:rPr>
              <w:t>。</w:t>
            </w:r>
          </w:p>
        </w:tc>
      </w:tr>
    </w:tbl>
    <w:p>
      <w:pPr>
        <w:rPr>
          <w:color w:val="auto"/>
          <w:highlight w:val="none"/>
          <w:lang w:eastAsia="ar-SA"/>
        </w:rPr>
      </w:pPr>
    </w:p>
    <w:p>
      <w:pPr>
        <w:pStyle w:val="5"/>
        <w:rPr>
          <w:color w:val="auto"/>
          <w:highlight w:val="none"/>
        </w:rPr>
      </w:pPr>
      <w:r>
        <w:rPr>
          <w:rFonts w:hint="eastAsia"/>
          <w:color w:val="auto"/>
          <w:highlight w:val="none"/>
        </w:rPr>
        <w:t>人工智能服务集成平台</w:t>
      </w:r>
    </w:p>
    <w:tbl>
      <w:tblPr>
        <w:tblStyle w:val="22"/>
        <w:tblW w:w="9420" w:type="dxa"/>
        <w:tblInd w:w="0" w:type="dxa"/>
        <w:tblLayout w:type="fixed"/>
        <w:tblCellMar>
          <w:top w:w="0" w:type="dxa"/>
          <w:left w:w="0" w:type="dxa"/>
          <w:bottom w:w="0" w:type="dxa"/>
          <w:right w:w="0" w:type="dxa"/>
        </w:tblCellMar>
      </w:tblPr>
      <w:tblGrid>
        <w:gridCol w:w="2235"/>
        <w:gridCol w:w="2406"/>
        <w:gridCol w:w="4779"/>
      </w:tblGrid>
      <w:tr>
        <w:tblPrEx>
          <w:tblCellMar>
            <w:top w:w="0" w:type="dxa"/>
            <w:left w:w="0" w:type="dxa"/>
            <w:bottom w:w="0" w:type="dxa"/>
            <w:right w:w="0" w:type="dxa"/>
          </w:tblCellMar>
        </w:tblPrEx>
        <w:trPr>
          <w:trHeight w:val="261" w:hRule="atLeast"/>
        </w:trPr>
        <w:tc>
          <w:tcPr>
            <w:tcW w:w="22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Calibri" w:hAnsi="Calibri" w:cs="Calibri"/>
                <w:b/>
                <w:bCs/>
                <w:color w:val="auto"/>
                <w:sz w:val="18"/>
                <w:szCs w:val="18"/>
                <w:highlight w:val="none"/>
              </w:rPr>
            </w:pPr>
            <w:bookmarkStart w:id="17" w:name="_Hlk27562923"/>
            <w:r>
              <w:rPr>
                <w:rStyle w:val="76"/>
                <w:rFonts w:hint="default"/>
                <w:color w:val="auto"/>
                <w:sz w:val="18"/>
                <w:szCs w:val="18"/>
                <w:highlight w:val="none"/>
              </w:rPr>
              <w:t>建设内容</w:t>
            </w:r>
          </w:p>
        </w:tc>
        <w:tc>
          <w:tcPr>
            <w:tcW w:w="2406" w:type="dxa"/>
            <w:tcBorders>
              <w:top w:val="single" w:color="000000" w:sz="4" w:space="0"/>
              <w:left w:val="nil"/>
              <w:bottom w:val="single" w:color="auto" w:sz="4" w:space="0"/>
              <w:right w:val="single" w:color="000000" w:sz="4" w:space="0"/>
            </w:tcBorders>
            <w:vAlign w:val="center"/>
          </w:tcPr>
          <w:p>
            <w:pPr>
              <w:widowControl/>
              <w:jc w:val="center"/>
              <w:textAlignment w:val="center"/>
              <w:rPr>
                <w:rStyle w:val="76"/>
                <w:rFonts w:hint="default"/>
                <w:b/>
                <w:bCs/>
                <w:color w:val="auto"/>
                <w:sz w:val="18"/>
                <w:szCs w:val="18"/>
                <w:highlight w:val="none"/>
              </w:rPr>
            </w:pPr>
            <w:r>
              <w:rPr>
                <w:rStyle w:val="76"/>
                <w:rFonts w:hint="default"/>
                <w:color w:val="auto"/>
                <w:sz w:val="18"/>
                <w:szCs w:val="18"/>
                <w:highlight w:val="none"/>
              </w:rPr>
              <w:t>子模块</w:t>
            </w:r>
          </w:p>
        </w:tc>
        <w:tc>
          <w:tcPr>
            <w:tcW w:w="4779"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Calibri" w:hAnsi="Calibri" w:cs="Calibri"/>
                <w:color w:val="auto"/>
                <w:highlight w:val="none"/>
              </w:rPr>
            </w:pPr>
            <w:r>
              <w:rPr>
                <w:rFonts w:hint="eastAsia" w:ascii="Calibri" w:hAnsi="Calibri" w:cs="Calibri"/>
                <w:b/>
                <w:bCs/>
                <w:color w:val="auto"/>
                <w:sz w:val="18"/>
                <w:szCs w:val="18"/>
                <w:highlight w:val="none"/>
              </w:rPr>
              <w:t>详细功能</w:t>
            </w:r>
          </w:p>
        </w:tc>
      </w:tr>
      <w:bookmarkEnd w:id="17"/>
      <w:tr>
        <w:tblPrEx>
          <w:tblCellMar>
            <w:top w:w="0" w:type="dxa"/>
            <w:left w:w="0" w:type="dxa"/>
            <w:bottom w:w="0" w:type="dxa"/>
            <w:right w:w="0" w:type="dxa"/>
          </w:tblCellMar>
        </w:tblPrEx>
        <w:trPr>
          <w:trHeight w:val="191" w:hRule="atLeast"/>
        </w:trPr>
        <w:tc>
          <w:tcPr>
            <w:tcW w:w="2235" w:type="dxa"/>
            <w:vMerge w:val="restart"/>
            <w:tcBorders>
              <w:top w:val="single" w:color="auto" w:sz="4" w:space="0"/>
              <w:left w:val="single" w:color="auto" w:sz="4" w:space="0"/>
              <w:right w:val="single" w:color="auto" w:sz="4" w:space="0"/>
            </w:tcBorders>
            <w:vAlign w:val="center"/>
          </w:tcPr>
          <w:p>
            <w:pPr>
              <w:widowControl/>
              <w:jc w:val="left"/>
              <w:textAlignment w:val="center"/>
              <w:rPr>
                <w:rFonts w:ascii="Calibri" w:hAnsi="Calibri" w:cs="Calibri"/>
                <w:color w:val="auto"/>
                <w:kern w:val="0"/>
                <w:sz w:val="18"/>
                <w:szCs w:val="18"/>
                <w:highlight w:val="none"/>
              </w:rPr>
            </w:pPr>
            <w:r>
              <w:rPr>
                <w:rFonts w:hint="eastAsia" w:ascii="Calibri" w:hAnsi="Calibri" w:cs="Calibri"/>
                <w:color w:val="auto"/>
                <w:kern w:val="0"/>
                <w:sz w:val="18"/>
                <w:szCs w:val="18"/>
                <w:highlight w:val="none"/>
              </w:rPr>
              <w:t>人工智能服务集成平台</w:t>
            </w:r>
          </w:p>
          <w:p>
            <w:pPr>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视频前端接入控制和管理子模块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widowControl/>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实现前端摄像头的接入和认证控制；实时监测摄像头在线状态。</w:t>
            </w:r>
          </w:p>
        </w:tc>
      </w:tr>
      <w:tr>
        <w:tblPrEx>
          <w:tblCellMar>
            <w:top w:w="0" w:type="dxa"/>
            <w:left w:w="0" w:type="dxa"/>
            <w:bottom w:w="0" w:type="dxa"/>
            <w:right w:w="0" w:type="dxa"/>
          </w:tblCellMar>
        </w:tblPrEx>
        <w:trPr>
          <w:trHeight w:val="191" w:hRule="atLeast"/>
        </w:trPr>
        <w:tc>
          <w:tcPr>
            <w:tcW w:w="2235" w:type="dxa"/>
            <w:vMerge w:val="continue"/>
            <w:tcBorders>
              <w:left w:val="single" w:color="auto" w:sz="4" w:space="0"/>
              <w:right w:val="single" w:color="auto" w:sz="4" w:space="0"/>
            </w:tcBorders>
            <w:vAlign w:val="center"/>
          </w:tcPr>
          <w:p>
            <w:pPr>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视频流编解码子模块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widowControl/>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视频RTP</w:t>
            </w:r>
            <w:r>
              <w:rPr>
                <w:rFonts w:hint="eastAsia" w:ascii="宋体" w:hAnsi="宋体" w:eastAsia="宋体" w:cs="Calibri"/>
                <w:color w:val="auto"/>
                <w:sz w:val="18"/>
                <w:szCs w:val="18"/>
                <w:highlight w:val="none"/>
              </w:rPr>
              <w:t>码流的接收、缓存、去抖，基于</w:t>
            </w:r>
            <w:r>
              <w:rPr>
                <w:rFonts w:hint="eastAsia" w:ascii="Calibri" w:hAnsi="Calibri" w:eastAsia="宋体" w:cs="Calibri"/>
                <w:color w:val="auto"/>
                <w:sz w:val="18"/>
                <w:szCs w:val="18"/>
                <w:highlight w:val="none"/>
              </w:rPr>
              <w:t>H</w:t>
            </w:r>
            <w:r>
              <w:rPr>
                <w:rFonts w:ascii="Calibri" w:hAnsi="Calibri" w:eastAsia="宋体" w:cs="Calibri"/>
                <w:color w:val="auto"/>
                <w:sz w:val="18"/>
                <w:szCs w:val="18"/>
                <w:highlight w:val="none"/>
              </w:rPr>
              <w:t>.264</w:t>
            </w:r>
            <w:r>
              <w:rPr>
                <w:rFonts w:hint="eastAsia" w:ascii="Calibri" w:hAnsi="Calibri" w:eastAsia="宋体" w:cs="Calibri"/>
                <w:color w:val="auto"/>
                <w:sz w:val="18"/>
                <w:szCs w:val="18"/>
                <w:highlight w:val="none"/>
              </w:rPr>
              <w:t>或者H</w:t>
            </w:r>
            <w:r>
              <w:rPr>
                <w:rFonts w:ascii="Calibri" w:hAnsi="Calibri" w:eastAsia="宋体" w:cs="Calibri"/>
                <w:color w:val="auto"/>
                <w:sz w:val="18"/>
                <w:szCs w:val="18"/>
                <w:highlight w:val="none"/>
              </w:rPr>
              <w:t>.265</w:t>
            </w:r>
            <w:r>
              <w:rPr>
                <w:rFonts w:hint="eastAsia" w:ascii="Calibri" w:hAnsi="Calibri" w:eastAsia="宋体" w:cs="Calibri"/>
                <w:color w:val="auto"/>
                <w:sz w:val="18"/>
                <w:szCs w:val="18"/>
                <w:highlight w:val="none"/>
              </w:rPr>
              <w:t>标准进行视频解码；</w:t>
            </w:r>
          </w:p>
        </w:tc>
      </w:tr>
      <w:tr>
        <w:tblPrEx>
          <w:tblCellMar>
            <w:top w:w="0" w:type="dxa"/>
            <w:left w:w="0" w:type="dxa"/>
            <w:bottom w:w="0" w:type="dxa"/>
            <w:right w:w="0" w:type="dxa"/>
          </w:tblCellMar>
        </w:tblPrEx>
        <w:trPr>
          <w:trHeight w:val="191" w:hRule="atLeast"/>
        </w:trPr>
        <w:tc>
          <w:tcPr>
            <w:tcW w:w="2235" w:type="dxa"/>
            <w:vMerge w:val="continue"/>
            <w:tcBorders>
              <w:left w:val="single" w:color="auto" w:sz="4" w:space="0"/>
              <w:right w:val="single" w:color="auto" w:sz="4" w:space="0"/>
            </w:tcBorders>
            <w:vAlign w:val="center"/>
          </w:tcPr>
          <w:p>
            <w:pPr>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视频流服务子模块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widowControl/>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响应视频播放请求，视频流实时转码，推送给流媒体服务器。</w:t>
            </w:r>
          </w:p>
        </w:tc>
      </w:tr>
      <w:tr>
        <w:tblPrEx>
          <w:tblCellMar>
            <w:top w:w="0" w:type="dxa"/>
            <w:left w:w="0" w:type="dxa"/>
            <w:bottom w:w="0" w:type="dxa"/>
            <w:right w:w="0" w:type="dxa"/>
          </w:tblCellMar>
        </w:tblPrEx>
        <w:trPr>
          <w:trHeight w:val="191" w:hRule="atLeast"/>
        </w:trPr>
        <w:tc>
          <w:tcPr>
            <w:tcW w:w="2235" w:type="dxa"/>
            <w:vMerge w:val="continue"/>
            <w:tcBorders>
              <w:left w:val="single" w:color="auto" w:sz="4" w:space="0"/>
              <w:right w:val="single" w:color="auto" w:sz="4" w:space="0"/>
            </w:tcBorders>
            <w:vAlign w:val="center"/>
          </w:tcPr>
          <w:p>
            <w:pPr>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数据存储服务子模块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widowControl/>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提供高性能并发的视频数据高速存储和读取的服务；</w:t>
            </w:r>
          </w:p>
        </w:tc>
      </w:tr>
      <w:tr>
        <w:tblPrEx>
          <w:tblCellMar>
            <w:top w:w="0" w:type="dxa"/>
            <w:left w:w="0" w:type="dxa"/>
            <w:bottom w:w="0" w:type="dxa"/>
            <w:right w:w="0" w:type="dxa"/>
          </w:tblCellMar>
        </w:tblPrEx>
        <w:trPr>
          <w:trHeight w:val="191" w:hRule="atLeast"/>
        </w:trPr>
        <w:tc>
          <w:tcPr>
            <w:tcW w:w="2235" w:type="dxa"/>
            <w:vMerge w:val="continue"/>
            <w:tcBorders>
              <w:left w:val="single" w:color="auto" w:sz="4" w:space="0"/>
              <w:right w:val="single" w:color="auto" w:sz="4" w:space="0"/>
            </w:tcBorders>
            <w:vAlign w:val="center"/>
          </w:tcPr>
          <w:p>
            <w:pPr>
              <w:widowControl/>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GPU调度子模块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79"/>
              <w:widowControl/>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实现多任务实时的视频分析功能，支持GPU多卡调度。</w:t>
            </w:r>
          </w:p>
        </w:tc>
      </w:tr>
      <w:tr>
        <w:tblPrEx>
          <w:tblCellMar>
            <w:top w:w="0" w:type="dxa"/>
            <w:left w:w="0" w:type="dxa"/>
            <w:bottom w:w="0" w:type="dxa"/>
            <w:right w:w="0" w:type="dxa"/>
          </w:tblCellMar>
        </w:tblPrEx>
        <w:trPr>
          <w:trHeight w:val="936" w:hRule="atLeast"/>
        </w:trPr>
        <w:tc>
          <w:tcPr>
            <w:tcW w:w="2235" w:type="dxa"/>
            <w:vMerge w:val="continue"/>
            <w:tcBorders>
              <w:left w:val="single" w:color="auto" w:sz="4" w:space="0"/>
              <w:right w:val="single" w:color="auto" w:sz="4" w:space="0"/>
            </w:tcBorders>
            <w:vAlign w:val="center"/>
          </w:tcPr>
          <w:p>
            <w:pPr>
              <w:widowControl/>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right w:val="single" w:color="auto" w:sz="4" w:space="0"/>
            </w:tcBorders>
            <w:vAlign w:val="center"/>
          </w:tcPr>
          <w:p>
            <w:pPr>
              <w:jc w:val="left"/>
              <w:rPr>
                <w:rFonts w:ascii="Calibri" w:hAnsi="Calibri" w:cs="Calibri"/>
                <w:color w:val="auto"/>
                <w:sz w:val="18"/>
                <w:szCs w:val="18"/>
                <w:highlight w:val="none"/>
              </w:rPr>
            </w:pPr>
            <w:r>
              <w:rPr>
                <w:rFonts w:hint="eastAsia" w:ascii="Calibri" w:hAnsi="Calibri" w:cs="Calibri"/>
                <w:color w:val="auto"/>
                <w:sz w:val="18"/>
                <w:szCs w:val="18"/>
                <w:highlight w:val="none"/>
              </w:rPr>
              <w:t>样本采集和处理子模块</w:t>
            </w:r>
          </w:p>
        </w:tc>
        <w:tc>
          <w:tcPr>
            <w:tcW w:w="4779" w:type="dxa"/>
            <w:tcBorders>
              <w:top w:val="single" w:color="auto" w:sz="4" w:space="0"/>
              <w:left w:val="single" w:color="auto" w:sz="4" w:space="0"/>
              <w:right w:val="single" w:color="auto" w:sz="4" w:space="0"/>
            </w:tcBorders>
            <w:vAlign w:val="center"/>
          </w:tcPr>
          <w:p>
            <w:pPr>
              <w:pStyle w:val="79"/>
              <w:ind w:firstLine="0" w:firstLineChars="0"/>
              <w:textAlignment w:val="center"/>
              <w:rPr>
                <w:rFonts w:ascii="Calibri" w:hAnsi="Calibri" w:eastAsia="宋体" w:cs="Calibri"/>
                <w:color w:val="auto"/>
                <w:sz w:val="18"/>
                <w:szCs w:val="18"/>
                <w:highlight w:val="none"/>
              </w:rPr>
            </w:pPr>
            <w:r>
              <w:rPr>
                <w:rFonts w:hint="eastAsia" w:ascii="Calibri" w:hAnsi="Calibri" w:eastAsia="宋体" w:cs="Calibri"/>
                <w:color w:val="auto"/>
                <w:sz w:val="18"/>
                <w:szCs w:val="18"/>
                <w:highlight w:val="none"/>
              </w:rPr>
              <w:t>视频样本的采集、录入和管理，构建样本库；样本打标签、分类、特征数据提取。</w:t>
            </w:r>
          </w:p>
        </w:tc>
      </w:tr>
      <w:tr>
        <w:tblPrEx>
          <w:tblCellMar>
            <w:top w:w="0" w:type="dxa"/>
            <w:left w:w="0" w:type="dxa"/>
            <w:bottom w:w="0" w:type="dxa"/>
            <w:right w:w="0" w:type="dxa"/>
          </w:tblCellMar>
        </w:tblPrEx>
        <w:trPr>
          <w:trHeight w:val="191" w:hRule="atLeast"/>
        </w:trPr>
        <w:tc>
          <w:tcPr>
            <w:tcW w:w="2235" w:type="dxa"/>
            <w:vMerge w:val="continue"/>
            <w:tcBorders>
              <w:left w:val="single" w:color="auto" w:sz="4" w:space="0"/>
              <w:bottom w:val="single" w:color="auto" w:sz="4" w:space="0"/>
              <w:right w:val="single" w:color="auto" w:sz="4" w:space="0"/>
            </w:tcBorders>
            <w:vAlign w:val="center"/>
          </w:tcPr>
          <w:p>
            <w:pPr>
              <w:widowControl/>
              <w:jc w:val="left"/>
              <w:textAlignment w:val="center"/>
              <w:rPr>
                <w:rFonts w:ascii="Calibri" w:hAnsi="Calibri" w:cs="Calibri"/>
                <w:color w:val="auto"/>
                <w:kern w:val="0"/>
                <w:sz w:val="18"/>
                <w:szCs w:val="18"/>
                <w:highlight w:val="none"/>
              </w:rPr>
            </w:pPr>
          </w:p>
        </w:tc>
        <w:tc>
          <w:tcPr>
            <w:tcW w:w="2406" w:type="dxa"/>
            <w:tcBorders>
              <w:top w:val="single" w:color="auto" w:sz="4" w:space="0"/>
              <w:left w:val="single" w:color="auto" w:sz="4" w:space="0"/>
              <w:bottom w:val="single" w:color="auto" w:sz="4" w:space="0"/>
              <w:right w:val="single" w:color="auto" w:sz="4" w:space="0"/>
            </w:tcBorders>
            <w:vAlign w:val="center"/>
          </w:tcPr>
          <w:p>
            <w:pPr>
              <w:rPr>
                <w:color w:val="auto"/>
                <w:sz w:val="21"/>
                <w:highlight w:val="none"/>
              </w:rPr>
            </w:pPr>
            <w:r>
              <w:rPr>
                <w:rFonts w:hint="eastAsia" w:ascii="宋体" w:hAnsi="宋体"/>
                <w:color w:val="auto"/>
                <w:kern w:val="0"/>
                <w:sz w:val="18"/>
                <w:szCs w:val="18"/>
                <w:highlight w:val="none"/>
              </w:rPr>
              <w:t>资源监控子模块</w:t>
            </w:r>
          </w:p>
        </w:tc>
        <w:tc>
          <w:tcPr>
            <w:tcW w:w="4779" w:type="dxa"/>
            <w:tcBorders>
              <w:top w:val="single" w:color="auto" w:sz="4" w:space="0"/>
              <w:left w:val="single" w:color="auto" w:sz="4" w:space="0"/>
              <w:bottom w:val="single" w:color="auto" w:sz="4" w:space="0"/>
              <w:right w:val="single" w:color="auto" w:sz="4" w:space="0"/>
            </w:tcBorders>
            <w:vAlign w:val="center"/>
          </w:tcPr>
          <w:p>
            <w:pPr>
              <w:pStyle w:val="80"/>
              <w:rPr>
                <w:color w:val="auto"/>
                <w:highlight w:val="none"/>
              </w:rPr>
            </w:pPr>
            <w:r>
              <w:rPr>
                <w:rFonts w:hint="eastAsia" w:ascii="宋体" w:hAnsi="宋体" w:cs="Calibri"/>
                <w:color w:val="auto"/>
                <w:sz w:val="18"/>
                <w:szCs w:val="18"/>
                <w:highlight w:val="none"/>
              </w:rPr>
              <w:t>实时监控计算资源使用情况如</w:t>
            </w:r>
            <w:r>
              <w:rPr>
                <w:rFonts w:hint="eastAsia" w:ascii="Calibri" w:hAnsi="Calibri" w:cs="Calibri"/>
                <w:color w:val="auto"/>
                <w:sz w:val="18"/>
                <w:szCs w:val="18"/>
                <w:highlight w:val="none"/>
              </w:rPr>
              <w:t xml:space="preserve">GPU </w:t>
            </w:r>
            <w:r>
              <w:rPr>
                <w:rFonts w:hint="eastAsia" w:ascii="宋体" w:hAnsi="宋体" w:cs="Calibri"/>
                <w:color w:val="auto"/>
                <w:sz w:val="18"/>
                <w:szCs w:val="18"/>
                <w:highlight w:val="none"/>
              </w:rPr>
              <w:t>资源使用率和显存使用率。</w:t>
            </w:r>
          </w:p>
        </w:tc>
      </w:tr>
    </w:tbl>
    <w:p>
      <w:pPr>
        <w:pStyle w:val="5"/>
        <w:rPr>
          <w:color w:val="auto"/>
          <w:highlight w:val="none"/>
        </w:rPr>
      </w:pPr>
      <w:r>
        <w:rPr>
          <w:rFonts w:hint="eastAsia"/>
          <w:color w:val="auto"/>
          <w:highlight w:val="none"/>
        </w:rPr>
        <w:t>人工智能监测硬件配置</w:t>
      </w:r>
    </w:p>
    <w:tbl>
      <w:tblPr>
        <w:tblStyle w:val="22"/>
        <w:tblW w:w="9628" w:type="dxa"/>
        <w:tblInd w:w="0" w:type="dxa"/>
        <w:tblLayout w:type="fixed"/>
        <w:tblCellMar>
          <w:top w:w="0" w:type="dxa"/>
          <w:left w:w="108" w:type="dxa"/>
          <w:bottom w:w="0" w:type="dxa"/>
          <w:right w:w="108" w:type="dxa"/>
        </w:tblCellMar>
      </w:tblPr>
      <w:tblGrid>
        <w:gridCol w:w="984"/>
        <w:gridCol w:w="2688"/>
        <w:gridCol w:w="5956"/>
      </w:tblGrid>
      <w:tr>
        <w:tblPrEx>
          <w:tblCellMar>
            <w:top w:w="0" w:type="dxa"/>
            <w:left w:w="108" w:type="dxa"/>
            <w:bottom w:w="0" w:type="dxa"/>
            <w:right w:w="108" w:type="dxa"/>
          </w:tblCellMar>
        </w:tblPrEx>
        <w:trPr>
          <w:trHeight w:val="270" w:hRule="atLeast"/>
        </w:trPr>
        <w:tc>
          <w:tcPr>
            <w:tcW w:w="984"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1"/>
                <w:szCs w:val="21"/>
                <w:highlight w:val="none"/>
              </w:rPr>
            </w:pPr>
            <w:r>
              <w:rPr>
                <w:b/>
                <w:bCs/>
                <w:color w:val="auto"/>
                <w:sz w:val="21"/>
                <w:szCs w:val="21"/>
                <w:highlight w:val="none"/>
              </w:rPr>
              <w:t>序号</w:t>
            </w:r>
          </w:p>
        </w:tc>
        <w:tc>
          <w:tcPr>
            <w:tcW w:w="2688" w:type="dxa"/>
            <w:tcBorders>
              <w:top w:val="single" w:color="auto" w:sz="4" w:space="0"/>
              <w:left w:val="nil"/>
              <w:bottom w:val="single" w:color="auto" w:sz="4" w:space="0"/>
              <w:right w:val="single" w:color="auto" w:sz="4" w:space="0"/>
            </w:tcBorders>
            <w:vAlign w:val="center"/>
          </w:tcPr>
          <w:p>
            <w:pPr>
              <w:jc w:val="center"/>
              <w:rPr>
                <w:b/>
                <w:bCs/>
                <w:color w:val="auto"/>
                <w:sz w:val="21"/>
                <w:szCs w:val="21"/>
                <w:highlight w:val="none"/>
              </w:rPr>
            </w:pPr>
            <w:r>
              <w:rPr>
                <w:b/>
                <w:bCs/>
                <w:color w:val="auto"/>
                <w:sz w:val="21"/>
                <w:szCs w:val="21"/>
                <w:highlight w:val="none"/>
              </w:rPr>
              <w:t>设备名称</w:t>
            </w:r>
          </w:p>
        </w:tc>
        <w:tc>
          <w:tcPr>
            <w:tcW w:w="5956" w:type="dxa"/>
            <w:tcBorders>
              <w:top w:val="single" w:color="auto" w:sz="4" w:space="0"/>
              <w:left w:val="nil"/>
              <w:bottom w:val="single" w:color="auto" w:sz="4" w:space="0"/>
              <w:right w:val="single" w:color="auto" w:sz="4" w:space="0"/>
            </w:tcBorders>
            <w:vAlign w:val="center"/>
          </w:tcPr>
          <w:p>
            <w:pPr>
              <w:jc w:val="center"/>
              <w:rPr>
                <w:b/>
                <w:bCs/>
                <w:color w:val="auto"/>
                <w:sz w:val="21"/>
                <w:szCs w:val="21"/>
                <w:highlight w:val="none"/>
              </w:rPr>
            </w:pPr>
            <w:r>
              <w:rPr>
                <w:b/>
                <w:bCs/>
                <w:color w:val="auto"/>
                <w:sz w:val="21"/>
                <w:szCs w:val="21"/>
                <w:highlight w:val="none"/>
              </w:rPr>
              <w:t>参数配置</w:t>
            </w:r>
          </w:p>
        </w:tc>
      </w:tr>
      <w:tr>
        <w:tblPrEx>
          <w:tblCellMar>
            <w:top w:w="0" w:type="dxa"/>
            <w:left w:w="108" w:type="dxa"/>
            <w:bottom w:w="0" w:type="dxa"/>
            <w:right w:w="108" w:type="dxa"/>
          </w:tblCellMar>
        </w:tblPrEx>
        <w:trPr>
          <w:trHeight w:val="1179"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1</w:t>
            </w:r>
          </w:p>
        </w:tc>
        <w:tc>
          <w:tcPr>
            <w:tcW w:w="2688"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视频接入和解码/</w:t>
            </w:r>
            <w:r>
              <w:rPr>
                <w:rFonts w:ascii="宋体" w:hAnsi="宋体"/>
                <w:color w:val="auto"/>
                <w:sz w:val="21"/>
                <w:szCs w:val="21"/>
                <w:highlight w:val="none"/>
              </w:rPr>
              <w:t>数据接入行为分析</w:t>
            </w:r>
            <w:r>
              <w:rPr>
                <w:color w:val="auto"/>
                <w:sz w:val="21"/>
                <w:szCs w:val="21"/>
                <w:highlight w:val="none"/>
              </w:rPr>
              <w:t>/WEB</w:t>
            </w:r>
            <w:r>
              <w:rPr>
                <w:rFonts w:ascii="宋体" w:hAnsi="宋体"/>
                <w:color w:val="auto"/>
                <w:sz w:val="21"/>
                <w:szCs w:val="21"/>
                <w:highlight w:val="none"/>
              </w:rPr>
              <w:t>平台服务器</w:t>
            </w:r>
          </w:p>
        </w:tc>
        <w:tc>
          <w:tcPr>
            <w:tcW w:w="5956"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2U</w:t>
            </w:r>
            <w:r>
              <w:rPr>
                <w:rFonts w:ascii="宋体" w:hAnsi="宋体"/>
                <w:color w:val="auto"/>
                <w:sz w:val="21"/>
                <w:szCs w:val="21"/>
                <w:highlight w:val="none"/>
              </w:rPr>
              <w:t>机架式</w:t>
            </w:r>
          </w:p>
          <w:p>
            <w:pPr>
              <w:rPr>
                <w:color w:val="auto"/>
                <w:sz w:val="21"/>
                <w:szCs w:val="21"/>
                <w:highlight w:val="none"/>
              </w:rPr>
            </w:pPr>
            <w:r>
              <w:rPr>
                <w:rFonts w:hint="eastAsia"/>
                <w:color w:val="auto"/>
                <w:sz w:val="21"/>
                <w:szCs w:val="21"/>
                <w:highlight w:val="none"/>
              </w:rPr>
              <w:t>至少</w:t>
            </w:r>
            <w:r>
              <w:rPr>
                <w:color w:val="auto"/>
                <w:sz w:val="21"/>
                <w:szCs w:val="21"/>
                <w:highlight w:val="none"/>
              </w:rPr>
              <w:t>配置2</w:t>
            </w:r>
            <w:r>
              <w:rPr>
                <w:rFonts w:ascii="宋体" w:hAnsi="宋体"/>
                <w:color w:val="auto"/>
                <w:sz w:val="21"/>
                <w:szCs w:val="21"/>
                <w:highlight w:val="none"/>
              </w:rPr>
              <w:t>颗</w:t>
            </w:r>
            <w:r>
              <w:rPr>
                <w:color w:val="auto"/>
                <w:sz w:val="21"/>
                <w:szCs w:val="21"/>
                <w:highlight w:val="none"/>
              </w:rPr>
              <w:t>Intel Xeon E5-2620</w:t>
            </w:r>
            <w:r>
              <w:rPr>
                <w:rFonts w:ascii="宋体" w:hAnsi="宋体"/>
                <w:color w:val="auto"/>
                <w:sz w:val="21"/>
                <w:szCs w:val="21"/>
                <w:highlight w:val="none"/>
              </w:rPr>
              <w:t>六核处理器（</w:t>
            </w:r>
            <w:r>
              <w:rPr>
                <w:color w:val="auto"/>
                <w:sz w:val="21"/>
                <w:szCs w:val="21"/>
                <w:highlight w:val="none"/>
              </w:rPr>
              <w:t>2.0GHz</w:t>
            </w:r>
            <w:r>
              <w:rPr>
                <w:rFonts w:ascii="宋体" w:hAnsi="宋体"/>
                <w:color w:val="auto"/>
                <w:sz w:val="21"/>
                <w:szCs w:val="21"/>
                <w:highlight w:val="none"/>
              </w:rPr>
              <w:t>）</w:t>
            </w:r>
          </w:p>
          <w:p>
            <w:pPr>
              <w:rPr>
                <w:color w:val="auto"/>
                <w:sz w:val="21"/>
                <w:szCs w:val="21"/>
                <w:highlight w:val="none"/>
              </w:rPr>
            </w:pPr>
            <w:r>
              <w:rPr>
                <w:color w:val="auto"/>
                <w:sz w:val="21"/>
                <w:szCs w:val="21"/>
                <w:highlight w:val="none"/>
              </w:rPr>
              <w:t>当前配置</w:t>
            </w:r>
            <w:r>
              <w:rPr>
                <w:rFonts w:hint="eastAsia"/>
                <w:color w:val="auto"/>
                <w:sz w:val="21"/>
                <w:szCs w:val="21"/>
                <w:highlight w:val="none"/>
              </w:rPr>
              <w:t>不低于</w:t>
            </w:r>
            <w:r>
              <w:rPr>
                <w:color w:val="auto"/>
                <w:sz w:val="21"/>
                <w:szCs w:val="21"/>
                <w:highlight w:val="none"/>
              </w:rPr>
              <w:t>16GB</w:t>
            </w:r>
            <w:r>
              <w:rPr>
                <w:rFonts w:ascii="宋体" w:hAnsi="宋体"/>
                <w:color w:val="auto"/>
                <w:sz w:val="21"/>
                <w:szCs w:val="21"/>
                <w:highlight w:val="none"/>
              </w:rPr>
              <w:t>（</w:t>
            </w:r>
            <w:r>
              <w:rPr>
                <w:color w:val="auto"/>
                <w:sz w:val="21"/>
                <w:szCs w:val="21"/>
                <w:highlight w:val="none"/>
              </w:rPr>
              <w:t>8</w:t>
            </w:r>
            <w:r>
              <w:rPr>
                <w:rFonts w:hint="eastAsia"/>
                <w:color w:val="auto"/>
                <w:sz w:val="21"/>
                <w:szCs w:val="21"/>
                <w:highlight w:val="none"/>
              </w:rPr>
              <w:t>*</w:t>
            </w:r>
            <w:r>
              <w:rPr>
                <w:color w:val="auto"/>
                <w:sz w:val="21"/>
                <w:szCs w:val="21"/>
                <w:highlight w:val="none"/>
              </w:rPr>
              <w:t>2G</w:t>
            </w:r>
            <w:r>
              <w:rPr>
                <w:rFonts w:ascii="宋体" w:hAnsi="宋体"/>
                <w:color w:val="auto"/>
                <w:sz w:val="21"/>
                <w:szCs w:val="21"/>
                <w:highlight w:val="none"/>
              </w:rPr>
              <w:t xml:space="preserve">） </w:t>
            </w:r>
            <w:r>
              <w:rPr>
                <w:color w:val="auto"/>
                <w:sz w:val="21"/>
                <w:szCs w:val="21"/>
                <w:highlight w:val="none"/>
              </w:rPr>
              <w:t>DDR3</w:t>
            </w:r>
            <w:r>
              <w:rPr>
                <w:rFonts w:ascii="宋体" w:hAnsi="宋体"/>
                <w:color w:val="auto"/>
                <w:sz w:val="21"/>
                <w:szCs w:val="21"/>
                <w:highlight w:val="none"/>
              </w:rPr>
              <w:t>内存，最大支持</w:t>
            </w:r>
            <w:r>
              <w:rPr>
                <w:color w:val="auto"/>
                <w:sz w:val="21"/>
                <w:szCs w:val="21"/>
                <w:highlight w:val="none"/>
              </w:rPr>
              <w:t>8</w:t>
            </w:r>
            <w:r>
              <w:rPr>
                <w:rFonts w:ascii="宋体" w:hAnsi="宋体"/>
                <w:color w:val="auto"/>
                <w:sz w:val="21"/>
                <w:szCs w:val="21"/>
                <w:highlight w:val="none"/>
              </w:rPr>
              <w:t>块</w:t>
            </w:r>
            <w:r>
              <w:rPr>
                <w:color w:val="auto"/>
                <w:sz w:val="21"/>
                <w:szCs w:val="21"/>
                <w:highlight w:val="none"/>
              </w:rPr>
              <w:t>3.5</w:t>
            </w:r>
            <w:r>
              <w:rPr>
                <w:rFonts w:ascii="宋体" w:hAnsi="宋体"/>
                <w:color w:val="auto"/>
                <w:sz w:val="21"/>
                <w:szCs w:val="21"/>
                <w:highlight w:val="none"/>
              </w:rPr>
              <w:t>英寸硬盘</w:t>
            </w:r>
            <w:r>
              <w:rPr>
                <w:color w:val="auto"/>
                <w:sz w:val="21"/>
                <w:szCs w:val="21"/>
                <w:highlight w:val="none"/>
              </w:rPr>
              <w:t>/16</w:t>
            </w:r>
            <w:r>
              <w:rPr>
                <w:rFonts w:ascii="宋体" w:hAnsi="宋体"/>
                <w:color w:val="auto"/>
                <w:sz w:val="21"/>
                <w:szCs w:val="21"/>
                <w:highlight w:val="none"/>
              </w:rPr>
              <w:t>块</w:t>
            </w:r>
            <w:r>
              <w:rPr>
                <w:color w:val="auto"/>
                <w:sz w:val="21"/>
                <w:szCs w:val="21"/>
                <w:highlight w:val="none"/>
              </w:rPr>
              <w:t>2.5</w:t>
            </w:r>
            <w:r>
              <w:rPr>
                <w:rFonts w:ascii="宋体" w:hAnsi="宋体"/>
                <w:color w:val="auto"/>
                <w:sz w:val="21"/>
                <w:szCs w:val="21"/>
                <w:highlight w:val="none"/>
              </w:rPr>
              <w:t>英寸硬盘</w:t>
            </w:r>
          </w:p>
          <w:p>
            <w:pPr>
              <w:rPr>
                <w:color w:val="auto"/>
                <w:sz w:val="21"/>
                <w:szCs w:val="21"/>
                <w:highlight w:val="none"/>
              </w:rPr>
            </w:pPr>
            <w:r>
              <w:rPr>
                <w:rFonts w:hint="eastAsia"/>
                <w:color w:val="auto"/>
                <w:sz w:val="21"/>
                <w:szCs w:val="21"/>
                <w:highlight w:val="none"/>
              </w:rPr>
              <w:t>不低于</w:t>
            </w:r>
            <w:r>
              <w:rPr>
                <w:color w:val="auto"/>
                <w:sz w:val="21"/>
                <w:szCs w:val="21"/>
                <w:highlight w:val="none"/>
              </w:rPr>
              <w:t>Intel</w:t>
            </w:r>
            <w:r>
              <w:rPr>
                <w:rFonts w:ascii="宋体" w:hAnsi="宋体"/>
                <w:color w:val="auto"/>
                <w:sz w:val="21"/>
                <w:szCs w:val="21"/>
                <w:highlight w:val="none"/>
              </w:rPr>
              <w:t>四端口千兆网卡</w:t>
            </w:r>
            <w:r>
              <w:rPr>
                <w:color w:val="auto"/>
                <w:sz w:val="21"/>
                <w:szCs w:val="21"/>
                <w:highlight w:val="none"/>
              </w:rPr>
              <w:t>/</w:t>
            </w:r>
            <w:r>
              <w:rPr>
                <w:rFonts w:ascii="宋体" w:hAnsi="宋体"/>
                <w:color w:val="auto"/>
                <w:sz w:val="21"/>
                <w:szCs w:val="21"/>
                <w:highlight w:val="none"/>
              </w:rPr>
              <w:t>双端口万兆网卡</w:t>
            </w:r>
          </w:p>
          <w:p>
            <w:pPr>
              <w:rPr>
                <w:rFonts w:ascii="宋体" w:hAnsi="宋体"/>
                <w:color w:val="auto"/>
                <w:sz w:val="21"/>
                <w:szCs w:val="21"/>
                <w:highlight w:val="none"/>
              </w:rPr>
            </w:pPr>
            <w:r>
              <w:rPr>
                <w:color w:val="auto"/>
                <w:sz w:val="21"/>
                <w:szCs w:val="21"/>
                <w:highlight w:val="none"/>
              </w:rPr>
              <w:t>当前配置≥16</w:t>
            </w:r>
            <w:r>
              <w:rPr>
                <w:rFonts w:ascii="宋体" w:hAnsi="宋体"/>
                <w:color w:val="auto"/>
                <w:sz w:val="21"/>
                <w:szCs w:val="21"/>
                <w:highlight w:val="none"/>
              </w:rPr>
              <w:t>个内存插槽，最大可扩展至</w:t>
            </w:r>
            <w:r>
              <w:rPr>
                <w:color w:val="auto"/>
                <w:sz w:val="21"/>
                <w:szCs w:val="21"/>
                <w:highlight w:val="none"/>
              </w:rPr>
              <w:t>64</w:t>
            </w:r>
            <w:r>
              <w:rPr>
                <w:rFonts w:ascii="宋体" w:hAnsi="宋体"/>
                <w:color w:val="auto"/>
                <w:sz w:val="21"/>
                <w:szCs w:val="21"/>
                <w:highlight w:val="none"/>
              </w:rPr>
              <w:t>个内存插槽</w:t>
            </w:r>
          </w:p>
          <w:p>
            <w:pPr>
              <w:rPr>
                <w:color w:val="auto"/>
                <w:sz w:val="21"/>
                <w:szCs w:val="21"/>
                <w:highlight w:val="none"/>
              </w:rPr>
            </w:pPr>
            <w:r>
              <w:rPr>
                <w:rFonts w:hint="eastAsia" w:ascii="宋体" w:hAnsi="宋体"/>
                <w:color w:val="auto"/>
                <w:sz w:val="21"/>
                <w:szCs w:val="21"/>
                <w:highlight w:val="none"/>
              </w:rPr>
              <w:t>硬盘存储空间不低于3TB</w:t>
            </w:r>
          </w:p>
        </w:tc>
      </w:tr>
      <w:tr>
        <w:tblPrEx>
          <w:tblCellMar>
            <w:top w:w="0" w:type="dxa"/>
            <w:left w:w="108" w:type="dxa"/>
            <w:bottom w:w="0" w:type="dxa"/>
            <w:right w:w="108" w:type="dxa"/>
          </w:tblCellMar>
        </w:tblPrEx>
        <w:trPr>
          <w:trHeight w:val="270"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2</w:t>
            </w:r>
          </w:p>
        </w:tc>
        <w:tc>
          <w:tcPr>
            <w:tcW w:w="2688"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color w:val="auto"/>
                <w:sz w:val="21"/>
                <w:szCs w:val="21"/>
                <w:highlight w:val="none"/>
              </w:rPr>
              <w:t>服务器操作系统</w:t>
            </w:r>
            <w:r>
              <w:rPr>
                <w:rFonts w:hint="eastAsia"/>
                <w:color w:val="auto"/>
                <w:sz w:val="21"/>
                <w:szCs w:val="21"/>
                <w:highlight w:val="none"/>
              </w:rPr>
              <w:t>（要求正版）</w:t>
            </w:r>
          </w:p>
        </w:tc>
        <w:tc>
          <w:tcPr>
            <w:tcW w:w="5956"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color w:val="auto"/>
                <w:sz w:val="21"/>
                <w:szCs w:val="21"/>
                <w:highlight w:val="none"/>
              </w:rPr>
              <w:t>CentOS 7.6</w:t>
            </w:r>
            <w:r>
              <w:rPr>
                <w:rFonts w:hint="eastAsia"/>
                <w:color w:val="auto"/>
                <w:sz w:val="21"/>
                <w:szCs w:val="21"/>
                <w:highlight w:val="none"/>
              </w:rPr>
              <w:t>及以上版本</w:t>
            </w:r>
          </w:p>
        </w:tc>
      </w:tr>
      <w:tr>
        <w:tblPrEx>
          <w:tblCellMar>
            <w:top w:w="0" w:type="dxa"/>
            <w:left w:w="108" w:type="dxa"/>
            <w:bottom w:w="0" w:type="dxa"/>
            <w:right w:w="108" w:type="dxa"/>
          </w:tblCellMar>
        </w:tblPrEx>
        <w:trPr>
          <w:trHeight w:val="270"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3</w:t>
            </w:r>
          </w:p>
        </w:tc>
        <w:tc>
          <w:tcPr>
            <w:tcW w:w="2688"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color w:val="auto"/>
                <w:sz w:val="21"/>
                <w:szCs w:val="21"/>
                <w:highlight w:val="none"/>
              </w:rPr>
              <w:t>数据库软件</w:t>
            </w:r>
            <w:r>
              <w:rPr>
                <w:rFonts w:hint="eastAsia"/>
                <w:color w:val="auto"/>
                <w:sz w:val="21"/>
                <w:szCs w:val="21"/>
                <w:highlight w:val="none"/>
              </w:rPr>
              <w:t>（要求正版）</w:t>
            </w:r>
          </w:p>
        </w:tc>
        <w:tc>
          <w:tcPr>
            <w:tcW w:w="5956"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rFonts w:hint="eastAsia"/>
                <w:color w:val="auto"/>
                <w:sz w:val="21"/>
                <w:szCs w:val="21"/>
                <w:highlight w:val="none"/>
              </w:rPr>
              <w:t>Redis</w:t>
            </w:r>
          </w:p>
        </w:tc>
      </w:tr>
      <w:tr>
        <w:tblPrEx>
          <w:tblCellMar>
            <w:top w:w="0" w:type="dxa"/>
            <w:left w:w="108" w:type="dxa"/>
            <w:bottom w:w="0" w:type="dxa"/>
            <w:right w:w="108" w:type="dxa"/>
          </w:tblCellMar>
        </w:tblPrEx>
        <w:trPr>
          <w:trHeight w:val="60"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4</w:t>
            </w:r>
          </w:p>
        </w:tc>
        <w:tc>
          <w:tcPr>
            <w:tcW w:w="2688"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交换机</w:t>
            </w:r>
          </w:p>
        </w:tc>
        <w:tc>
          <w:tcPr>
            <w:tcW w:w="5956"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千兆以太网交换机</w:t>
            </w:r>
          </w:p>
          <w:p>
            <w:pPr>
              <w:rPr>
                <w:color w:val="auto"/>
                <w:sz w:val="21"/>
                <w:szCs w:val="21"/>
                <w:highlight w:val="none"/>
              </w:rPr>
            </w:pPr>
            <w:r>
              <w:rPr>
                <w:color w:val="auto"/>
                <w:sz w:val="21"/>
                <w:szCs w:val="21"/>
                <w:highlight w:val="none"/>
              </w:rPr>
              <w:t>传输速率</w:t>
            </w:r>
            <w:r>
              <w:rPr>
                <w:rFonts w:hint="eastAsia"/>
                <w:color w:val="auto"/>
                <w:sz w:val="21"/>
                <w:szCs w:val="21"/>
                <w:highlight w:val="none"/>
              </w:rPr>
              <w:t xml:space="preserve"> </w:t>
            </w:r>
            <w:r>
              <w:rPr>
                <w:color w:val="auto"/>
                <w:sz w:val="21"/>
                <w:szCs w:val="21"/>
                <w:highlight w:val="none"/>
              </w:rPr>
              <w:t xml:space="preserve">10/100/1000Mbps </w:t>
            </w:r>
          </w:p>
          <w:p>
            <w:pPr>
              <w:rPr>
                <w:color w:val="auto"/>
                <w:sz w:val="21"/>
                <w:szCs w:val="21"/>
                <w:highlight w:val="none"/>
              </w:rPr>
            </w:pPr>
            <w:r>
              <w:rPr>
                <w:color w:val="auto"/>
                <w:sz w:val="21"/>
                <w:szCs w:val="21"/>
                <w:highlight w:val="none"/>
              </w:rPr>
              <w:t xml:space="preserve">应用层级 三层 </w:t>
            </w:r>
          </w:p>
          <w:p>
            <w:pPr>
              <w:rPr>
                <w:color w:val="auto"/>
                <w:sz w:val="21"/>
                <w:szCs w:val="21"/>
                <w:highlight w:val="none"/>
              </w:rPr>
            </w:pPr>
            <w:r>
              <w:rPr>
                <w:color w:val="auto"/>
                <w:sz w:val="21"/>
                <w:szCs w:val="21"/>
                <w:highlight w:val="none"/>
              </w:rPr>
              <w:t>交换方式 存储-</w:t>
            </w:r>
            <w:r>
              <w:rPr>
                <w:rFonts w:ascii="宋体" w:hAnsi="宋体"/>
                <w:color w:val="auto"/>
                <w:sz w:val="21"/>
                <w:szCs w:val="21"/>
                <w:highlight w:val="none"/>
              </w:rPr>
              <w:t>转发</w:t>
            </w:r>
          </w:p>
          <w:p>
            <w:pPr>
              <w:rPr>
                <w:color w:val="auto"/>
                <w:sz w:val="21"/>
                <w:szCs w:val="21"/>
                <w:highlight w:val="none"/>
              </w:rPr>
            </w:pPr>
            <w:r>
              <w:rPr>
                <w:color w:val="auto"/>
                <w:sz w:val="21"/>
                <w:szCs w:val="21"/>
                <w:highlight w:val="none"/>
              </w:rPr>
              <w:t xml:space="preserve">背板带宽 </w:t>
            </w:r>
            <w:r>
              <w:rPr>
                <w:rFonts w:hint="eastAsia"/>
                <w:color w:val="auto"/>
                <w:sz w:val="21"/>
                <w:szCs w:val="21"/>
                <w:highlight w:val="none"/>
              </w:rPr>
              <w:t>不低于</w:t>
            </w:r>
            <w:r>
              <w:rPr>
                <w:color w:val="auto"/>
                <w:sz w:val="21"/>
                <w:szCs w:val="21"/>
                <w:highlight w:val="none"/>
              </w:rPr>
              <w:t xml:space="preserve">256Gbps </w:t>
            </w:r>
          </w:p>
        </w:tc>
      </w:tr>
      <w:tr>
        <w:tblPrEx>
          <w:tblCellMar>
            <w:top w:w="0" w:type="dxa"/>
            <w:left w:w="108" w:type="dxa"/>
            <w:bottom w:w="0" w:type="dxa"/>
            <w:right w:w="108" w:type="dxa"/>
          </w:tblCellMar>
        </w:tblPrEx>
        <w:trPr>
          <w:trHeight w:val="195"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5</w:t>
            </w:r>
          </w:p>
        </w:tc>
        <w:tc>
          <w:tcPr>
            <w:tcW w:w="2688"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color w:val="auto"/>
                <w:sz w:val="21"/>
                <w:szCs w:val="21"/>
                <w:highlight w:val="none"/>
              </w:rPr>
              <w:t>KVM</w:t>
            </w:r>
            <w:r>
              <w:rPr>
                <w:rFonts w:ascii="宋体" w:hAnsi="宋体"/>
                <w:color w:val="auto"/>
                <w:sz w:val="21"/>
                <w:szCs w:val="21"/>
                <w:highlight w:val="none"/>
              </w:rPr>
              <w:t>切换器</w:t>
            </w:r>
          </w:p>
        </w:tc>
        <w:tc>
          <w:tcPr>
            <w:tcW w:w="5956"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产品类型：KVM</w:t>
            </w:r>
            <w:r>
              <w:rPr>
                <w:rFonts w:ascii="宋体" w:hAnsi="宋体"/>
                <w:color w:val="auto"/>
                <w:sz w:val="21"/>
                <w:szCs w:val="21"/>
                <w:highlight w:val="none"/>
              </w:rPr>
              <w:t>一体机</w:t>
            </w:r>
          </w:p>
          <w:p>
            <w:pPr>
              <w:rPr>
                <w:color w:val="auto"/>
                <w:sz w:val="21"/>
                <w:szCs w:val="21"/>
                <w:highlight w:val="none"/>
              </w:rPr>
            </w:pPr>
            <w:r>
              <w:rPr>
                <w:color w:val="auto"/>
                <w:sz w:val="21"/>
                <w:szCs w:val="21"/>
                <w:highlight w:val="none"/>
              </w:rPr>
              <w:t>主要参数：17"LCD KVM</w:t>
            </w:r>
            <w:r>
              <w:rPr>
                <w:rFonts w:ascii="宋体" w:hAnsi="宋体"/>
                <w:color w:val="auto"/>
                <w:sz w:val="21"/>
                <w:szCs w:val="21"/>
                <w:highlight w:val="none"/>
              </w:rPr>
              <w:t>切换器</w:t>
            </w:r>
          </w:p>
          <w:p>
            <w:pPr>
              <w:rPr>
                <w:color w:val="auto"/>
                <w:sz w:val="21"/>
                <w:szCs w:val="21"/>
                <w:highlight w:val="none"/>
              </w:rPr>
            </w:pPr>
            <w:r>
              <w:rPr>
                <w:color w:val="auto"/>
                <w:sz w:val="21"/>
                <w:szCs w:val="21"/>
                <w:highlight w:val="none"/>
              </w:rPr>
              <w:t>接口数：</w:t>
            </w:r>
            <w:r>
              <w:rPr>
                <w:rFonts w:hint="eastAsia"/>
                <w:color w:val="auto"/>
                <w:sz w:val="21"/>
                <w:szCs w:val="21"/>
                <w:highlight w:val="none"/>
              </w:rPr>
              <w:t>不低于</w:t>
            </w:r>
            <w:r>
              <w:rPr>
                <w:color w:val="auto"/>
                <w:sz w:val="21"/>
                <w:szCs w:val="21"/>
                <w:highlight w:val="none"/>
              </w:rPr>
              <w:t>8</w:t>
            </w:r>
            <w:r>
              <w:rPr>
                <w:rFonts w:ascii="宋体" w:hAnsi="宋体"/>
                <w:color w:val="auto"/>
                <w:sz w:val="21"/>
                <w:szCs w:val="21"/>
                <w:highlight w:val="none"/>
              </w:rPr>
              <w:t>口</w:t>
            </w:r>
          </w:p>
          <w:p>
            <w:pPr>
              <w:rPr>
                <w:color w:val="auto"/>
                <w:sz w:val="21"/>
                <w:szCs w:val="21"/>
                <w:highlight w:val="none"/>
              </w:rPr>
            </w:pPr>
            <w:r>
              <w:rPr>
                <w:color w:val="auto"/>
                <w:sz w:val="21"/>
                <w:szCs w:val="21"/>
                <w:highlight w:val="none"/>
              </w:rPr>
              <w:t xml:space="preserve">输出接口：HDB15 </w:t>
            </w:r>
          </w:p>
        </w:tc>
      </w:tr>
      <w:tr>
        <w:tblPrEx>
          <w:tblCellMar>
            <w:top w:w="0" w:type="dxa"/>
            <w:left w:w="108" w:type="dxa"/>
            <w:bottom w:w="0" w:type="dxa"/>
            <w:right w:w="108" w:type="dxa"/>
          </w:tblCellMar>
        </w:tblPrEx>
        <w:trPr>
          <w:trHeight w:val="450" w:hRule="atLeast"/>
        </w:trPr>
        <w:tc>
          <w:tcPr>
            <w:tcW w:w="984" w:type="dxa"/>
            <w:tcBorders>
              <w:top w:val="nil"/>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6</w:t>
            </w:r>
          </w:p>
        </w:tc>
        <w:tc>
          <w:tcPr>
            <w:tcW w:w="2688" w:type="dxa"/>
            <w:tcBorders>
              <w:top w:val="nil"/>
              <w:left w:val="nil"/>
              <w:bottom w:val="single" w:color="auto" w:sz="4" w:space="0"/>
              <w:right w:val="single" w:color="auto" w:sz="4" w:space="0"/>
            </w:tcBorders>
            <w:shd w:val="clear" w:color="auto" w:fill="FFFFFF"/>
            <w:vAlign w:val="center"/>
          </w:tcPr>
          <w:p>
            <w:pPr>
              <w:rPr>
                <w:color w:val="auto"/>
                <w:sz w:val="21"/>
                <w:szCs w:val="21"/>
                <w:highlight w:val="none"/>
              </w:rPr>
            </w:pPr>
            <w:r>
              <w:rPr>
                <w:color w:val="auto"/>
                <w:sz w:val="21"/>
                <w:szCs w:val="21"/>
                <w:highlight w:val="none"/>
              </w:rPr>
              <w:t>网闸</w:t>
            </w:r>
          </w:p>
        </w:tc>
        <w:tc>
          <w:tcPr>
            <w:tcW w:w="5956" w:type="dxa"/>
            <w:tcBorders>
              <w:top w:val="nil"/>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内外网数据交换安全隔离网闸（含全部功能模块）</w:t>
            </w:r>
            <w:r>
              <w:rPr>
                <w:rFonts w:hint="eastAsia"/>
                <w:color w:val="auto"/>
                <w:sz w:val="21"/>
                <w:szCs w:val="21"/>
                <w:highlight w:val="none"/>
              </w:rPr>
              <w:t>，</w:t>
            </w:r>
            <w:r>
              <w:rPr>
                <w:color w:val="auto"/>
                <w:sz w:val="21"/>
                <w:szCs w:val="21"/>
                <w:highlight w:val="none"/>
              </w:rPr>
              <w:t>2U</w:t>
            </w:r>
            <w:r>
              <w:rPr>
                <w:rFonts w:ascii="宋体" w:hAnsi="宋体"/>
                <w:color w:val="auto"/>
                <w:sz w:val="21"/>
                <w:szCs w:val="21"/>
                <w:highlight w:val="none"/>
              </w:rPr>
              <w:t>机架式，</w:t>
            </w:r>
            <w:r>
              <w:rPr>
                <w:rFonts w:hint="eastAsia" w:ascii="宋体" w:hAnsi="宋体"/>
                <w:color w:val="auto"/>
                <w:sz w:val="21"/>
                <w:szCs w:val="21"/>
                <w:highlight w:val="none"/>
              </w:rPr>
              <w:t>不少于</w:t>
            </w:r>
            <w:r>
              <w:rPr>
                <w:color w:val="auto"/>
                <w:sz w:val="21"/>
                <w:szCs w:val="21"/>
                <w:highlight w:val="none"/>
              </w:rPr>
              <w:t>6</w:t>
            </w:r>
            <w:r>
              <w:rPr>
                <w:rFonts w:ascii="宋体" w:hAnsi="宋体"/>
                <w:color w:val="auto"/>
                <w:sz w:val="21"/>
                <w:szCs w:val="21"/>
                <w:highlight w:val="none"/>
              </w:rPr>
              <w:t>个</w:t>
            </w:r>
            <w:r>
              <w:rPr>
                <w:color w:val="auto"/>
                <w:sz w:val="21"/>
                <w:szCs w:val="21"/>
                <w:highlight w:val="none"/>
              </w:rPr>
              <w:t>10/100/1000M</w:t>
            </w:r>
            <w:r>
              <w:rPr>
                <w:rFonts w:ascii="宋体" w:hAnsi="宋体"/>
                <w:color w:val="auto"/>
                <w:sz w:val="21"/>
                <w:szCs w:val="21"/>
                <w:highlight w:val="none"/>
              </w:rPr>
              <w:t>自适应电口，内外网具有独立的管理口、</w:t>
            </w:r>
            <w:r>
              <w:rPr>
                <w:color w:val="auto"/>
                <w:sz w:val="21"/>
                <w:szCs w:val="21"/>
                <w:highlight w:val="none"/>
              </w:rPr>
              <w:t>HA</w:t>
            </w:r>
            <w:r>
              <w:rPr>
                <w:rFonts w:ascii="宋体" w:hAnsi="宋体"/>
                <w:color w:val="auto"/>
                <w:sz w:val="21"/>
                <w:szCs w:val="21"/>
                <w:highlight w:val="none"/>
              </w:rPr>
              <w:t>口（热备口）。</w:t>
            </w:r>
          </w:p>
        </w:tc>
      </w:tr>
      <w:tr>
        <w:tblPrEx>
          <w:tblCellMar>
            <w:top w:w="0" w:type="dxa"/>
            <w:left w:w="108" w:type="dxa"/>
            <w:bottom w:w="0" w:type="dxa"/>
            <w:right w:w="108" w:type="dxa"/>
          </w:tblCellMar>
        </w:tblPrEx>
        <w:trPr>
          <w:trHeight w:val="450" w:hRule="atLeast"/>
        </w:trPr>
        <w:tc>
          <w:tcPr>
            <w:tcW w:w="984"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7</w:t>
            </w:r>
          </w:p>
        </w:tc>
        <w:tc>
          <w:tcPr>
            <w:tcW w:w="2688" w:type="dxa"/>
            <w:tcBorders>
              <w:top w:val="single" w:color="auto" w:sz="4" w:space="0"/>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视频AI</w:t>
            </w:r>
            <w:r>
              <w:rPr>
                <w:rFonts w:ascii="宋体" w:hAnsi="宋体"/>
                <w:color w:val="auto"/>
                <w:sz w:val="21"/>
                <w:szCs w:val="21"/>
                <w:highlight w:val="none"/>
              </w:rPr>
              <w:t>、</w:t>
            </w:r>
            <w:r>
              <w:rPr>
                <w:color w:val="auto"/>
                <w:sz w:val="21"/>
                <w:szCs w:val="21"/>
                <w:highlight w:val="none"/>
              </w:rPr>
              <w:t>GPU</w:t>
            </w:r>
            <w:r>
              <w:rPr>
                <w:rFonts w:ascii="宋体" w:hAnsi="宋体"/>
                <w:color w:val="auto"/>
                <w:sz w:val="21"/>
                <w:szCs w:val="21"/>
                <w:highlight w:val="none"/>
              </w:rPr>
              <w:t>服务器</w:t>
            </w:r>
          </w:p>
        </w:tc>
        <w:tc>
          <w:tcPr>
            <w:tcW w:w="5956" w:type="dxa"/>
            <w:tcBorders>
              <w:top w:val="single" w:color="auto" w:sz="4" w:space="0"/>
              <w:left w:val="nil"/>
              <w:bottom w:val="single" w:color="auto" w:sz="4" w:space="0"/>
              <w:right w:val="single" w:color="auto" w:sz="4" w:space="0"/>
            </w:tcBorders>
            <w:vAlign w:val="center"/>
          </w:tcPr>
          <w:p>
            <w:pPr>
              <w:rPr>
                <w:color w:val="auto"/>
                <w:sz w:val="21"/>
                <w:szCs w:val="21"/>
                <w:highlight w:val="none"/>
              </w:rPr>
            </w:pPr>
            <w:r>
              <w:rPr>
                <w:color w:val="auto"/>
                <w:sz w:val="21"/>
                <w:szCs w:val="21"/>
                <w:highlight w:val="none"/>
              </w:rPr>
              <w:t>CPU</w:t>
            </w:r>
            <w:r>
              <w:rPr>
                <w:rFonts w:hint="eastAsia"/>
                <w:color w:val="auto"/>
                <w:sz w:val="21"/>
                <w:szCs w:val="21"/>
                <w:highlight w:val="none"/>
              </w:rPr>
              <w:t>：</w:t>
            </w:r>
            <w:r>
              <w:rPr>
                <w:color w:val="auto"/>
                <w:sz w:val="21"/>
                <w:szCs w:val="21"/>
                <w:highlight w:val="none"/>
              </w:rPr>
              <w:t xml:space="preserve"> Intel i7 7800x</w:t>
            </w:r>
            <w:r>
              <w:rPr>
                <w:rFonts w:hint="eastAsia"/>
                <w:color w:val="auto"/>
                <w:sz w:val="21"/>
                <w:szCs w:val="21"/>
                <w:highlight w:val="none"/>
              </w:rPr>
              <w:t>及以上</w:t>
            </w:r>
          </w:p>
          <w:p>
            <w:pPr>
              <w:rPr>
                <w:color w:val="auto"/>
                <w:sz w:val="21"/>
                <w:szCs w:val="21"/>
                <w:highlight w:val="none"/>
              </w:rPr>
            </w:pPr>
            <w:r>
              <w:rPr>
                <w:color w:val="auto"/>
                <w:sz w:val="21"/>
                <w:szCs w:val="21"/>
                <w:highlight w:val="none"/>
              </w:rPr>
              <w:t>GPU</w:t>
            </w:r>
            <w:r>
              <w:rPr>
                <w:rFonts w:hint="eastAsia"/>
                <w:color w:val="auto"/>
                <w:sz w:val="21"/>
                <w:szCs w:val="21"/>
                <w:highlight w:val="none"/>
              </w:rPr>
              <w:t>：</w:t>
            </w:r>
            <w:r>
              <w:rPr>
                <w:color w:val="auto"/>
                <w:sz w:val="21"/>
                <w:szCs w:val="21"/>
                <w:highlight w:val="none"/>
              </w:rPr>
              <w:t xml:space="preserve"> GTX1070</w:t>
            </w: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及以上</w:t>
            </w:r>
          </w:p>
          <w:p>
            <w:pPr>
              <w:rPr>
                <w:color w:val="auto"/>
                <w:sz w:val="21"/>
                <w:szCs w:val="21"/>
                <w:highlight w:val="none"/>
              </w:rPr>
            </w:pPr>
            <w:r>
              <w:rPr>
                <w:color w:val="auto"/>
                <w:sz w:val="21"/>
                <w:szCs w:val="21"/>
                <w:highlight w:val="none"/>
              </w:rPr>
              <w:t>硬盘：</w:t>
            </w:r>
            <w:r>
              <w:rPr>
                <w:rFonts w:hint="eastAsia"/>
                <w:color w:val="auto"/>
                <w:sz w:val="21"/>
                <w:szCs w:val="21"/>
                <w:highlight w:val="none"/>
              </w:rPr>
              <w:t>不小于</w:t>
            </w:r>
            <w:r>
              <w:rPr>
                <w:color w:val="auto"/>
                <w:sz w:val="21"/>
                <w:szCs w:val="21"/>
                <w:highlight w:val="none"/>
              </w:rPr>
              <w:t>500GBSSD+2TB</w:t>
            </w:r>
            <w:r>
              <w:rPr>
                <w:rFonts w:hint="eastAsia"/>
                <w:color w:val="auto"/>
                <w:sz w:val="21"/>
                <w:szCs w:val="21"/>
                <w:highlight w:val="none"/>
              </w:rPr>
              <w:t>*</w:t>
            </w:r>
            <w:r>
              <w:rPr>
                <w:color w:val="auto"/>
                <w:sz w:val="21"/>
                <w:szCs w:val="21"/>
                <w:highlight w:val="none"/>
              </w:rPr>
              <w:t>2 SAS</w:t>
            </w:r>
          </w:p>
          <w:p>
            <w:pPr>
              <w:rPr>
                <w:color w:val="auto"/>
                <w:sz w:val="21"/>
                <w:szCs w:val="21"/>
                <w:highlight w:val="none"/>
              </w:rPr>
            </w:pPr>
            <w:r>
              <w:rPr>
                <w:color w:val="auto"/>
                <w:sz w:val="21"/>
                <w:szCs w:val="21"/>
                <w:highlight w:val="none"/>
              </w:rPr>
              <w:t>专用机箱</w:t>
            </w:r>
          </w:p>
          <w:p>
            <w:pPr>
              <w:rPr>
                <w:color w:val="auto"/>
                <w:sz w:val="21"/>
                <w:szCs w:val="21"/>
                <w:highlight w:val="none"/>
              </w:rPr>
            </w:pPr>
            <w:r>
              <w:rPr>
                <w:color w:val="auto"/>
                <w:sz w:val="21"/>
                <w:szCs w:val="21"/>
                <w:highlight w:val="none"/>
              </w:rPr>
              <w:t>专用散热器</w:t>
            </w:r>
          </w:p>
          <w:p>
            <w:pPr>
              <w:rPr>
                <w:color w:val="auto"/>
                <w:sz w:val="21"/>
                <w:szCs w:val="21"/>
                <w:highlight w:val="none"/>
              </w:rPr>
            </w:pPr>
            <w:r>
              <w:rPr>
                <w:rFonts w:hint="eastAsia"/>
                <w:color w:val="auto"/>
                <w:sz w:val="21"/>
                <w:szCs w:val="21"/>
                <w:highlight w:val="none"/>
              </w:rPr>
              <w:t>不低于</w:t>
            </w:r>
            <w:r>
              <w:rPr>
                <w:color w:val="auto"/>
                <w:sz w:val="21"/>
                <w:szCs w:val="21"/>
                <w:highlight w:val="none"/>
              </w:rPr>
              <w:t>1610W</w:t>
            </w:r>
            <w:r>
              <w:rPr>
                <w:rFonts w:ascii="宋体" w:hAnsi="宋体"/>
                <w:color w:val="auto"/>
                <w:sz w:val="21"/>
                <w:szCs w:val="21"/>
                <w:highlight w:val="none"/>
              </w:rPr>
              <w:t>电源</w:t>
            </w:r>
          </w:p>
        </w:tc>
      </w:tr>
      <w:tr>
        <w:tblPrEx>
          <w:tblCellMar>
            <w:top w:w="0" w:type="dxa"/>
            <w:left w:w="108" w:type="dxa"/>
            <w:bottom w:w="0" w:type="dxa"/>
            <w:right w:w="108" w:type="dxa"/>
          </w:tblCellMar>
        </w:tblPrEx>
        <w:trPr>
          <w:trHeight w:val="450" w:hRule="atLeast"/>
        </w:trPr>
        <w:tc>
          <w:tcPr>
            <w:tcW w:w="984"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8</w:t>
            </w:r>
          </w:p>
        </w:tc>
        <w:tc>
          <w:tcPr>
            <w:tcW w:w="2688" w:type="dxa"/>
            <w:tcBorders>
              <w:top w:val="single" w:color="auto" w:sz="4" w:space="0"/>
              <w:left w:val="nil"/>
              <w:bottom w:val="single" w:color="auto" w:sz="4" w:space="0"/>
              <w:right w:val="single" w:color="auto" w:sz="4" w:space="0"/>
            </w:tcBorders>
            <w:vAlign w:val="center"/>
          </w:tcPr>
          <w:p>
            <w:pPr>
              <w:rPr>
                <w:color w:val="auto"/>
                <w:sz w:val="21"/>
                <w:szCs w:val="21"/>
                <w:highlight w:val="none"/>
              </w:rPr>
            </w:pPr>
            <w:r>
              <w:rPr>
                <w:rFonts w:hint="eastAsia" w:ascii="宋体" w:hAnsi="宋体"/>
                <w:color w:val="auto"/>
                <w:kern w:val="0"/>
                <w:sz w:val="20"/>
                <w:highlight w:val="none"/>
              </w:rPr>
              <w:t>200万红外高清半球型网络摄像机</w:t>
            </w:r>
          </w:p>
        </w:tc>
        <w:tc>
          <w:tcPr>
            <w:tcW w:w="5956" w:type="dxa"/>
            <w:tcBorders>
              <w:top w:val="single" w:color="auto" w:sz="4" w:space="0"/>
              <w:left w:val="nil"/>
              <w:bottom w:val="single" w:color="auto" w:sz="4" w:space="0"/>
              <w:right w:val="single" w:color="auto" w:sz="4" w:space="0"/>
            </w:tcBorders>
            <w:vAlign w:val="center"/>
          </w:tcPr>
          <w:p>
            <w:pPr>
              <w:rPr>
                <w:color w:val="auto"/>
                <w:sz w:val="21"/>
                <w:szCs w:val="21"/>
                <w:highlight w:val="none"/>
              </w:rPr>
            </w:pPr>
            <w:r>
              <w:rPr>
                <w:rFonts w:hint="eastAsia"/>
                <w:color w:val="auto"/>
                <w:sz w:val="21"/>
                <w:szCs w:val="21"/>
                <w:highlight w:val="none"/>
              </w:rPr>
              <w:t>采用不低于200万像素CMOS</w:t>
            </w:r>
            <w:r>
              <w:rPr>
                <w:rFonts w:hint="eastAsia" w:ascii="宋体" w:hAnsi="宋体"/>
                <w:color w:val="auto"/>
                <w:sz w:val="21"/>
                <w:szCs w:val="21"/>
                <w:highlight w:val="none"/>
              </w:rPr>
              <w:t>传感器</w:t>
            </w:r>
          </w:p>
          <w:p>
            <w:pPr>
              <w:rPr>
                <w:color w:val="auto"/>
                <w:sz w:val="21"/>
                <w:szCs w:val="21"/>
                <w:highlight w:val="none"/>
              </w:rPr>
            </w:pPr>
            <w:r>
              <w:rPr>
                <w:rFonts w:hint="eastAsia"/>
                <w:color w:val="auto"/>
                <w:sz w:val="21"/>
                <w:szCs w:val="21"/>
                <w:highlight w:val="none"/>
              </w:rPr>
              <w:t>支持2.8-12mm</w:t>
            </w:r>
            <w:r>
              <w:rPr>
                <w:rFonts w:hint="eastAsia" w:ascii="宋体" w:hAnsi="宋体"/>
                <w:color w:val="auto"/>
                <w:sz w:val="21"/>
                <w:szCs w:val="21"/>
                <w:highlight w:val="none"/>
              </w:rPr>
              <w:t>电动变焦镜头</w:t>
            </w:r>
          </w:p>
          <w:p>
            <w:pPr>
              <w:rPr>
                <w:color w:val="auto"/>
                <w:sz w:val="21"/>
                <w:szCs w:val="21"/>
                <w:highlight w:val="none"/>
              </w:rPr>
            </w:pPr>
            <w:r>
              <w:rPr>
                <w:rFonts w:hint="eastAsia"/>
                <w:color w:val="auto"/>
                <w:sz w:val="21"/>
                <w:szCs w:val="21"/>
                <w:highlight w:val="none"/>
              </w:rPr>
              <w:t>支持H.265/H.264</w:t>
            </w:r>
            <w:r>
              <w:rPr>
                <w:rFonts w:hint="eastAsia" w:ascii="宋体" w:hAnsi="宋体"/>
                <w:color w:val="auto"/>
                <w:sz w:val="21"/>
                <w:szCs w:val="21"/>
                <w:highlight w:val="none"/>
              </w:rPr>
              <w:t>视频编码算法</w:t>
            </w:r>
          </w:p>
          <w:p>
            <w:pPr>
              <w:rPr>
                <w:color w:val="auto"/>
                <w:sz w:val="21"/>
                <w:szCs w:val="21"/>
                <w:highlight w:val="none"/>
              </w:rPr>
            </w:pPr>
            <w:r>
              <w:rPr>
                <w:rFonts w:hint="eastAsia"/>
                <w:color w:val="auto"/>
                <w:sz w:val="21"/>
                <w:szCs w:val="21"/>
                <w:highlight w:val="none"/>
              </w:rPr>
              <w:t>最大输出分辨率不低于1920*1080@25fps/30fps</w:t>
            </w:r>
            <w:r>
              <w:rPr>
                <w:rFonts w:hint="eastAsia" w:ascii="宋体" w:hAnsi="宋体"/>
                <w:color w:val="auto"/>
                <w:sz w:val="21"/>
                <w:szCs w:val="21"/>
                <w:highlight w:val="none"/>
              </w:rPr>
              <w:t>，支持三码流传输</w:t>
            </w:r>
          </w:p>
          <w:p>
            <w:pPr>
              <w:rPr>
                <w:color w:val="auto"/>
                <w:sz w:val="21"/>
                <w:szCs w:val="21"/>
                <w:highlight w:val="none"/>
              </w:rPr>
            </w:pPr>
            <w:r>
              <w:rPr>
                <w:rFonts w:hint="eastAsia"/>
                <w:color w:val="auto"/>
                <w:sz w:val="21"/>
                <w:szCs w:val="21"/>
                <w:highlight w:val="none"/>
              </w:rPr>
              <w:t>支持真实宽动态，动态范围120dB</w:t>
            </w:r>
            <w:r>
              <w:rPr>
                <w:rFonts w:hint="eastAsia" w:ascii="宋体" w:hAnsi="宋体"/>
                <w:color w:val="auto"/>
                <w:sz w:val="21"/>
                <w:szCs w:val="21"/>
                <w:highlight w:val="none"/>
              </w:rPr>
              <w:t>，适合逆光环境</w:t>
            </w:r>
          </w:p>
          <w:p>
            <w:pPr>
              <w:rPr>
                <w:color w:val="auto"/>
                <w:sz w:val="21"/>
                <w:szCs w:val="21"/>
                <w:highlight w:val="none"/>
              </w:rPr>
            </w:pPr>
            <w:r>
              <w:rPr>
                <w:rFonts w:hint="eastAsia"/>
                <w:color w:val="auto"/>
                <w:sz w:val="21"/>
                <w:szCs w:val="21"/>
                <w:highlight w:val="none"/>
              </w:rPr>
              <w:t>采用高灵敏度传感器，满足星光级监控需求</w:t>
            </w:r>
          </w:p>
          <w:p>
            <w:pPr>
              <w:rPr>
                <w:color w:val="auto"/>
                <w:sz w:val="21"/>
                <w:szCs w:val="21"/>
                <w:highlight w:val="none"/>
              </w:rPr>
            </w:pPr>
            <w:r>
              <w:rPr>
                <w:rFonts w:hint="eastAsia"/>
                <w:color w:val="auto"/>
                <w:sz w:val="21"/>
                <w:szCs w:val="21"/>
                <w:highlight w:val="none"/>
              </w:rPr>
              <w:t>支持人脸检测、周界入侵、物品遗留/</w:t>
            </w:r>
            <w:r>
              <w:rPr>
                <w:rFonts w:hint="eastAsia" w:ascii="宋体" w:hAnsi="宋体"/>
                <w:color w:val="auto"/>
                <w:sz w:val="21"/>
                <w:szCs w:val="21"/>
                <w:highlight w:val="none"/>
              </w:rPr>
              <w:t>盗移、跨越围栏、逆行检测、徘徊检测、密度检测、数量统计等高级智能化功能</w:t>
            </w:r>
          </w:p>
          <w:p>
            <w:pPr>
              <w:rPr>
                <w:color w:val="auto"/>
                <w:sz w:val="21"/>
                <w:szCs w:val="21"/>
                <w:highlight w:val="none"/>
              </w:rPr>
            </w:pPr>
            <w:r>
              <w:rPr>
                <w:rFonts w:hint="eastAsia"/>
                <w:color w:val="auto"/>
                <w:sz w:val="21"/>
                <w:szCs w:val="21"/>
                <w:highlight w:val="none"/>
              </w:rPr>
              <w:t>支持三种视频诊断功能：图像偏色检测、图像虚焦检测、摄像机移位检测</w:t>
            </w:r>
          </w:p>
          <w:p>
            <w:pPr>
              <w:rPr>
                <w:color w:val="auto"/>
                <w:sz w:val="21"/>
                <w:szCs w:val="21"/>
                <w:highlight w:val="none"/>
              </w:rPr>
            </w:pPr>
            <w:r>
              <w:rPr>
                <w:rFonts w:hint="eastAsia"/>
                <w:color w:val="auto"/>
                <w:sz w:val="21"/>
                <w:szCs w:val="21"/>
                <w:highlight w:val="none"/>
              </w:rPr>
              <w:t>支持走廊模式、感兴趣区域（ROI</w:t>
            </w:r>
            <w:r>
              <w:rPr>
                <w:rFonts w:hint="eastAsia" w:ascii="宋体" w:hAnsi="宋体"/>
                <w:color w:val="auto"/>
                <w:sz w:val="21"/>
                <w:szCs w:val="21"/>
                <w:highlight w:val="none"/>
              </w:rPr>
              <w:t>）</w:t>
            </w:r>
          </w:p>
          <w:p>
            <w:pPr>
              <w:rPr>
                <w:color w:val="auto"/>
                <w:sz w:val="21"/>
                <w:szCs w:val="21"/>
                <w:highlight w:val="none"/>
              </w:rPr>
            </w:pPr>
            <w:r>
              <w:rPr>
                <w:rFonts w:hint="eastAsia"/>
                <w:color w:val="auto"/>
                <w:sz w:val="21"/>
                <w:szCs w:val="21"/>
                <w:highlight w:val="none"/>
              </w:rPr>
              <w:t>支持数字水印加密，防止数据被篡改</w:t>
            </w:r>
          </w:p>
          <w:p>
            <w:pPr>
              <w:rPr>
                <w:color w:val="auto"/>
                <w:sz w:val="21"/>
                <w:szCs w:val="21"/>
                <w:highlight w:val="none"/>
              </w:rPr>
            </w:pPr>
            <w:r>
              <w:rPr>
                <w:rFonts w:hint="eastAsia"/>
                <w:color w:val="auto"/>
                <w:sz w:val="21"/>
                <w:szCs w:val="21"/>
                <w:highlight w:val="none"/>
              </w:rPr>
              <w:t>支持IR_CUT</w:t>
            </w:r>
            <w:r>
              <w:rPr>
                <w:rFonts w:hint="eastAsia" w:ascii="宋体" w:hAnsi="宋体"/>
                <w:color w:val="auto"/>
                <w:sz w:val="21"/>
                <w:szCs w:val="21"/>
                <w:highlight w:val="none"/>
              </w:rPr>
              <w:t>（红外滤片式自动切换），实现真正的日夜监控</w:t>
            </w:r>
          </w:p>
          <w:p>
            <w:pPr>
              <w:rPr>
                <w:color w:val="auto"/>
                <w:sz w:val="21"/>
                <w:szCs w:val="21"/>
                <w:highlight w:val="none"/>
              </w:rPr>
            </w:pPr>
            <w:r>
              <w:rPr>
                <w:rFonts w:hint="eastAsia"/>
                <w:color w:val="auto"/>
                <w:sz w:val="21"/>
                <w:szCs w:val="21"/>
                <w:highlight w:val="none"/>
              </w:rPr>
              <w:t>支持手机直连监控，支持私网穿透</w:t>
            </w:r>
          </w:p>
          <w:p>
            <w:pPr>
              <w:rPr>
                <w:color w:val="auto"/>
                <w:sz w:val="21"/>
                <w:szCs w:val="21"/>
                <w:highlight w:val="none"/>
              </w:rPr>
            </w:pPr>
            <w:r>
              <w:rPr>
                <w:rFonts w:hint="eastAsia"/>
                <w:color w:val="auto"/>
                <w:sz w:val="21"/>
                <w:szCs w:val="21"/>
                <w:highlight w:val="none"/>
              </w:rPr>
              <w:t>支持Onvif/CGI/GB28181</w:t>
            </w:r>
          </w:p>
          <w:p>
            <w:pPr>
              <w:rPr>
                <w:color w:val="auto"/>
                <w:sz w:val="21"/>
                <w:szCs w:val="21"/>
                <w:highlight w:val="none"/>
              </w:rPr>
            </w:pPr>
            <w:r>
              <w:rPr>
                <w:rFonts w:hint="eastAsia"/>
                <w:color w:val="auto"/>
                <w:sz w:val="21"/>
                <w:szCs w:val="21"/>
                <w:highlight w:val="none"/>
              </w:rPr>
              <w:t>支持移动侦测，网络异常，遮挡报警等智能报警</w:t>
            </w:r>
          </w:p>
          <w:p>
            <w:pPr>
              <w:rPr>
                <w:color w:val="auto"/>
                <w:sz w:val="21"/>
                <w:szCs w:val="21"/>
                <w:highlight w:val="none"/>
              </w:rPr>
            </w:pPr>
            <w:r>
              <w:rPr>
                <w:rFonts w:hint="eastAsia"/>
                <w:color w:val="auto"/>
                <w:sz w:val="21"/>
                <w:szCs w:val="21"/>
                <w:highlight w:val="none"/>
              </w:rPr>
              <w:t>支持音频/</w:t>
            </w:r>
            <w:r>
              <w:rPr>
                <w:rFonts w:hint="eastAsia" w:ascii="宋体" w:hAnsi="宋体"/>
                <w:color w:val="auto"/>
                <w:sz w:val="21"/>
                <w:szCs w:val="21"/>
                <w:highlight w:val="none"/>
              </w:rPr>
              <w:t>报警</w:t>
            </w:r>
            <w:r>
              <w:rPr>
                <w:rFonts w:hint="eastAsia"/>
                <w:color w:val="auto"/>
                <w:sz w:val="21"/>
                <w:szCs w:val="21"/>
                <w:highlight w:val="none"/>
              </w:rPr>
              <w:t>/RS485/</w:t>
            </w:r>
            <w:r>
              <w:rPr>
                <w:rFonts w:hint="eastAsia" w:ascii="宋体" w:hAnsi="宋体"/>
                <w:color w:val="auto"/>
                <w:sz w:val="21"/>
                <w:szCs w:val="21"/>
                <w:highlight w:val="none"/>
              </w:rPr>
              <w:t>模拟输出等全功能接口</w:t>
            </w:r>
          </w:p>
          <w:p>
            <w:pPr>
              <w:rPr>
                <w:color w:val="auto"/>
                <w:sz w:val="21"/>
                <w:szCs w:val="21"/>
                <w:highlight w:val="none"/>
              </w:rPr>
            </w:pPr>
            <w:r>
              <w:rPr>
                <w:rFonts w:hint="eastAsia"/>
                <w:color w:val="auto"/>
                <w:sz w:val="21"/>
                <w:szCs w:val="21"/>
                <w:highlight w:val="none"/>
              </w:rPr>
              <w:t>支持POE</w:t>
            </w:r>
            <w:r>
              <w:rPr>
                <w:rFonts w:hint="eastAsia" w:ascii="宋体" w:hAnsi="宋体"/>
                <w:color w:val="auto"/>
                <w:sz w:val="21"/>
                <w:szCs w:val="21"/>
                <w:highlight w:val="none"/>
              </w:rPr>
              <w:t>供电，支持</w:t>
            </w:r>
            <w:r>
              <w:rPr>
                <w:rFonts w:hint="eastAsia"/>
                <w:color w:val="auto"/>
                <w:sz w:val="21"/>
                <w:szCs w:val="21"/>
                <w:highlight w:val="none"/>
              </w:rPr>
              <w:t>reset</w:t>
            </w:r>
            <w:r>
              <w:rPr>
                <w:rFonts w:hint="eastAsia" w:ascii="宋体" w:hAnsi="宋体"/>
                <w:color w:val="auto"/>
                <w:sz w:val="21"/>
                <w:szCs w:val="21"/>
                <w:highlight w:val="none"/>
              </w:rPr>
              <w:t>复位按键，支持本地</w:t>
            </w:r>
            <w:r>
              <w:rPr>
                <w:rFonts w:hint="eastAsia"/>
                <w:color w:val="auto"/>
                <w:sz w:val="21"/>
                <w:szCs w:val="21"/>
                <w:highlight w:val="none"/>
              </w:rPr>
              <w:t>TF</w:t>
            </w:r>
            <w:r>
              <w:rPr>
                <w:rFonts w:hint="eastAsia" w:ascii="宋体" w:hAnsi="宋体"/>
                <w:color w:val="auto"/>
                <w:sz w:val="21"/>
                <w:szCs w:val="21"/>
                <w:highlight w:val="none"/>
              </w:rPr>
              <w:t>卡存储（最大支持</w:t>
            </w:r>
            <w:r>
              <w:rPr>
                <w:rFonts w:hint="eastAsia"/>
                <w:color w:val="auto"/>
                <w:sz w:val="21"/>
                <w:szCs w:val="21"/>
                <w:highlight w:val="none"/>
              </w:rPr>
              <w:t>128G</w:t>
            </w:r>
            <w:r>
              <w:rPr>
                <w:rFonts w:hint="eastAsia" w:ascii="宋体" w:hAnsi="宋体"/>
                <w:color w:val="auto"/>
                <w:sz w:val="21"/>
                <w:szCs w:val="21"/>
                <w:highlight w:val="none"/>
              </w:rPr>
              <w:t>）</w:t>
            </w:r>
          </w:p>
          <w:p>
            <w:pPr>
              <w:rPr>
                <w:color w:val="auto"/>
                <w:sz w:val="21"/>
                <w:szCs w:val="21"/>
                <w:highlight w:val="none"/>
              </w:rPr>
            </w:pPr>
            <w:r>
              <w:rPr>
                <w:rFonts w:hint="eastAsia"/>
                <w:color w:val="auto"/>
                <w:sz w:val="21"/>
                <w:szCs w:val="21"/>
                <w:highlight w:val="none"/>
              </w:rPr>
              <w:t>不低于IP66</w:t>
            </w:r>
            <w:r>
              <w:rPr>
                <w:rFonts w:hint="eastAsia" w:ascii="宋体" w:hAnsi="宋体"/>
                <w:color w:val="auto"/>
                <w:sz w:val="21"/>
                <w:szCs w:val="21"/>
                <w:highlight w:val="none"/>
              </w:rPr>
              <w:t>级防水防尘设计</w:t>
            </w:r>
          </w:p>
          <w:p>
            <w:pPr>
              <w:rPr>
                <w:color w:val="auto"/>
                <w:sz w:val="21"/>
                <w:szCs w:val="21"/>
                <w:highlight w:val="none"/>
              </w:rPr>
            </w:pPr>
            <w:r>
              <w:rPr>
                <w:rFonts w:hint="eastAsia"/>
                <w:color w:val="auto"/>
                <w:sz w:val="21"/>
                <w:szCs w:val="21"/>
                <w:highlight w:val="none"/>
              </w:rPr>
              <w:t>不低于IK10</w:t>
            </w:r>
            <w:r>
              <w:rPr>
                <w:rFonts w:hint="eastAsia" w:ascii="宋体" w:hAnsi="宋体"/>
                <w:color w:val="auto"/>
                <w:sz w:val="21"/>
                <w:szCs w:val="21"/>
                <w:highlight w:val="none"/>
              </w:rPr>
              <w:t>防暴等级</w:t>
            </w:r>
          </w:p>
        </w:tc>
      </w:tr>
    </w:tbl>
    <w:p>
      <w:pPr>
        <w:pStyle w:val="4"/>
        <w:rPr>
          <w:color w:val="auto"/>
          <w:highlight w:val="none"/>
        </w:rPr>
      </w:pPr>
      <w:r>
        <w:rPr>
          <w:rFonts w:hint="eastAsia"/>
          <w:color w:val="auto"/>
          <w:highlight w:val="none"/>
        </w:rPr>
        <w:t>基础支撑软件</w:t>
      </w:r>
    </w:p>
    <w:p>
      <w:pPr>
        <w:pStyle w:val="5"/>
        <w:rPr>
          <w:color w:val="auto"/>
          <w:highlight w:val="none"/>
        </w:rPr>
      </w:pPr>
      <w:r>
        <w:rPr>
          <w:rFonts w:hint="eastAsia"/>
          <w:color w:val="auto"/>
          <w:highlight w:val="none"/>
        </w:rPr>
        <w:t>服务器操作系统</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w:t>
      </w:r>
      <w:r>
        <w:rPr>
          <w:rFonts w:ascii="宋体" w:hAnsi="宋体"/>
          <w:color w:val="auto"/>
          <w:sz w:val="24"/>
          <w:szCs w:val="24"/>
          <w:highlight w:val="none"/>
        </w:rPr>
        <w:t>Windows Server</w:t>
      </w:r>
      <w:r>
        <w:rPr>
          <w:rFonts w:hint="eastAsia" w:ascii="宋体" w:hAnsi="宋体"/>
          <w:color w:val="auto"/>
          <w:sz w:val="24"/>
          <w:szCs w:val="24"/>
          <w:highlight w:val="none"/>
        </w:rPr>
        <w:t>或其它与平台配套的系统。</w:t>
      </w:r>
    </w:p>
    <w:p>
      <w:pPr>
        <w:pStyle w:val="5"/>
        <w:rPr>
          <w:color w:val="auto"/>
          <w:highlight w:val="none"/>
        </w:rPr>
      </w:pPr>
      <w:r>
        <w:rPr>
          <w:rFonts w:hint="eastAsia"/>
          <w:color w:val="auto"/>
          <w:highlight w:val="none"/>
        </w:rPr>
        <w:t>数据库软件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要求支持</w:t>
      </w:r>
      <w:r>
        <w:rPr>
          <w:rFonts w:ascii="宋体" w:hAnsi="宋体"/>
          <w:color w:val="auto"/>
          <w:sz w:val="24"/>
          <w:szCs w:val="24"/>
          <w:highlight w:val="none"/>
        </w:rPr>
        <w:t xml:space="preserve">PostgreSQL </w:t>
      </w:r>
      <w:r>
        <w:rPr>
          <w:rFonts w:hint="eastAsia" w:ascii="宋体" w:hAnsi="宋体"/>
          <w:color w:val="auto"/>
          <w:sz w:val="24"/>
          <w:szCs w:val="24"/>
          <w:highlight w:val="none"/>
        </w:rPr>
        <w:t>、SQL Server 2014或其它与平台配套的数据库。</w:t>
      </w:r>
    </w:p>
    <w:p>
      <w:pPr>
        <w:pStyle w:val="5"/>
        <w:rPr>
          <w:color w:val="auto"/>
          <w:highlight w:val="none"/>
        </w:rPr>
      </w:pPr>
      <w:r>
        <w:rPr>
          <w:rFonts w:hint="eastAsia"/>
          <w:color w:val="auto"/>
          <w:highlight w:val="none"/>
        </w:rPr>
        <w:t>双机热备软件</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基于共享存储的高可用集群产品，实时监测应用资源运行状态，实现资源故障时自动切换，解决软、硬件的单点故障，从而保障业务系统连续运营。</w:t>
      </w:r>
    </w:p>
    <w:p>
      <w:pPr>
        <w:pStyle w:val="4"/>
        <w:rPr>
          <w:color w:val="auto"/>
          <w:highlight w:val="none"/>
        </w:rPr>
      </w:pPr>
      <w:r>
        <w:rPr>
          <w:rFonts w:hint="eastAsia"/>
          <w:color w:val="auto"/>
          <w:highlight w:val="none"/>
        </w:rPr>
        <w:t>视频会议与音响系统</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98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988" w:type="dxa"/>
            <w:tcBorders>
              <w:top w:val="single" w:color="auto" w:sz="4" w:space="0"/>
              <w:left w:val="nil"/>
              <w:bottom w:val="single" w:color="auto" w:sz="4" w:space="0"/>
              <w:right w:val="single" w:color="auto" w:sz="4" w:space="0"/>
            </w:tcBorders>
            <w:shd w:val="clear" w:color="auto" w:fill="FFFFFF"/>
            <w:vAlign w:val="center"/>
          </w:tcPr>
          <w:p>
            <w:pPr>
              <w:pStyle w:val="67"/>
              <w:jc w:val="center"/>
              <w:rPr>
                <w:rFonts w:ascii="宋体" w:hAnsi="宋体"/>
                <w:b/>
                <w:bCs/>
                <w:color w:val="auto"/>
                <w:szCs w:val="21"/>
                <w:highlight w:val="none"/>
              </w:rPr>
            </w:pPr>
            <w:r>
              <w:rPr>
                <w:rFonts w:hint="eastAsia" w:ascii="宋体" w:hAnsi="宋体"/>
                <w:b/>
                <w:bCs/>
                <w:color w:val="auto"/>
                <w:highlight w:val="none"/>
              </w:rPr>
              <w:t>指标项</w:t>
            </w:r>
          </w:p>
        </w:tc>
        <w:tc>
          <w:tcPr>
            <w:tcW w:w="7862" w:type="dxa"/>
            <w:tcBorders>
              <w:top w:val="single" w:color="auto" w:sz="4" w:space="0"/>
              <w:left w:val="nil"/>
              <w:bottom w:val="single" w:color="auto" w:sz="4" w:space="0"/>
              <w:right w:val="single" w:color="auto" w:sz="4" w:space="0"/>
            </w:tcBorders>
            <w:shd w:val="clear" w:color="auto" w:fill="FFFFFF"/>
            <w:vAlign w:val="center"/>
          </w:tcPr>
          <w:p>
            <w:pPr>
              <w:pStyle w:val="67"/>
              <w:jc w:val="center"/>
              <w:rPr>
                <w:rFonts w:ascii="宋体" w:hAnsi="宋体"/>
                <w:b/>
                <w:bCs/>
                <w:color w:val="auto"/>
                <w:highlight w:val="none"/>
              </w:rPr>
            </w:pPr>
            <w:r>
              <w:rPr>
                <w:rFonts w:hint="eastAsia" w:ascii="宋体" w:hAnsi="宋体"/>
                <w:b/>
                <w:bCs/>
                <w:color w:val="auto"/>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1</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MCU多点控制单元</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1 MCU要求符合标准的H.323、H320、SIP协议。能够和符合国际标准的产品互通。设备需与现网的视频会议终端兼容对接，并能接入现有的视频会议管理系统</w:t>
            </w:r>
          </w:p>
          <w:p>
            <w:pPr>
              <w:pStyle w:val="67"/>
              <w:rPr>
                <w:rStyle w:val="76"/>
                <w:rFonts w:hint="default"/>
                <w:color w:val="auto"/>
                <w:sz w:val="21"/>
                <w:szCs w:val="21"/>
                <w:highlight w:val="none"/>
              </w:rPr>
            </w:pPr>
            <w:r>
              <w:rPr>
                <w:rStyle w:val="76"/>
                <w:rFonts w:hint="default"/>
                <w:color w:val="auto"/>
                <w:sz w:val="21"/>
                <w:szCs w:val="21"/>
                <w:highlight w:val="none"/>
              </w:rPr>
              <w:t>2 支持视频会议录播功能</w:t>
            </w:r>
          </w:p>
          <w:p>
            <w:pPr>
              <w:pStyle w:val="67"/>
              <w:rPr>
                <w:rStyle w:val="76"/>
                <w:rFonts w:hint="default"/>
                <w:color w:val="auto"/>
                <w:sz w:val="21"/>
                <w:szCs w:val="21"/>
                <w:highlight w:val="none"/>
              </w:rPr>
            </w:pPr>
            <w:r>
              <w:rPr>
                <w:rStyle w:val="76"/>
                <w:rFonts w:hint="default"/>
                <w:color w:val="auto"/>
                <w:sz w:val="21"/>
                <w:szCs w:val="21"/>
                <w:highlight w:val="none"/>
              </w:rPr>
              <w:t>3 嵌入式一体化设计，电信级机架式MCU，电源风扇1＋1备份配置</w:t>
            </w:r>
          </w:p>
          <w:p>
            <w:pPr>
              <w:pStyle w:val="67"/>
              <w:rPr>
                <w:rStyle w:val="76"/>
                <w:rFonts w:hint="default"/>
                <w:color w:val="auto"/>
                <w:sz w:val="21"/>
                <w:szCs w:val="21"/>
                <w:highlight w:val="none"/>
              </w:rPr>
            </w:pPr>
            <w:r>
              <w:rPr>
                <w:rStyle w:val="76"/>
                <w:rFonts w:hint="default"/>
                <w:color w:val="auto"/>
                <w:sz w:val="21"/>
                <w:szCs w:val="21"/>
                <w:highlight w:val="none"/>
              </w:rPr>
              <w:t>4 MCU必须采用嵌入式操作系统</w:t>
            </w:r>
          </w:p>
          <w:p>
            <w:pPr>
              <w:pStyle w:val="67"/>
              <w:rPr>
                <w:rStyle w:val="76"/>
                <w:rFonts w:hint="default"/>
                <w:color w:val="auto"/>
                <w:sz w:val="21"/>
                <w:szCs w:val="21"/>
                <w:highlight w:val="none"/>
              </w:rPr>
            </w:pPr>
            <w:r>
              <w:rPr>
                <w:rStyle w:val="76"/>
                <w:rFonts w:hint="default"/>
                <w:color w:val="auto"/>
                <w:sz w:val="21"/>
                <w:szCs w:val="21"/>
                <w:highlight w:val="none"/>
              </w:rPr>
              <w:t>5 支持不低于720p 50/60fps、1080p 50/60 fps</w:t>
            </w:r>
          </w:p>
          <w:p>
            <w:pPr>
              <w:pStyle w:val="67"/>
              <w:rPr>
                <w:rStyle w:val="76"/>
                <w:rFonts w:hint="default"/>
                <w:color w:val="auto"/>
                <w:sz w:val="21"/>
                <w:szCs w:val="21"/>
                <w:highlight w:val="none"/>
              </w:rPr>
            </w:pPr>
            <w:r>
              <w:rPr>
                <w:rStyle w:val="76"/>
                <w:rFonts w:hint="default"/>
                <w:color w:val="auto"/>
                <w:sz w:val="21"/>
                <w:szCs w:val="21"/>
                <w:highlight w:val="none"/>
              </w:rPr>
              <w:t>6 支持G.711A，G.711U，G.722，G.728，G723.1，G.729 AnnexA、G722.1(SIREN7、SIREN14)、AAC_LD音频编解码标准协议</w:t>
            </w:r>
          </w:p>
          <w:p>
            <w:pPr>
              <w:pStyle w:val="67"/>
              <w:rPr>
                <w:rStyle w:val="76"/>
                <w:rFonts w:hint="default"/>
                <w:color w:val="auto"/>
                <w:sz w:val="21"/>
                <w:szCs w:val="21"/>
                <w:highlight w:val="none"/>
              </w:rPr>
            </w:pPr>
            <w:r>
              <w:rPr>
                <w:rStyle w:val="76"/>
                <w:rFonts w:hint="default"/>
                <w:color w:val="auto"/>
                <w:sz w:val="21"/>
                <w:szCs w:val="21"/>
                <w:highlight w:val="none"/>
              </w:rPr>
              <w:t>7 支持符合国际标准的H.239双流协议，实现双流功能</w:t>
            </w:r>
          </w:p>
          <w:p>
            <w:pPr>
              <w:pStyle w:val="67"/>
              <w:rPr>
                <w:rStyle w:val="76"/>
                <w:rFonts w:hint="default"/>
                <w:color w:val="auto"/>
                <w:sz w:val="21"/>
                <w:szCs w:val="21"/>
                <w:highlight w:val="none"/>
              </w:rPr>
            </w:pPr>
            <w:r>
              <w:rPr>
                <w:rStyle w:val="76"/>
                <w:rFonts w:hint="default"/>
                <w:color w:val="auto"/>
                <w:sz w:val="21"/>
                <w:szCs w:val="21"/>
                <w:highlight w:val="none"/>
              </w:rPr>
              <w:t>8 支持收发对称1080p60帧编码能，具备全编全解处理能力</w:t>
            </w:r>
          </w:p>
          <w:p>
            <w:pPr>
              <w:pStyle w:val="67"/>
              <w:rPr>
                <w:rStyle w:val="76"/>
                <w:rFonts w:hint="default"/>
                <w:color w:val="auto"/>
                <w:sz w:val="21"/>
                <w:szCs w:val="21"/>
                <w:highlight w:val="none"/>
              </w:rPr>
            </w:pPr>
            <w:r>
              <w:rPr>
                <w:rStyle w:val="76"/>
                <w:rFonts w:hint="default"/>
                <w:color w:val="auto"/>
                <w:sz w:val="21"/>
                <w:szCs w:val="21"/>
                <w:highlight w:val="none"/>
              </w:rPr>
              <w:t>9 支持使用H.264 HighProfile可节省高达50%的带宽资源</w:t>
            </w:r>
          </w:p>
          <w:p>
            <w:pPr>
              <w:pStyle w:val="67"/>
              <w:rPr>
                <w:rStyle w:val="76"/>
                <w:rFonts w:hint="default"/>
                <w:color w:val="auto"/>
                <w:sz w:val="21"/>
                <w:szCs w:val="21"/>
                <w:highlight w:val="none"/>
              </w:rPr>
            </w:pPr>
            <w:r>
              <w:rPr>
                <w:rStyle w:val="76"/>
                <w:rFonts w:hint="default"/>
                <w:color w:val="auto"/>
                <w:sz w:val="21"/>
                <w:szCs w:val="21"/>
                <w:highlight w:val="none"/>
              </w:rPr>
              <w:t>9 支持通过动态资源分配支持更多方同时呼叫加入视频和音频会议。</w:t>
            </w:r>
          </w:p>
          <w:p>
            <w:pPr>
              <w:pStyle w:val="67"/>
              <w:rPr>
                <w:rStyle w:val="76"/>
                <w:rFonts w:hint="default"/>
                <w:color w:val="auto"/>
                <w:sz w:val="21"/>
                <w:szCs w:val="21"/>
                <w:highlight w:val="none"/>
              </w:rPr>
            </w:pPr>
            <w:r>
              <w:rPr>
                <w:rStyle w:val="76"/>
                <w:rFonts w:hint="default"/>
                <w:color w:val="auto"/>
                <w:sz w:val="21"/>
                <w:szCs w:val="21"/>
                <w:highlight w:val="none"/>
              </w:rPr>
              <w:t>10 支持22K Hz宽频技术，展现环绕立体声。</w:t>
            </w:r>
          </w:p>
          <w:p>
            <w:pPr>
              <w:pStyle w:val="67"/>
              <w:rPr>
                <w:rStyle w:val="76"/>
                <w:rFonts w:hint="default"/>
                <w:color w:val="auto"/>
                <w:sz w:val="21"/>
                <w:szCs w:val="21"/>
                <w:highlight w:val="none"/>
              </w:rPr>
            </w:pPr>
            <w:r>
              <w:rPr>
                <w:rStyle w:val="76"/>
                <w:rFonts w:hint="default"/>
                <w:color w:val="auto"/>
                <w:sz w:val="21"/>
                <w:szCs w:val="21"/>
                <w:highlight w:val="none"/>
              </w:rPr>
              <w:t>11 支持从QCIF到1080p 60</w:t>
            </w:r>
          </w:p>
          <w:p>
            <w:pPr>
              <w:pStyle w:val="67"/>
              <w:rPr>
                <w:rStyle w:val="76"/>
                <w:rFonts w:hint="default"/>
                <w:color w:val="auto"/>
                <w:sz w:val="21"/>
                <w:szCs w:val="21"/>
                <w:highlight w:val="none"/>
              </w:rPr>
            </w:pPr>
            <w:r>
              <w:rPr>
                <w:rStyle w:val="76"/>
                <w:rFonts w:hint="default"/>
                <w:color w:val="auto"/>
                <w:sz w:val="21"/>
                <w:szCs w:val="21"/>
                <w:highlight w:val="none"/>
              </w:rPr>
              <w:t>12 具备10/100/1000 Mb网络接口</w:t>
            </w:r>
          </w:p>
          <w:p>
            <w:pPr>
              <w:pStyle w:val="67"/>
              <w:rPr>
                <w:rStyle w:val="76"/>
                <w:rFonts w:hint="default"/>
                <w:color w:val="auto"/>
                <w:sz w:val="21"/>
                <w:szCs w:val="21"/>
                <w:highlight w:val="none"/>
              </w:rPr>
            </w:pPr>
            <w:r>
              <w:rPr>
                <w:rStyle w:val="76"/>
                <w:rFonts w:hint="default"/>
                <w:color w:val="auto"/>
                <w:sz w:val="21"/>
                <w:szCs w:val="21"/>
                <w:highlight w:val="none"/>
              </w:rPr>
              <w:t>13 音频：支持DTMF，回声及键盘噪声抑制，Audio Clarity锐化和音频质量提升</w:t>
            </w:r>
          </w:p>
          <w:p>
            <w:pPr>
              <w:pStyle w:val="67"/>
              <w:rPr>
                <w:rFonts w:ascii="宋体" w:hAnsi="宋体"/>
                <w:color w:val="auto"/>
                <w:sz w:val="24"/>
                <w:szCs w:val="24"/>
                <w:highlight w:val="none"/>
              </w:rPr>
            </w:pPr>
            <w:r>
              <w:rPr>
                <w:rStyle w:val="76"/>
                <w:rFonts w:hint="default"/>
                <w:color w:val="auto"/>
                <w:sz w:val="21"/>
                <w:szCs w:val="21"/>
                <w:highlight w:val="none"/>
              </w:rPr>
              <w:t>14 支持安全会议模式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2</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音视频会议系统终端</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1、分体式硬件架构，嵌入式操作系统</w:t>
            </w:r>
          </w:p>
          <w:p>
            <w:pPr>
              <w:pStyle w:val="67"/>
              <w:rPr>
                <w:rStyle w:val="76"/>
                <w:rFonts w:hint="default"/>
                <w:color w:val="auto"/>
                <w:sz w:val="21"/>
                <w:szCs w:val="21"/>
                <w:highlight w:val="none"/>
              </w:rPr>
            </w:pPr>
            <w:r>
              <w:rPr>
                <w:rStyle w:val="76"/>
                <w:rFonts w:hint="default"/>
                <w:color w:val="auto"/>
                <w:sz w:val="21"/>
                <w:szCs w:val="21"/>
                <w:highlight w:val="none"/>
              </w:rPr>
              <w:t>2、支持H.323协议和SIP协议，并支持同时运行H.323和SIP协议；无需第三方协议网关即可与主流视频会议厂商设备进行互联互通</w:t>
            </w:r>
          </w:p>
          <w:p>
            <w:pPr>
              <w:pStyle w:val="67"/>
              <w:rPr>
                <w:rStyle w:val="76"/>
                <w:rFonts w:hint="default"/>
                <w:color w:val="auto"/>
                <w:sz w:val="21"/>
                <w:szCs w:val="21"/>
                <w:highlight w:val="none"/>
              </w:rPr>
            </w:pPr>
            <w:r>
              <w:rPr>
                <w:rStyle w:val="76"/>
                <w:rFonts w:hint="default"/>
                <w:color w:val="auto"/>
                <w:sz w:val="21"/>
                <w:szCs w:val="21"/>
                <w:highlight w:val="none"/>
              </w:rPr>
              <w:t>3、在H.323和SIP标准下都支持128Kbps－6Mbps的呼叫速率</w:t>
            </w:r>
          </w:p>
          <w:p>
            <w:pPr>
              <w:pStyle w:val="67"/>
              <w:rPr>
                <w:rStyle w:val="76"/>
                <w:rFonts w:hint="default"/>
                <w:color w:val="auto"/>
                <w:sz w:val="21"/>
                <w:szCs w:val="21"/>
                <w:highlight w:val="none"/>
              </w:rPr>
            </w:pPr>
            <w:r>
              <w:rPr>
                <w:rStyle w:val="76"/>
                <w:rFonts w:hint="default"/>
                <w:color w:val="auto"/>
                <w:sz w:val="21"/>
                <w:szCs w:val="21"/>
                <w:highlight w:val="none"/>
              </w:rPr>
              <w:t>4、设备必须支持H.261, H.263, H.264，H.264HP, H.264 SVC</w:t>
            </w:r>
          </w:p>
          <w:p>
            <w:pPr>
              <w:pStyle w:val="67"/>
              <w:rPr>
                <w:rStyle w:val="76"/>
                <w:rFonts w:hint="default"/>
                <w:color w:val="auto"/>
                <w:sz w:val="21"/>
                <w:szCs w:val="21"/>
                <w:highlight w:val="none"/>
              </w:rPr>
            </w:pPr>
            <w:r>
              <w:rPr>
                <w:rStyle w:val="76"/>
                <w:rFonts w:hint="default"/>
                <w:color w:val="auto"/>
                <w:sz w:val="21"/>
                <w:szCs w:val="21"/>
                <w:highlight w:val="none"/>
              </w:rPr>
              <w:t>5、音频编码协议支持G.711、G.722、G.722.1 Annex C、G.719、G.729等音频标准，并支持20KHz及以上的高清立体声音频技术，支持唇音同步，支持消除回音啸叫</w:t>
            </w:r>
          </w:p>
          <w:p>
            <w:pPr>
              <w:pStyle w:val="67"/>
              <w:rPr>
                <w:rStyle w:val="76"/>
                <w:rFonts w:hint="default"/>
                <w:color w:val="auto"/>
                <w:sz w:val="21"/>
                <w:szCs w:val="21"/>
                <w:highlight w:val="none"/>
              </w:rPr>
            </w:pPr>
            <w:r>
              <w:rPr>
                <w:rStyle w:val="76"/>
                <w:rFonts w:hint="default"/>
                <w:color w:val="auto"/>
                <w:sz w:val="21"/>
                <w:szCs w:val="21"/>
                <w:highlight w:val="none"/>
              </w:rPr>
              <w:t>6、支持H.239和SIP下双流标准。支持1080P@60fps动态双流传输能力</w:t>
            </w:r>
          </w:p>
          <w:p>
            <w:pPr>
              <w:pStyle w:val="67"/>
              <w:rPr>
                <w:rStyle w:val="76"/>
                <w:rFonts w:hint="default"/>
                <w:color w:val="auto"/>
                <w:sz w:val="21"/>
                <w:szCs w:val="21"/>
                <w:highlight w:val="none"/>
              </w:rPr>
            </w:pPr>
            <w:r>
              <w:rPr>
                <w:rStyle w:val="76"/>
                <w:rFonts w:hint="default"/>
                <w:color w:val="auto"/>
                <w:sz w:val="21"/>
                <w:szCs w:val="21"/>
                <w:highlight w:val="none"/>
              </w:rPr>
              <w:t>7、设备需支持CIF，4CIF，HD720P@30fps，HD720P@60fps，HD1080P@30fps，HD1080P@60fps</w:t>
            </w:r>
          </w:p>
          <w:p>
            <w:pPr>
              <w:pStyle w:val="67"/>
              <w:rPr>
                <w:rStyle w:val="76"/>
                <w:rFonts w:hint="default"/>
                <w:color w:val="auto"/>
                <w:sz w:val="21"/>
                <w:szCs w:val="21"/>
                <w:highlight w:val="none"/>
              </w:rPr>
            </w:pPr>
            <w:r>
              <w:rPr>
                <w:rStyle w:val="76"/>
                <w:rFonts w:hint="default"/>
                <w:color w:val="auto"/>
                <w:sz w:val="21"/>
                <w:szCs w:val="21"/>
                <w:highlight w:val="none"/>
              </w:rPr>
              <w:t>8、至少具备4路高清视频输入和4路高清视频输出接口，且接口方式必须采用国际标准高清视频接口，具备3G/HD SDI接口，以便支持长距离1080P@60fps的数字传输</w:t>
            </w:r>
          </w:p>
          <w:p>
            <w:pPr>
              <w:pStyle w:val="67"/>
              <w:rPr>
                <w:rStyle w:val="76"/>
                <w:rFonts w:hint="default"/>
                <w:color w:val="auto"/>
                <w:sz w:val="21"/>
                <w:szCs w:val="21"/>
                <w:highlight w:val="none"/>
              </w:rPr>
            </w:pPr>
            <w:r>
              <w:rPr>
                <w:rStyle w:val="76"/>
                <w:rFonts w:hint="default"/>
                <w:color w:val="auto"/>
                <w:sz w:val="21"/>
                <w:szCs w:val="21"/>
                <w:highlight w:val="none"/>
              </w:rPr>
              <w:t>9、终端需支持双屏多远端功能，支持在两个显示屏上同时分别显示远端和近端图像。充分利用会议室现有显示屏，提供更多的会议信息，提升使用体验</w:t>
            </w:r>
          </w:p>
          <w:p>
            <w:pPr>
              <w:pStyle w:val="67"/>
              <w:rPr>
                <w:rStyle w:val="76"/>
                <w:rFonts w:hint="default"/>
                <w:color w:val="auto"/>
                <w:sz w:val="21"/>
                <w:szCs w:val="21"/>
                <w:highlight w:val="none"/>
              </w:rPr>
            </w:pPr>
            <w:r>
              <w:rPr>
                <w:rStyle w:val="76"/>
                <w:rFonts w:hint="default"/>
                <w:color w:val="auto"/>
                <w:sz w:val="21"/>
                <w:szCs w:val="21"/>
                <w:highlight w:val="none"/>
              </w:rPr>
              <w:t>10、终端需支持同时输出三种不同画面：本地、远端、内容画面，并且三种画面可根据需要进行切换</w:t>
            </w:r>
          </w:p>
          <w:p>
            <w:pPr>
              <w:pStyle w:val="67"/>
              <w:rPr>
                <w:rStyle w:val="76"/>
                <w:rFonts w:hint="default"/>
                <w:color w:val="auto"/>
                <w:sz w:val="21"/>
                <w:szCs w:val="21"/>
                <w:highlight w:val="none"/>
              </w:rPr>
            </w:pPr>
            <w:r>
              <w:rPr>
                <w:rStyle w:val="76"/>
                <w:rFonts w:hint="default"/>
                <w:color w:val="auto"/>
                <w:sz w:val="21"/>
                <w:szCs w:val="21"/>
                <w:highlight w:val="none"/>
              </w:rPr>
              <w:t>11、输入：支持至少3路音频输入。输出：支持至少2路输出音频接口，具备1路HDMI音视频输出接口</w:t>
            </w:r>
          </w:p>
          <w:p>
            <w:pPr>
              <w:pStyle w:val="67"/>
              <w:rPr>
                <w:rStyle w:val="76"/>
                <w:rFonts w:hint="default"/>
                <w:color w:val="auto"/>
                <w:sz w:val="21"/>
                <w:szCs w:val="21"/>
                <w:highlight w:val="none"/>
              </w:rPr>
            </w:pPr>
            <w:r>
              <w:rPr>
                <w:rStyle w:val="76"/>
                <w:rFonts w:hint="default"/>
                <w:color w:val="auto"/>
                <w:sz w:val="21"/>
                <w:szCs w:val="21"/>
                <w:highlight w:val="none"/>
              </w:rPr>
              <w:t>12、至少具备2个USB接口和1个RS232接口</w:t>
            </w:r>
          </w:p>
          <w:p>
            <w:pPr>
              <w:pStyle w:val="67"/>
              <w:rPr>
                <w:rStyle w:val="76"/>
                <w:rFonts w:hint="default"/>
                <w:color w:val="auto"/>
                <w:sz w:val="21"/>
                <w:szCs w:val="21"/>
                <w:highlight w:val="none"/>
              </w:rPr>
            </w:pPr>
            <w:r>
              <w:rPr>
                <w:rStyle w:val="76"/>
                <w:rFonts w:hint="default"/>
                <w:color w:val="auto"/>
                <w:sz w:val="21"/>
                <w:szCs w:val="21"/>
                <w:highlight w:val="none"/>
              </w:rPr>
              <w:t>13、支持H.235身份认证和AES加密，并且AES加密情况下呼叫速率可以达到6M</w:t>
            </w:r>
          </w:p>
          <w:p>
            <w:pPr>
              <w:pStyle w:val="67"/>
              <w:rPr>
                <w:rStyle w:val="76"/>
                <w:rFonts w:hint="default"/>
                <w:color w:val="auto"/>
                <w:sz w:val="21"/>
                <w:szCs w:val="21"/>
                <w:highlight w:val="none"/>
              </w:rPr>
            </w:pPr>
            <w:r>
              <w:rPr>
                <w:rStyle w:val="76"/>
                <w:rFonts w:hint="default"/>
                <w:color w:val="auto"/>
                <w:sz w:val="21"/>
                <w:szCs w:val="21"/>
                <w:highlight w:val="none"/>
              </w:rPr>
              <w:t>14、要求须配置至少1台云台摄像头；支持1080p60帧动态视频的摄像，摄像头支持至少12倍光学变焦，支持自动对焦和自动及手动白平衡功能</w:t>
            </w:r>
          </w:p>
          <w:p>
            <w:pPr>
              <w:pStyle w:val="67"/>
              <w:rPr>
                <w:rStyle w:val="76"/>
                <w:rFonts w:hint="default"/>
                <w:color w:val="auto"/>
                <w:sz w:val="21"/>
                <w:szCs w:val="21"/>
                <w:highlight w:val="none"/>
              </w:rPr>
            </w:pPr>
            <w:r>
              <w:rPr>
                <w:rStyle w:val="76"/>
                <w:rFonts w:hint="default"/>
                <w:color w:val="auto"/>
                <w:sz w:val="21"/>
                <w:szCs w:val="21"/>
                <w:highlight w:val="none"/>
              </w:rPr>
              <w:t>高清摄像机预置位不少于10个，并具有镜头预置位预览功能。（须与高清视频终端同一品牌）</w:t>
            </w:r>
          </w:p>
          <w:p>
            <w:pPr>
              <w:pStyle w:val="67"/>
              <w:rPr>
                <w:rStyle w:val="76"/>
                <w:rFonts w:hint="default"/>
                <w:color w:val="auto"/>
                <w:sz w:val="21"/>
                <w:szCs w:val="21"/>
                <w:highlight w:val="none"/>
              </w:rPr>
            </w:pPr>
            <w:r>
              <w:rPr>
                <w:rStyle w:val="76"/>
                <w:rFonts w:hint="default"/>
                <w:color w:val="auto"/>
                <w:sz w:val="21"/>
                <w:szCs w:val="21"/>
                <w:highlight w:val="none"/>
              </w:rPr>
              <w:t>要求配置全向数字式麦克风，具备回音抑制功能，可屏蔽手机信号干扰； 360 度拾音，有效拾音半径须达到5米，支持多个麦克风级联，扩展会场拾音范围。麦克风上具备声音开关按钮，并且具备静音状态显示（须与高清视频终端同一品牌）</w:t>
            </w:r>
          </w:p>
          <w:p>
            <w:pPr>
              <w:pStyle w:val="67"/>
              <w:rPr>
                <w:rStyle w:val="76"/>
                <w:rFonts w:hint="default"/>
                <w:color w:val="auto"/>
                <w:sz w:val="21"/>
                <w:szCs w:val="21"/>
                <w:highlight w:val="none"/>
              </w:rPr>
            </w:pPr>
            <w:r>
              <w:rPr>
                <w:rStyle w:val="76"/>
                <w:rFonts w:hint="default"/>
                <w:color w:val="auto"/>
                <w:sz w:val="21"/>
                <w:szCs w:val="21"/>
                <w:highlight w:val="none"/>
              </w:rPr>
              <w:t>终端要求支持桌面数字麦克与吊顶数字麦克接入，并且可实现桌面麦克与吊顶麦克分别拾音功能，有效屏蔽会议室杂音（须与高清视频终端同一品牌）</w:t>
            </w:r>
          </w:p>
          <w:p>
            <w:pPr>
              <w:pStyle w:val="67"/>
              <w:rPr>
                <w:rStyle w:val="76"/>
                <w:rFonts w:hint="default"/>
                <w:color w:val="auto"/>
                <w:sz w:val="21"/>
                <w:szCs w:val="21"/>
                <w:highlight w:val="none"/>
              </w:rPr>
            </w:pPr>
            <w:r>
              <w:rPr>
                <w:rStyle w:val="76"/>
                <w:rFonts w:hint="default"/>
                <w:color w:val="auto"/>
                <w:sz w:val="21"/>
                <w:szCs w:val="21"/>
                <w:highlight w:val="none"/>
              </w:rPr>
              <w:t>15、要求具备智能纠错网络丢包纠错技术， 保证呼叫带宽内的音视频效果正常，不通过降速、降低会议效果的方法，能够保证在网络丢包率5%以下的多点视频会议正常进行；在70%掉包情况下，音频仍然保持通畅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3</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高清摄像头</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1、采用不低于200万像素CMOS传感器</w:t>
            </w:r>
          </w:p>
          <w:p>
            <w:pPr>
              <w:pStyle w:val="67"/>
              <w:rPr>
                <w:rStyle w:val="76"/>
                <w:rFonts w:hint="default"/>
                <w:color w:val="auto"/>
                <w:sz w:val="21"/>
                <w:szCs w:val="21"/>
                <w:highlight w:val="none"/>
              </w:rPr>
            </w:pPr>
            <w:r>
              <w:rPr>
                <w:rStyle w:val="76"/>
                <w:rFonts w:hint="default"/>
                <w:color w:val="auto"/>
                <w:sz w:val="21"/>
                <w:szCs w:val="21"/>
                <w:highlight w:val="none"/>
              </w:rPr>
              <w:t>2、支持不低于1080/60P到标清的多格式视频输出</w:t>
            </w:r>
          </w:p>
          <w:p>
            <w:pPr>
              <w:pStyle w:val="67"/>
              <w:rPr>
                <w:rStyle w:val="76"/>
                <w:rFonts w:hint="default"/>
                <w:color w:val="auto"/>
                <w:sz w:val="21"/>
                <w:szCs w:val="21"/>
                <w:highlight w:val="none"/>
              </w:rPr>
            </w:pPr>
            <w:r>
              <w:rPr>
                <w:rStyle w:val="76"/>
                <w:rFonts w:hint="default"/>
                <w:color w:val="auto"/>
                <w:sz w:val="21"/>
                <w:szCs w:val="21"/>
                <w:highlight w:val="none"/>
              </w:rPr>
              <w:t>3、支持SDI, DVI-I等高清视频输出接口</w:t>
            </w:r>
          </w:p>
          <w:p>
            <w:pPr>
              <w:pStyle w:val="67"/>
              <w:rPr>
                <w:rStyle w:val="76"/>
                <w:rFonts w:hint="default"/>
                <w:color w:val="auto"/>
                <w:sz w:val="21"/>
                <w:szCs w:val="21"/>
                <w:highlight w:val="none"/>
              </w:rPr>
            </w:pPr>
            <w:r>
              <w:rPr>
                <w:rStyle w:val="76"/>
                <w:rFonts w:hint="default"/>
                <w:color w:val="auto"/>
                <w:sz w:val="21"/>
                <w:szCs w:val="21"/>
                <w:highlight w:val="none"/>
              </w:rPr>
              <w:t>4、内置OSD操作菜单</w:t>
            </w:r>
          </w:p>
          <w:p>
            <w:pPr>
              <w:pStyle w:val="67"/>
              <w:rPr>
                <w:rStyle w:val="76"/>
                <w:rFonts w:hint="default"/>
                <w:color w:val="auto"/>
                <w:sz w:val="21"/>
                <w:szCs w:val="21"/>
                <w:highlight w:val="none"/>
              </w:rPr>
            </w:pPr>
            <w:r>
              <w:rPr>
                <w:rStyle w:val="76"/>
                <w:rFonts w:hint="default"/>
                <w:color w:val="auto"/>
                <w:sz w:val="21"/>
                <w:szCs w:val="21"/>
                <w:highlight w:val="none"/>
              </w:rPr>
              <w:t>5、光学变焦不小于20倍</w:t>
            </w:r>
          </w:p>
          <w:p>
            <w:pPr>
              <w:pStyle w:val="67"/>
              <w:rPr>
                <w:rStyle w:val="76"/>
                <w:rFonts w:hint="default"/>
                <w:color w:val="auto"/>
                <w:sz w:val="21"/>
                <w:szCs w:val="21"/>
                <w:highlight w:val="none"/>
              </w:rPr>
            </w:pPr>
            <w:r>
              <w:rPr>
                <w:rStyle w:val="76"/>
                <w:rFonts w:hint="default"/>
                <w:color w:val="auto"/>
                <w:sz w:val="21"/>
                <w:szCs w:val="21"/>
                <w:highlight w:val="none"/>
              </w:rPr>
              <w:t>6、支持图像翻转功能</w:t>
            </w:r>
          </w:p>
          <w:p>
            <w:pPr>
              <w:pStyle w:val="67"/>
              <w:rPr>
                <w:rStyle w:val="76"/>
                <w:rFonts w:hint="default"/>
                <w:color w:val="auto"/>
                <w:sz w:val="21"/>
                <w:szCs w:val="21"/>
                <w:highlight w:val="none"/>
              </w:rPr>
            </w:pPr>
            <w:r>
              <w:rPr>
                <w:rStyle w:val="76"/>
                <w:rFonts w:hint="default"/>
                <w:color w:val="auto"/>
                <w:sz w:val="21"/>
                <w:szCs w:val="21"/>
                <w:highlight w:val="none"/>
              </w:rPr>
              <w:t>7、支持VISCA等多种协议及多种控制接口，支持菊花链组网</w:t>
            </w:r>
          </w:p>
          <w:p>
            <w:pPr>
              <w:pStyle w:val="67"/>
              <w:rPr>
                <w:rStyle w:val="76"/>
                <w:rFonts w:hint="default"/>
                <w:color w:val="auto"/>
                <w:sz w:val="21"/>
                <w:szCs w:val="21"/>
                <w:highlight w:val="none"/>
              </w:rPr>
            </w:pPr>
            <w:r>
              <w:rPr>
                <w:rStyle w:val="76"/>
                <w:rFonts w:hint="default"/>
                <w:color w:val="auto"/>
                <w:sz w:val="21"/>
                <w:szCs w:val="21"/>
                <w:highlight w:val="none"/>
              </w:rPr>
              <w:t>8、支持桌面安装、吸顶安装、壁挂安装，吊杆安装四种安装方式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4</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音箱</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6寸挂墙式音箱 40W/8欧 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5</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功率放大器</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面板采用高档铝合材料精心加工而成，机器内部局部采用SMT技术。</w:t>
            </w:r>
          </w:p>
          <w:p>
            <w:pPr>
              <w:pStyle w:val="67"/>
              <w:rPr>
                <w:rStyle w:val="76"/>
                <w:rFonts w:hint="default"/>
                <w:color w:val="auto"/>
                <w:sz w:val="21"/>
                <w:szCs w:val="21"/>
                <w:highlight w:val="none"/>
              </w:rPr>
            </w:pPr>
            <w:r>
              <w:rPr>
                <w:rStyle w:val="76"/>
                <w:rFonts w:hint="default"/>
                <w:color w:val="auto"/>
                <w:sz w:val="21"/>
                <w:szCs w:val="21"/>
                <w:highlight w:val="none"/>
              </w:rPr>
              <w:t>高效率的环形变压器，保证充足电源供应。</w:t>
            </w:r>
          </w:p>
          <w:p>
            <w:pPr>
              <w:pStyle w:val="67"/>
              <w:rPr>
                <w:rStyle w:val="76"/>
                <w:rFonts w:hint="default"/>
                <w:color w:val="auto"/>
                <w:sz w:val="21"/>
                <w:szCs w:val="21"/>
                <w:highlight w:val="none"/>
              </w:rPr>
            </w:pPr>
            <w:r>
              <w:rPr>
                <w:rStyle w:val="76"/>
                <w:rFonts w:hint="default"/>
                <w:color w:val="auto"/>
                <w:sz w:val="21"/>
                <w:szCs w:val="21"/>
                <w:highlight w:val="none"/>
              </w:rPr>
              <w:t>功放电路选用半导体进口元器件，每只元件有足够的余量。</w:t>
            </w:r>
          </w:p>
          <w:p>
            <w:pPr>
              <w:pStyle w:val="67"/>
              <w:rPr>
                <w:rStyle w:val="76"/>
                <w:rFonts w:hint="default"/>
                <w:color w:val="auto"/>
                <w:sz w:val="21"/>
                <w:szCs w:val="21"/>
                <w:highlight w:val="none"/>
              </w:rPr>
            </w:pPr>
            <w:r>
              <w:rPr>
                <w:rStyle w:val="76"/>
                <w:rFonts w:hint="default"/>
                <w:color w:val="auto"/>
                <w:sz w:val="21"/>
                <w:szCs w:val="21"/>
                <w:highlight w:val="none"/>
              </w:rPr>
              <w:t>散热风扇采用无级调速电路，保证了功放工作在较低的温度下。</w:t>
            </w:r>
          </w:p>
          <w:p>
            <w:pPr>
              <w:pStyle w:val="67"/>
              <w:rPr>
                <w:rStyle w:val="76"/>
                <w:rFonts w:hint="default"/>
                <w:color w:val="auto"/>
                <w:sz w:val="21"/>
                <w:szCs w:val="21"/>
                <w:highlight w:val="none"/>
              </w:rPr>
            </w:pPr>
            <w:r>
              <w:rPr>
                <w:rStyle w:val="76"/>
                <w:rFonts w:hint="default"/>
                <w:color w:val="auto"/>
                <w:sz w:val="21"/>
                <w:szCs w:val="21"/>
                <w:highlight w:val="none"/>
              </w:rPr>
              <w:t>配有信号输入口与并联信号输出口。功放输出端配有Speakon和接线柱，适用与</w:t>
            </w:r>
          </w:p>
          <w:p>
            <w:pPr>
              <w:pStyle w:val="67"/>
              <w:rPr>
                <w:rStyle w:val="76"/>
                <w:rFonts w:hint="default"/>
                <w:color w:val="auto"/>
                <w:sz w:val="21"/>
                <w:szCs w:val="21"/>
                <w:highlight w:val="none"/>
              </w:rPr>
            </w:pPr>
            <w:r>
              <w:rPr>
                <w:rStyle w:val="76"/>
                <w:rFonts w:hint="default"/>
                <w:color w:val="auto"/>
                <w:sz w:val="21"/>
                <w:szCs w:val="21"/>
                <w:highlight w:val="none"/>
              </w:rPr>
              <w:t>各种系统的安装要求。</w:t>
            </w:r>
          </w:p>
          <w:p>
            <w:pPr>
              <w:pStyle w:val="67"/>
              <w:rPr>
                <w:rStyle w:val="76"/>
                <w:rFonts w:hint="default"/>
                <w:color w:val="auto"/>
                <w:sz w:val="21"/>
                <w:szCs w:val="21"/>
                <w:highlight w:val="none"/>
              </w:rPr>
            </w:pPr>
            <w:r>
              <w:rPr>
                <w:rStyle w:val="76"/>
                <w:rFonts w:hint="default"/>
                <w:color w:val="auto"/>
                <w:sz w:val="21"/>
                <w:szCs w:val="21"/>
                <w:highlight w:val="none"/>
              </w:rPr>
              <w:t xml:space="preserve">完善的保护，包括限幅，直流，开/关机冲击电路，输出短路保护，过热保护。                                                                                                                           </w:t>
            </w:r>
          </w:p>
          <w:p>
            <w:pPr>
              <w:pStyle w:val="67"/>
              <w:rPr>
                <w:rStyle w:val="76"/>
                <w:rFonts w:hint="default"/>
                <w:color w:val="auto"/>
                <w:sz w:val="21"/>
                <w:szCs w:val="21"/>
                <w:highlight w:val="none"/>
              </w:rPr>
            </w:pPr>
            <w:r>
              <w:rPr>
                <w:rStyle w:val="76"/>
                <w:rFonts w:hint="default"/>
                <w:color w:val="auto"/>
                <w:sz w:val="21"/>
                <w:szCs w:val="21"/>
                <w:highlight w:val="none"/>
              </w:rPr>
              <w:t>输出功率/Power8Ω 350W×2</w:t>
            </w:r>
          </w:p>
          <w:p>
            <w:pPr>
              <w:pStyle w:val="67"/>
              <w:rPr>
                <w:rStyle w:val="76"/>
                <w:rFonts w:hint="default"/>
                <w:color w:val="auto"/>
                <w:sz w:val="21"/>
                <w:szCs w:val="21"/>
                <w:highlight w:val="none"/>
              </w:rPr>
            </w:pPr>
            <w:r>
              <w:rPr>
                <w:rStyle w:val="76"/>
                <w:rFonts w:hint="default"/>
                <w:color w:val="auto"/>
                <w:sz w:val="21"/>
                <w:szCs w:val="21"/>
                <w:highlight w:val="none"/>
              </w:rPr>
              <w:t>输出功率/Power4Ω 475W×2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6</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8路调音台</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8路输入调音台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7</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数字音频处理器</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基于DSP的处理器</w:t>
            </w:r>
          </w:p>
          <w:p>
            <w:pPr>
              <w:pStyle w:val="67"/>
              <w:rPr>
                <w:rStyle w:val="76"/>
                <w:rFonts w:hint="default"/>
                <w:color w:val="auto"/>
                <w:sz w:val="21"/>
                <w:szCs w:val="21"/>
                <w:highlight w:val="none"/>
              </w:rPr>
            </w:pPr>
            <w:r>
              <w:rPr>
                <w:rStyle w:val="76"/>
                <w:rFonts w:hint="default"/>
                <w:color w:val="auto"/>
                <w:sz w:val="21"/>
                <w:szCs w:val="21"/>
                <w:highlight w:val="none"/>
              </w:rPr>
              <w:t>支持不低于24位高精度DSP低失真，大动态</w:t>
            </w:r>
          </w:p>
          <w:p>
            <w:pPr>
              <w:pStyle w:val="67"/>
              <w:rPr>
                <w:rStyle w:val="76"/>
                <w:rFonts w:hint="default"/>
                <w:color w:val="auto"/>
                <w:sz w:val="21"/>
                <w:szCs w:val="21"/>
                <w:highlight w:val="none"/>
              </w:rPr>
            </w:pPr>
            <w:r>
              <w:rPr>
                <w:rStyle w:val="76"/>
                <w:rFonts w:hint="default"/>
                <w:color w:val="auto"/>
                <w:sz w:val="21"/>
                <w:szCs w:val="21"/>
                <w:highlight w:val="none"/>
              </w:rPr>
              <w:t>不少于2输入，4输出，包括4种配置模式：2X2way，2X3way，2X4way sub。</w:t>
            </w:r>
          </w:p>
          <w:p>
            <w:pPr>
              <w:pStyle w:val="67"/>
              <w:rPr>
                <w:rStyle w:val="76"/>
                <w:rFonts w:hint="default"/>
                <w:color w:val="auto"/>
                <w:sz w:val="21"/>
                <w:szCs w:val="21"/>
                <w:highlight w:val="none"/>
              </w:rPr>
            </w:pPr>
            <w:r>
              <w:rPr>
                <w:rStyle w:val="76"/>
                <w:rFonts w:hint="default"/>
                <w:color w:val="auto"/>
                <w:sz w:val="21"/>
                <w:szCs w:val="21"/>
                <w:highlight w:val="none"/>
              </w:rPr>
              <w:t>每一款都包括输入增益控制，每一个通道都包括独立的分频限制器</w:t>
            </w:r>
          </w:p>
          <w:p>
            <w:pPr>
              <w:pStyle w:val="67"/>
              <w:rPr>
                <w:rStyle w:val="76"/>
                <w:rFonts w:hint="default"/>
                <w:color w:val="auto"/>
                <w:sz w:val="21"/>
                <w:szCs w:val="21"/>
                <w:highlight w:val="none"/>
              </w:rPr>
            </w:pPr>
            <w:r>
              <w:rPr>
                <w:rStyle w:val="76"/>
                <w:rFonts w:hint="default"/>
                <w:color w:val="auto"/>
                <w:sz w:val="21"/>
                <w:szCs w:val="21"/>
                <w:highlight w:val="none"/>
              </w:rPr>
              <w:t>5段参量均衡，延时，延时最大7ms</w:t>
            </w:r>
          </w:p>
          <w:p>
            <w:pPr>
              <w:pStyle w:val="67"/>
              <w:rPr>
                <w:rStyle w:val="76"/>
                <w:rFonts w:hint="default"/>
                <w:color w:val="auto"/>
                <w:sz w:val="21"/>
                <w:szCs w:val="21"/>
                <w:highlight w:val="none"/>
              </w:rPr>
            </w:pPr>
            <w:r>
              <w:rPr>
                <w:rStyle w:val="76"/>
                <w:rFonts w:hint="default"/>
                <w:color w:val="auto"/>
                <w:sz w:val="21"/>
                <w:szCs w:val="21"/>
                <w:highlight w:val="none"/>
              </w:rPr>
              <w:t>输出增益及相位控制，参数加锁，避免误操作</w:t>
            </w:r>
          </w:p>
          <w:p>
            <w:pPr>
              <w:pStyle w:val="67"/>
              <w:rPr>
                <w:rStyle w:val="76"/>
                <w:rFonts w:hint="default"/>
                <w:color w:val="auto"/>
                <w:sz w:val="21"/>
                <w:szCs w:val="21"/>
                <w:highlight w:val="none"/>
              </w:rPr>
            </w:pPr>
            <w:r>
              <w:rPr>
                <w:rStyle w:val="76"/>
                <w:rFonts w:hint="default"/>
                <w:color w:val="auto"/>
                <w:sz w:val="21"/>
                <w:szCs w:val="21"/>
                <w:highlight w:val="none"/>
              </w:rPr>
              <w:t>USB接口实时控制，含PC软件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8</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蓝光DVD</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兼容CD/DVD/MP3等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9</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双手持无线话筒</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采用23级电子音量控制,简约搭配</w:t>
            </w:r>
          </w:p>
          <w:p>
            <w:pPr>
              <w:pStyle w:val="67"/>
              <w:rPr>
                <w:rStyle w:val="76"/>
                <w:rFonts w:hint="default"/>
                <w:color w:val="auto"/>
                <w:sz w:val="21"/>
                <w:szCs w:val="21"/>
                <w:highlight w:val="none"/>
              </w:rPr>
            </w:pPr>
            <w:r>
              <w:rPr>
                <w:rStyle w:val="76"/>
                <w:rFonts w:hint="default"/>
                <w:color w:val="auto"/>
                <w:sz w:val="21"/>
                <w:szCs w:val="21"/>
                <w:highlight w:val="none"/>
              </w:rPr>
              <w:t>采用真分集接收技术，空阔最大使用距离300米</w:t>
            </w:r>
          </w:p>
          <w:p>
            <w:pPr>
              <w:pStyle w:val="67"/>
              <w:rPr>
                <w:rStyle w:val="76"/>
                <w:rFonts w:hint="default"/>
                <w:color w:val="auto"/>
                <w:sz w:val="21"/>
                <w:szCs w:val="21"/>
                <w:highlight w:val="none"/>
              </w:rPr>
            </w:pPr>
            <w:r>
              <w:rPr>
                <w:rStyle w:val="76"/>
                <w:rFonts w:hint="default"/>
                <w:color w:val="auto"/>
                <w:sz w:val="21"/>
                <w:szCs w:val="21"/>
                <w:highlight w:val="none"/>
              </w:rPr>
              <w:t>具有一键自动搜空闲频点功能、一键锁定按键功能</w:t>
            </w:r>
          </w:p>
          <w:p>
            <w:pPr>
              <w:pStyle w:val="67"/>
              <w:rPr>
                <w:rStyle w:val="76"/>
                <w:rFonts w:hint="default"/>
                <w:color w:val="auto"/>
                <w:sz w:val="21"/>
                <w:szCs w:val="21"/>
                <w:highlight w:val="none"/>
              </w:rPr>
            </w:pPr>
            <w:r>
              <w:rPr>
                <w:rStyle w:val="76"/>
                <w:rFonts w:hint="default"/>
                <w:color w:val="auto"/>
                <w:sz w:val="21"/>
                <w:szCs w:val="21"/>
                <w:highlight w:val="none"/>
              </w:rPr>
              <w:t>300组频点红外线对频，手咪通用，抗干扰能力强</w:t>
            </w:r>
          </w:p>
          <w:p>
            <w:pPr>
              <w:pStyle w:val="67"/>
              <w:rPr>
                <w:rStyle w:val="76"/>
                <w:rFonts w:hint="default"/>
                <w:color w:val="auto"/>
                <w:sz w:val="21"/>
                <w:szCs w:val="21"/>
                <w:highlight w:val="none"/>
              </w:rPr>
            </w:pPr>
            <w:r>
              <w:rPr>
                <w:rStyle w:val="76"/>
                <w:rFonts w:hint="default"/>
                <w:color w:val="auto"/>
                <w:sz w:val="21"/>
                <w:szCs w:val="21"/>
                <w:highlight w:val="none"/>
              </w:rPr>
              <w:t>发射LCD显示频道和电池电量，电池低压闪烁至1.8V自动关机</w:t>
            </w:r>
          </w:p>
          <w:p>
            <w:pPr>
              <w:pStyle w:val="67"/>
              <w:jc w:val="left"/>
              <w:rPr>
                <w:rStyle w:val="76"/>
                <w:rFonts w:hint="default"/>
                <w:color w:val="auto"/>
                <w:sz w:val="21"/>
                <w:szCs w:val="21"/>
                <w:highlight w:val="none"/>
              </w:rPr>
            </w:pPr>
            <w:r>
              <w:rPr>
                <w:rStyle w:val="76"/>
                <w:rFonts w:hint="default"/>
                <w:color w:val="auto"/>
                <w:sz w:val="21"/>
                <w:szCs w:val="21"/>
                <w:highlight w:val="none"/>
              </w:rPr>
              <w:t xml:space="preserve">设有回输啸叫抑制减弱功能，能有效减少回输啸叫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10</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有线鹅颈话筒</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换能方式：电容式</w:t>
            </w:r>
          </w:p>
          <w:p>
            <w:pPr>
              <w:pStyle w:val="67"/>
              <w:rPr>
                <w:rStyle w:val="76"/>
                <w:rFonts w:hint="default"/>
                <w:color w:val="auto"/>
                <w:sz w:val="21"/>
                <w:szCs w:val="21"/>
                <w:highlight w:val="none"/>
              </w:rPr>
            </w:pPr>
            <w:r>
              <w:rPr>
                <w:rStyle w:val="76"/>
                <w:rFonts w:hint="default"/>
                <w:color w:val="auto"/>
                <w:sz w:val="21"/>
                <w:szCs w:val="21"/>
                <w:highlight w:val="none"/>
              </w:rPr>
              <w:t>频率响应：30Hz-20KHz</w:t>
            </w:r>
          </w:p>
          <w:p>
            <w:pPr>
              <w:pStyle w:val="67"/>
              <w:rPr>
                <w:rStyle w:val="76"/>
                <w:rFonts w:hint="default"/>
                <w:color w:val="auto"/>
                <w:sz w:val="21"/>
                <w:szCs w:val="21"/>
                <w:highlight w:val="none"/>
              </w:rPr>
            </w:pPr>
            <w:r>
              <w:rPr>
                <w:rStyle w:val="76"/>
                <w:rFonts w:hint="default"/>
                <w:color w:val="auto"/>
                <w:sz w:val="21"/>
                <w:szCs w:val="21"/>
                <w:highlight w:val="none"/>
              </w:rPr>
              <w:t>指向性：单指向性</w:t>
            </w:r>
          </w:p>
          <w:p>
            <w:pPr>
              <w:pStyle w:val="67"/>
              <w:rPr>
                <w:rStyle w:val="76"/>
                <w:rFonts w:hint="default"/>
                <w:color w:val="auto"/>
                <w:sz w:val="21"/>
                <w:szCs w:val="21"/>
                <w:highlight w:val="none"/>
              </w:rPr>
            </w:pPr>
            <w:r>
              <w:rPr>
                <w:rStyle w:val="76"/>
                <w:rFonts w:hint="default"/>
                <w:color w:val="auto"/>
                <w:sz w:val="21"/>
                <w:szCs w:val="21"/>
                <w:highlight w:val="none"/>
              </w:rPr>
              <w:t>输出阻抗（欧姆）：75Ω</w:t>
            </w:r>
          </w:p>
          <w:p>
            <w:pPr>
              <w:pStyle w:val="67"/>
              <w:rPr>
                <w:rStyle w:val="76"/>
                <w:rFonts w:hint="default"/>
                <w:color w:val="auto"/>
                <w:sz w:val="21"/>
                <w:szCs w:val="21"/>
                <w:highlight w:val="none"/>
              </w:rPr>
            </w:pPr>
            <w:r>
              <w:rPr>
                <w:rStyle w:val="76"/>
                <w:rFonts w:hint="default"/>
                <w:color w:val="auto"/>
                <w:sz w:val="21"/>
                <w:szCs w:val="21"/>
                <w:highlight w:val="none"/>
              </w:rPr>
              <w:t>灵敏度：-45dB</w:t>
            </w:r>
          </w:p>
          <w:p>
            <w:pPr>
              <w:pStyle w:val="67"/>
              <w:rPr>
                <w:rStyle w:val="76"/>
                <w:rFonts w:hint="default"/>
                <w:color w:val="auto"/>
                <w:sz w:val="21"/>
                <w:szCs w:val="21"/>
                <w:highlight w:val="none"/>
              </w:rPr>
            </w:pPr>
            <w:r>
              <w:rPr>
                <w:rStyle w:val="76"/>
                <w:rFonts w:hint="default"/>
                <w:color w:val="auto"/>
                <w:sz w:val="21"/>
                <w:szCs w:val="21"/>
                <w:highlight w:val="none"/>
              </w:rPr>
              <w:t>最高输入音量：138dB声压</w:t>
            </w:r>
          </w:p>
          <w:p>
            <w:pPr>
              <w:pStyle w:val="67"/>
              <w:rPr>
                <w:rStyle w:val="76"/>
                <w:rFonts w:hint="default"/>
                <w:color w:val="auto"/>
                <w:sz w:val="21"/>
                <w:szCs w:val="21"/>
                <w:highlight w:val="none"/>
              </w:rPr>
            </w:pPr>
            <w:r>
              <w:rPr>
                <w:rStyle w:val="76"/>
                <w:rFonts w:hint="default"/>
                <w:color w:val="auto"/>
                <w:sz w:val="21"/>
                <w:szCs w:val="21"/>
                <w:highlight w:val="none"/>
              </w:rPr>
              <w:t>动态范围：109dB、1KHz</w:t>
            </w:r>
          </w:p>
          <w:p>
            <w:pPr>
              <w:pStyle w:val="67"/>
              <w:rPr>
                <w:rStyle w:val="76"/>
                <w:rFonts w:hint="default"/>
                <w:color w:val="auto"/>
                <w:sz w:val="21"/>
                <w:szCs w:val="21"/>
                <w:highlight w:val="none"/>
              </w:rPr>
            </w:pPr>
            <w:r>
              <w:rPr>
                <w:rStyle w:val="76"/>
                <w:rFonts w:hint="default"/>
                <w:color w:val="auto"/>
                <w:sz w:val="21"/>
                <w:szCs w:val="21"/>
                <w:highlight w:val="none"/>
              </w:rPr>
              <w:t>讯噪比：65d</w:t>
            </w:r>
          </w:p>
          <w:p>
            <w:pPr>
              <w:pStyle w:val="67"/>
              <w:rPr>
                <w:rStyle w:val="76"/>
                <w:rFonts w:hint="default"/>
                <w:color w:val="auto"/>
                <w:sz w:val="21"/>
                <w:szCs w:val="21"/>
                <w:highlight w:val="none"/>
              </w:rPr>
            </w:pPr>
            <w:r>
              <w:rPr>
                <w:rStyle w:val="76"/>
                <w:rFonts w:hint="default"/>
                <w:color w:val="auto"/>
                <w:sz w:val="21"/>
                <w:szCs w:val="21"/>
                <w:highlight w:val="none"/>
              </w:rPr>
              <w:t>抗手机、电磁、高频干扰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11</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8路净化电源时序器</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额定输出电压:交流220V.50Hz-60Hz</w:t>
            </w:r>
          </w:p>
          <w:p>
            <w:pPr>
              <w:pStyle w:val="67"/>
              <w:rPr>
                <w:rStyle w:val="76"/>
                <w:rFonts w:hint="default"/>
                <w:color w:val="auto"/>
                <w:sz w:val="21"/>
                <w:szCs w:val="21"/>
                <w:highlight w:val="none"/>
              </w:rPr>
            </w:pPr>
            <w:r>
              <w:rPr>
                <w:rStyle w:val="76"/>
                <w:rFonts w:hint="default"/>
                <w:color w:val="auto"/>
                <w:sz w:val="21"/>
                <w:szCs w:val="21"/>
                <w:highlight w:val="none"/>
              </w:rPr>
              <w:t>大功率线路，满足较大功率用电系统使用。</w:t>
            </w:r>
          </w:p>
          <w:p>
            <w:pPr>
              <w:pStyle w:val="67"/>
              <w:rPr>
                <w:rStyle w:val="76"/>
                <w:rFonts w:hint="default"/>
                <w:color w:val="auto"/>
                <w:sz w:val="21"/>
                <w:szCs w:val="21"/>
                <w:highlight w:val="none"/>
              </w:rPr>
            </w:pPr>
            <w:r>
              <w:rPr>
                <w:rStyle w:val="76"/>
                <w:rFonts w:hint="default"/>
                <w:color w:val="auto"/>
                <w:sz w:val="21"/>
                <w:szCs w:val="21"/>
                <w:highlight w:val="none"/>
              </w:rPr>
              <w:t>芯片控制,使电路更加稳定可靠。</w:t>
            </w:r>
          </w:p>
          <w:p>
            <w:pPr>
              <w:pStyle w:val="67"/>
              <w:rPr>
                <w:rStyle w:val="76"/>
                <w:rFonts w:hint="default"/>
                <w:color w:val="auto"/>
                <w:sz w:val="21"/>
                <w:szCs w:val="21"/>
                <w:highlight w:val="none"/>
              </w:rPr>
            </w:pPr>
            <w:r>
              <w:rPr>
                <w:rStyle w:val="76"/>
                <w:rFonts w:hint="default"/>
                <w:color w:val="auto"/>
                <w:sz w:val="21"/>
                <w:szCs w:val="21"/>
                <w:highlight w:val="none"/>
              </w:rPr>
              <w:t>万能插座，适合各种类型插头使用。</w:t>
            </w:r>
          </w:p>
          <w:p>
            <w:pPr>
              <w:pStyle w:val="67"/>
              <w:rPr>
                <w:rStyle w:val="76"/>
                <w:rFonts w:hint="default"/>
                <w:color w:val="auto"/>
                <w:sz w:val="21"/>
                <w:szCs w:val="21"/>
                <w:highlight w:val="none"/>
              </w:rPr>
            </w:pPr>
            <w:r>
              <w:rPr>
                <w:rStyle w:val="76"/>
                <w:rFonts w:hint="default"/>
                <w:color w:val="auto"/>
                <w:sz w:val="21"/>
                <w:szCs w:val="21"/>
                <w:highlight w:val="none"/>
              </w:rPr>
              <w:t>可控制电源：8路</w:t>
            </w:r>
          </w:p>
          <w:p>
            <w:pPr>
              <w:pStyle w:val="67"/>
              <w:rPr>
                <w:rStyle w:val="76"/>
                <w:rFonts w:hint="default"/>
                <w:color w:val="auto"/>
                <w:sz w:val="21"/>
                <w:szCs w:val="21"/>
                <w:highlight w:val="none"/>
              </w:rPr>
            </w:pPr>
            <w:r>
              <w:rPr>
                <w:rStyle w:val="76"/>
                <w:rFonts w:hint="default"/>
                <w:color w:val="auto"/>
                <w:sz w:val="21"/>
                <w:szCs w:val="21"/>
                <w:highlight w:val="none"/>
              </w:rPr>
              <w:t>每路动作延时时间：1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67"/>
              <w:jc w:val="center"/>
              <w:rPr>
                <w:rStyle w:val="76"/>
                <w:rFonts w:hint="default"/>
                <w:color w:val="auto"/>
                <w:sz w:val="21"/>
                <w:szCs w:val="21"/>
                <w:highlight w:val="none"/>
              </w:rPr>
            </w:pPr>
            <w:r>
              <w:rPr>
                <w:rStyle w:val="76"/>
                <w:rFonts w:hint="default"/>
                <w:color w:val="auto"/>
                <w:sz w:val="21"/>
                <w:szCs w:val="21"/>
                <w:highlight w:val="none"/>
              </w:rPr>
              <w:t>12</w:t>
            </w:r>
          </w:p>
        </w:tc>
        <w:tc>
          <w:tcPr>
            <w:tcW w:w="988"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机柜</w:t>
            </w:r>
          </w:p>
        </w:tc>
        <w:tc>
          <w:tcPr>
            <w:tcW w:w="7862" w:type="dxa"/>
            <w:tcBorders>
              <w:top w:val="single" w:color="auto" w:sz="4" w:space="0"/>
              <w:left w:val="nil"/>
              <w:bottom w:val="single" w:color="auto" w:sz="4" w:space="0"/>
              <w:right w:val="single" w:color="auto" w:sz="4" w:space="0"/>
            </w:tcBorders>
            <w:vAlign w:val="center"/>
          </w:tcPr>
          <w:p>
            <w:pPr>
              <w:pStyle w:val="67"/>
              <w:rPr>
                <w:rStyle w:val="76"/>
                <w:rFonts w:hint="default"/>
                <w:color w:val="auto"/>
                <w:sz w:val="21"/>
                <w:szCs w:val="21"/>
                <w:highlight w:val="none"/>
              </w:rPr>
            </w:pPr>
            <w:r>
              <w:rPr>
                <w:rStyle w:val="76"/>
                <w:rFonts w:hint="default"/>
                <w:color w:val="auto"/>
                <w:sz w:val="21"/>
                <w:szCs w:val="21"/>
                <w:highlight w:val="none"/>
              </w:rPr>
              <w:t>钢化机柜，带门带风扇，42U高度</w:t>
            </w:r>
          </w:p>
        </w:tc>
      </w:tr>
    </w:tbl>
    <w:p>
      <w:pPr>
        <w:rPr>
          <w:color w:val="auto"/>
          <w:highlight w:val="none"/>
        </w:rPr>
      </w:pPr>
    </w:p>
    <w:p>
      <w:pPr>
        <w:pStyle w:val="3"/>
        <w:rPr>
          <w:color w:val="auto"/>
          <w:szCs w:val="32"/>
          <w:highlight w:val="none"/>
        </w:rPr>
      </w:pPr>
      <w:r>
        <w:rPr>
          <w:rFonts w:hint="eastAsia"/>
          <w:color w:val="auto"/>
          <w:highlight w:val="none"/>
        </w:rPr>
        <w:t>机房中心装修</w:t>
      </w:r>
    </w:p>
    <w:p>
      <w:pPr>
        <w:pStyle w:val="4"/>
        <w:rPr>
          <w:color w:val="auto"/>
          <w:highlight w:val="none"/>
        </w:rPr>
      </w:pPr>
      <w:r>
        <w:rPr>
          <w:rFonts w:hint="eastAsia"/>
          <w:color w:val="auto"/>
          <w:highlight w:val="none"/>
        </w:rPr>
        <w:t>墙体工程</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 整体指挥中心墙体工程建设充分考虑稳固、防火、隔音等多方面因素进行设计施工。 </w:t>
      </w:r>
    </w:p>
    <w:p>
      <w:pPr>
        <w:pStyle w:val="4"/>
        <w:rPr>
          <w:color w:val="auto"/>
          <w:highlight w:val="none"/>
        </w:rPr>
      </w:pPr>
      <w:r>
        <w:rPr>
          <w:rFonts w:hint="eastAsia"/>
          <w:color w:val="auto"/>
          <w:highlight w:val="none"/>
        </w:rPr>
        <w:t>综合布线</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主要涉及强电布线、弱电布线，其中强电布线和弱电布线均放在金属布线槽内，具体的金属布线槽尺寸可根据线量的多少并考虑留有一定的余量。强电线槽和弱电线槽之间的距离应保持至少5cm以上，互相之间不能穿越，以防止相互之间的电磁干扰。</w:t>
      </w:r>
    </w:p>
    <w:p>
      <w:pPr>
        <w:pStyle w:val="2"/>
        <w:rPr>
          <w:color w:val="auto"/>
          <w:highlight w:val="none"/>
        </w:rPr>
      </w:pPr>
      <w:r>
        <w:rPr>
          <w:rFonts w:hint="eastAsia"/>
          <w:color w:val="auto"/>
          <w:highlight w:val="none"/>
        </w:rPr>
        <w:t>总体建设要求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为了充分发挥项目技术优势，提高监测结果的客观性和科学性，确保本系统能长期、稳定、正常地运行，项目各单元应符合以下基本要求：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1）系统应基于性能可靠的设备、成熟的技术、先进的体系结构建立的系统。系统应具有可靠运行、完善的功能、灵活的操作及长期的稳定运行；</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2）应用软件必须同时支持多种浏览器，并在多种浏览器下正常运行和显示；</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3）提供全方位的技术支持服务，进行完善的项目管理；</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4）系统总体设计符合国家、行业相关技术标准和规范。以物联网技术应用为支撑，总体框架设计具有较高的系统集成顶层设计规划。</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5）系统设计要求界面美观、风格统一, 人机界面友好, 操作体验人性化。</w:t>
      </w:r>
    </w:p>
    <w:p>
      <w:pPr>
        <w:pStyle w:val="3"/>
        <w:rPr>
          <w:color w:val="auto"/>
          <w:highlight w:val="none"/>
        </w:rPr>
      </w:pPr>
      <w:r>
        <w:rPr>
          <w:rFonts w:hint="eastAsia"/>
          <w:color w:val="auto"/>
          <w:highlight w:val="none"/>
        </w:rPr>
        <w:t>敏感区域空气质量超级站建设要求</w:t>
      </w:r>
    </w:p>
    <w:p>
      <w:pPr>
        <w:spacing w:line="360" w:lineRule="auto"/>
        <w:ind w:firstLine="480"/>
        <w:rPr>
          <w:color w:val="auto"/>
          <w:highlight w:val="none"/>
        </w:rPr>
      </w:pPr>
      <w:r>
        <w:rPr>
          <w:rFonts w:hint="eastAsia" w:ascii="宋体" w:hAnsi="宋体"/>
          <w:color w:val="auto"/>
          <w:sz w:val="24"/>
          <w:szCs w:val="24"/>
          <w:highlight w:val="none"/>
        </w:rPr>
        <w:t>见空气质量超级站章节关于标准站房及辅助设施的详细要求。</w:t>
      </w:r>
    </w:p>
    <w:p>
      <w:pPr>
        <w:pStyle w:val="3"/>
        <w:rPr>
          <w:color w:val="auto"/>
          <w:highlight w:val="none"/>
        </w:rPr>
      </w:pPr>
      <w:r>
        <w:rPr>
          <w:rFonts w:hint="eastAsia"/>
          <w:color w:val="auto"/>
          <w:highlight w:val="none"/>
        </w:rPr>
        <w:t>有毒有害多气体监测仪安装要求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170"/>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highlight w:val="none"/>
              </w:rPr>
            </w:pPr>
            <w:r>
              <w:rPr>
                <w:rFonts w:hint="eastAsia" w:ascii="宋体" w:hAnsi="宋体"/>
                <w:b/>
                <w:bCs/>
                <w:color w:val="auto"/>
                <w:sz w:val="21"/>
                <w:szCs w:val="21"/>
                <w:highlight w:val="none"/>
              </w:rPr>
              <w:t>序号</w:t>
            </w:r>
          </w:p>
        </w:tc>
        <w:tc>
          <w:tcPr>
            <w:tcW w:w="217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项目名称</w:t>
            </w:r>
          </w:p>
        </w:tc>
        <w:tc>
          <w:tcPr>
            <w:tcW w:w="6303"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水泥基础</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水泥基座尺寸：600x600X500</w:t>
            </w:r>
            <w:r>
              <w:rPr>
                <w:rFonts w:ascii="宋体" w:hAnsi="宋体"/>
                <w:color w:val="auto"/>
                <w:sz w:val="21"/>
                <w:szCs w:val="21"/>
                <w:highlight w:val="none"/>
              </w:rPr>
              <w:t>mm</w:t>
            </w:r>
            <w:r>
              <w:rPr>
                <w:rFonts w:hint="eastAsia" w:ascii="宋体" w:hAnsi="宋体"/>
                <w:color w:val="auto"/>
                <w:sz w:val="21"/>
                <w:szCs w:val="21"/>
                <w:highlight w:val="none"/>
              </w:rPr>
              <w:t>，采用C25混凝土浇筑，铺设双向φ10@200钢筋网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立杆</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室外球头立杆</w:t>
            </w:r>
            <w:r>
              <w:rPr>
                <w:rFonts w:hint="eastAsia" w:ascii="宋体" w:hAnsi="宋体"/>
                <w:color w:val="auto"/>
                <w:sz w:val="21"/>
                <w:szCs w:val="21"/>
                <w:highlight w:val="none"/>
              </w:rPr>
              <w:t>，</w:t>
            </w:r>
            <w:r>
              <w:rPr>
                <w:rFonts w:ascii="宋体" w:hAnsi="宋体"/>
                <w:color w:val="auto"/>
                <w:sz w:val="21"/>
                <w:szCs w:val="21"/>
                <w:highlight w:val="none"/>
              </w:rPr>
              <w:t>高度≥2.5米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配电</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YJV</w:t>
            </w:r>
            <w:r>
              <w:rPr>
                <w:rFonts w:hint="eastAsia" w:ascii="宋体" w:hAnsi="宋体"/>
                <w:color w:val="auto"/>
                <w:sz w:val="21"/>
                <w:szCs w:val="21"/>
                <w:highlight w:val="none"/>
              </w:rPr>
              <w:t>3*2.5电源进线总电缆敷设及穿管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1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防雷接地</w:t>
            </w:r>
          </w:p>
        </w:tc>
        <w:tc>
          <w:tcPr>
            <w:tcW w:w="630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整体接地电阻＜4Ω</w:t>
            </w:r>
          </w:p>
        </w:tc>
      </w:tr>
    </w:tbl>
    <w:p>
      <w:pPr>
        <w:pStyle w:val="3"/>
        <w:rPr>
          <w:color w:val="auto"/>
          <w:highlight w:val="none"/>
        </w:rPr>
      </w:pPr>
      <w:r>
        <w:rPr>
          <w:rFonts w:hint="eastAsia"/>
          <w:color w:val="auto"/>
          <w:highlight w:val="none"/>
        </w:rPr>
        <w:t>高空瞭望监测设备安装要求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53"/>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153"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项目名称</w:t>
            </w:r>
          </w:p>
        </w:tc>
        <w:tc>
          <w:tcPr>
            <w:tcW w:w="778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线缆布线</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线路</w:t>
            </w:r>
            <w:r>
              <w:rPr>
                <w:rFonts w:ascii="宋体" w:hAnsi="宋体"/>
                <w:color w:val="auto"/>
                <w:sz w:val="21"/>
                <w:szCs w:val="21"/>
                <w:highlight w:val="none"/>
              </w:rPr>
              <w:t>勘察</w:t>
            </w:r>
            <w:r>
              <w:rPr>
                <w:rFonts w:hint="eastAsia" w:ascii="宋体" w:hAnsi="宋体"/>
                <w:color w:val="auto"/>
                <w:sz w:val="21"/>
                <w:szCs w:val="21"/>
                <w:highlight w:val="none"/>
              </w:rPr>
              <w:t>规划</w:t>
            </w:r>
            <w:r>
              <w:rPr>
                <w:rFonts w:ascii="宋体" w:hAnsi="宋体"/>
                <w:color w:val="auto"/>
                <w:sz w:val="21"/>
                <w:szCs w:val="21"/>
                <w:highlight w:val="none"/>
              </w:rPr>
              <w:t>、线缆布置实施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支架固定</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选择合适安装点位</w:t>
            </w:r>
            <w:r>
              <w:rPr>
                <w:rFonts w:hint="eastAsia" w:ascii="宋体" w:hAnsi="宋体"/>
                <w:color w:val="auto"/>
                <w:sz w:val="21"/>
                <w:szCs w:val="21"/>
                <w:highlight w:val="none"/>
              </w:rPr>
              <w:t>进行固定安装，确保承重和稳定可靠，保证图像的平滑性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云台安装</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云台安装就位及性能调试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防雷接地</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结合安装位置建筑物的防雷要求做好防雷接地</w:t>
            </w:r>
            <w:r>
              <w:rPr>
                <w:rFonts w:hint="eastAsia" w:ascii="宋体" w:hAnsi="宋体"/>
                <w:color w:val="auto"/>
                <w:sz w:val="21"/>
                <w:szCs w:val="21"/>
                <w:highlight w:val="none"/>
              </w:rPr>
              <w:t>，</w:t>
            </w:r>
            <w:r>
              <w:rPr>
                <w:rFonts w:ascii="宋体" w:hAnsi="宋体"/>
                <w:color w:val="auto"/>
                <w:sz w:val="21"/>
                <w:szCs w:val="21"/>
                <w:highlight w:val="none"/>
              </w:rPr>
              <w:t>确保符合国标</w:t>
            </w:r>
          </w:p>
        </w:tc>
      </w:tr>
    </w:tbl>
    <w:p>
      <w:pPr>
        <w:pStyle w:val="3"/>
        <w:rPr>
          <w:color w:val="auto"/>
          <w:highlight w:val="none"/>
        </w:rPr>
      </w:pPr>
      <w:r>
        <w:rPr>
          <w:rFonts w:hint="eastAsia"/>
          <w:color w:val="auto"/>
          <w:highlight w:val="none"/>
        </w:rPr>
        <w:t>园区智慧能源监测设备安装要求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53"/>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153"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项目名称</w:t>
            </w:r>
          </w:p>
        </w:tc>
        <w:tc>
          <w:tcPr>
            <w:tcW w:w="778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ascii="宋体" w:hAnsi="宋体"/>
                <w:color w:val="auto"/>
                <w:sz w:val="21"/>
                <w:szCs w:val="21"/>
                <w:highlight w:val="none"/>
              </w:rPr>
              <w:t>线缆布线</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线路</w:t>
            </w:r>
            <w:r>
              <w:rPr>
                <w:rFonts w:ascii="宋体" w:hAnsi="宋体"/>
                <w:color w:val="auto"/>
                <w:sz w:val="21"/>
                <w:szCs w:val="21"/>
                <w:highlight w:val="none"/>
              </w:rPr>
              <w:t>勘察</w:t>
            </w:r>
            <w:r>
              <w:rPr>
                <w:rFonts w:hint="eastAsia" w:ascii="宋体" w:hAnsi="宋体"/>
                <w:color w:val="auto"/>
                <w:sz w:val="21"/>
                <w:szCs w:val="21"/>
                <w:highlight w:val="none"/>
              </w:rPr>
              <w:t>规划</w:t>
            </w:r>
            <w:r>
              <w:rPr>
                <w:rFonts w:ascii="宋体" w:hAnsi="宋体"/>
                <w:color w:val="auto"/>
                <w:sz w:val="21"/>
                <w:szCs w:val="21"/>
                <w:highlight w:val="none"/>
              </w:rPr>
              <w:t>、线缆布置实施</w:t>
            </w:r>
            <w:r>
              <w:rPr>
                <w:rFonts w:hint="eastAsia" w:ascii="宋体" w:hAnsi="宋体"/>
                <w:color w:val="auto"/>
                <w:sz w:val="21"/>
                <w:szCs w:val="21"/>
                <w:highlight w:val="none"/>
              </w:rPr>
              <w:t>。将设备这端的电源线和信号线接好，接线时注意接线的牢固性和绝缘性，并安装随机发货的线缆线管标记。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支架固定</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在合适位置安装固定支架，确保设备牢固固定。防止在使用中脱落。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设备</w:t>
            </w:r>
            <w:r>
              <w:rPr>
                <w:rFonts w:ascii="宋体" w:hAnsi="宋体"/>
                <w:color w:val="auto"/>
                <w:sz w:val="21"/>
                <w:szCs w:val="21"/>
                <w:highlight w:val="none"/>
              </w:rPr>
              <w:t>安装</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设备确保安装在室内，没有办法安装在室内的一定要配备表箱。目标是要确保设备可以长期稳定的运行。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ascii="宋体" w:hAnsi="宋体"/>
                <w:color w:val="auto"/>
                <w:sz w:val="21"/>
                <w:szCs w:val="21"/>
                <w:highlight w:val="none"/>
              </w:rPr>
              <w:t>防雷接地</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整体接地电阻＜4Ω</w:t>
            </w:r>
          </w:p>
        </w:tc>
      </w:tr>
    </w:tbl>
    <w:p>
      <w:pPr>
        <w:pStyle w:val="3"/>
        <w:rPr>
          <w:color w:val="auto"/>
          <w:highlight w:val="none"/>
        </w:rPr>
      </w:pPr>
      <w:r>
        <w:rPr>
          <w:rFonts w:hint="eastAsia"/>
          <w:color w:val="auto"/>
          <w:highlight w:val="none"/>
        </w:rPr>
        <w:t>园区道路车辆监管设备安装要求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53"/>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1153"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项目名称</w:t>
            </w:r>
          </w:p>
        </w:tc>
        <w:tc>
          <w:tcPr>
            <w:tcW w:w="7780" w:type="dxa"/>
            <w:tcBorders>
              <w:top w:val="single" w:color="auto" w:sz="4" w:space="0"/>
              <w:left w:val="nil"/>
              <w:bottom w:val="single" w:color="auto" w:sz="4" w:space="0"/>
              <w:right w:val="single" w:color="auto" w:sz="4" w:space="0"/>
            </w:tcBorders>
            <w:shd w:val="clear" w:color="auto" w:fill="FFFFFF"/>
          </w:tcPr>
          <w:p>
            <w:pPr>
              <w:pStyle w:val="66"/>
              <w:jc w:val="center"/>
              <w:rPr>
                <w:rFonts w:ascii="宋体" w:hAnsi="宋体"/>
                <w:b/>
                <w:bCs/>
                <w:color w:val="auto"/>
                <w:highlight w:val="none"/>
              </w:rPr>
            </w:pPr>
            <w:r>
              <w:rPr>
                <w:rFonts w:hint="eastAsia" w:ascii="宋体" w:hAnsi="宋体"/>
                <w:b/>
                <w:bCs/>
                <w:color w:val="auto"/>
                <w:highlight w:val="none"/>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防水</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应选择不易进水的位置确保持终端的干燥，要注意远离空调出风口以防在温差 变化时，有冷凝水积聚在终端内部严重影响产品的使用寿命。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防震</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终端不能悬空安装在长期振动较大位置。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15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防干扰</w:t>
            </w:r>
          </w:p>
        </w:tc>
        <w:tc>
          <w:tcPr>
            <w:tcW w:w="778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olor w:val="auto"/>
                <w:sz w:val="21"/>
                <w:szCs w:val="21"/>
                <w:highlight w:val="none"/>
              </w:rPr>
            </w:pPr>
            <w:r>
              <w:rPr>
                <w:rFonts w:hint="eastAsia" w:ascii="宋体" w:hAnsi="宋体"/>
                <w:color w:val="auto"/>
                <w:sz w:val="21"/>
                <w:szCs w:val="21"/>
                <w:highlight w:val="none"/>
              </w:rPr>
              <w:t>：终端应远离车内影音和对讲等电子设备，防止传导干扰和辐射干扰。</w:t>
            </w:r>
          </w:p>
        </w:tc>
      </w:tr>
    </w:tbl>
    <w:p>
      <w:pPr>
        <w:pStyle w:val="3"/>
        <w:rPr>
          <w:color w:val="auto"/>
          <w:highlight w:val="none"/>
        </w:rPr>
      </w:pPr>
      <w:r>
        <w:rPr>
          <w:rFonts w:hint="eastAsia"/>
          <w:color w:val="auto"/>
          <w:highlight w:val="none"/>
        </w:rPr>
        <w:t>危化品车辆停车场无死角监控施工安装要求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安装前需将摄像机逐个通电进行检测和粗调，在摄像机处于正常工作状态后，方可安装；检查云台的水平、垂直转动角度，并根据设计要求定准云台转动起点方向。</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检查摄像机防护罩含风扇、雨刷等工作是否正常；检查摄像机防护罩内紧固情况；</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检查摄像机机座与支架或云台的安装尺寸；</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从摄像机引出的电缆宜留有1米的余量，不得影响摄像机的转动。摄像机的电缆和电源线应固定，不得用插头承受电缆的自重；</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摄像机宜安装在监视目标附近不易受外界损伤的地方，安装位置固定，且安装位置不应影响现场设备运行和人员正常活动。</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信号线缆（视频线、控制线等）与电源线应分别采用2根管道进行布放，或分走道布放，间距应大于5cm，室内采用PVC管进入机架的部分要加装软套，室外应采用金属管道进行布放。</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各类线缆长度应逐盘核对，并根据设计图上各段线路的长度来选配线缆，线缆要预留适当的长度，同一类型线缆预留长度要一致。</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架设架空电缆时，宜将电缆吊线固定在电杆上，再用电缆挂钩把电缆卡挂在吊线上；挂钩的间隔距离应宜为0.5～0.6m，根据气候条件，每一杆应留出余兜。</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墙壁电缆的敷设，沿室外墙面宜采用吊挂方式；室内墙面宜采用卡子方式。墙壁电缆沿墙角转弯时，应在墙角处设转角墙担。电缆卡子的间距在水平路径上宜为0.6m；在垂直路径上宜为1m。</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直埋电缆的埋深不得小于0.8m，并应埋在冰冻层以下；紧靠电缆处应用沙土或细土覆盖，其厚度应大于0.1m，并且压上一层砖时保护。通过交通要道时，应穿钢管保护，电缆应采用具有铠装的直埋电缆。转弯地段的电缆，地面上应由电缆标志。</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管道电缆或直埋电缆在引出地面时，均应采用钢管保护。钢管伸出地面不宜小于2.5m；埋入地下宜为0.3～0.5m。</w:t>
      </w:r>
    </w:p>
    <w:p>
      <w:pPr>
        <w:pStyle w:val="3"/>
        <w:rPr>
          <w:color w:val="auto"/>
          <w:highlight w:val="none"/>
        </w:rPr>
      </w:pPr>
      <w:r>
        <w:rPr>
          <w:rFonts w:hint="eastAsia"/>
          <w:color w:val="auto"/>
          <w:highlight w:val="none"/>
        </w:rPr>
        <w:t>园区监控指挥中心建设要求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大路工业园区监控指挥中心是一个综合性的专业技术场地，建设要求如下：</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监控指挥中心具有装修、空调、通风、强电、弱电、防雷、消防等各个专业及新兴的先进的计算机及网络设备所特有的专业技术要求。</w:t>
      </w:r>
    </w:p>
    <w:p>
      <w:pPr>
        <w:ind w:firstLine="480"/>
        <w:rPr>
          <w:rFonts w:ascii="宋体" w:hAnsi="宋体"/>
          <w:color w:val="auto"/>
          <w:sz w:val="24"/>
          <w:szCs w:val="24"/>
          <w:highlight w:val="none"/>
        </w:rPr>
      </w:pPr>
      <w:r>
        <w:rPr>
          <w:rFonts w:hint="eastAsia" w:ascii="宋体" w:hAnsi="宋体"/>
          <w:color w:val="auto"/>
          <w:sz w:val="24"/>
          <w:szCs w:val="24"/>
          <w:highlight w:val="none"/>
        </w:rPr>
        <w:t>同时又要求具有建筑装饰、美学、光学及现代气息。</w:t>
      </w:r>
    </w:p>
    <w:p>
      <w:pPr>
        <w:pStyle w:val="19"/>
        <w:ind w:firstLine="482" w:firstLineChars="200"/>
        <w:jc w:val="both"/>
        <w:rPr>
          <w:b/>
          <w:bCs/>
          <w:color w:val="auto"/>
          <w:highlight w:val="none"/>
        </w:rPr>
      </w:pPr>
      <w:r>
        <w:rPr>
          <w:rFonts w:hint="eastAsia"/>
          <w:b/>
          <w:bCs/>
          <w:color w:val="auto"/>
          <w:highlight w:val="none"/>
        </w:rPr>
        <w:t>监控中心环境</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温度：设备20～24°C，最佳22°C；工作人员22～26°C，最佳25°C；</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湿度：45%-65%，最佳55%；</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温度变化率：&lt;5°C/H，并不得结露；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含尘浓度：大于或等于0.5μm粒子数&lt;18000粒/升；</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噪声：停机时，操作员位&lt;68dB（A）；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主机房内磁场干扰场强应低于800A/m；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机房附近无线电波干扰应低于126dB（F=14KHZ-1GHZ）；</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地板振动加速度：停机时不大于500mm/S；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绝缘体静电位：&lt;1KV。</w:t>
      </w:r>
    </w:p>
    <w:p>
      <w:pPr>
        <w:pStyle w:val="19"/>
        <w:ind w:firstLine="482" w:firstLineChars="200"/>
        <w:jc w:val="both"/>
        <w:rPr>
          <w:b/>
          <w:bCs/>
          <w:color w:val="auto"/>
          <w:highlight w:val="none"/>
        </w:rPr>
      </w:pPr>
      <w:r>
        <w:rPr>
          <w:rFonts w:hint="eastAsia"/>
          <w:b/>
          <w:bCs/>
          <w:color w:val="auto"/>
          <w:highlight w:val="none"/>
        </w:rPr>
        <w:t>监控中心接地</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 xml:space="preserve">系统接地性能良好会有效抑制电磁场的干扰，使空间电磁场干扰通过地线系泄漏，保证弱电系统的可靠运行。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系统接地要求严格良好的接地系统是防止外界电磁场干扰和设备间产生电容偶合干扰，提高系统可靠的必要措施。系统接地电阻要小于1欧姆。</w:t>
      </w:r>
    </w:p>
    <w:p>
      <w:pPr>
        <w:pStyle w:val="3"/>
        <w:rPr>
          <w:color w:val="auto"/>
          <w:highlight w:val="none"/>
        </w:rPr>
      </w:pPr>
      <w:r>
        <w:rPr>
          <w:rFonts w:hint="eastAsia"/>
          <w:color w:val="auto"/>
          <w:highlight w:val="none"/>
        </w:rPr>
        <w:t>企业端监测设备I</w:t>
      </w:r>
      <w:r>
        <w:rPr>
          <w:color w:val="auto"/>
          <w:highlight w:val="none"/>
        </w:rPr>
        <w:t>T</w:t>
      </w:r>
      <w:r>
        <w:rPr>
          <w:rFonts w:hint="eastAsia"/>
          <w:color w:val="auto"/>
          <w:highlight w:val="none"/>
        </w:rPr>
        <w:t>系统集成</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企业端的数据采集设备（包含环保、安监、能源、网络安全）集中集成在同一弱电机柜内；</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弱电机柜和柜内数据采集设备由园区管委会提供；</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设备安装空间位置、电源供电、环境条件等由所在企业配合提供。</w:t>
      </w:r>
    </w:p>
    <w:p>
      <w:pPr>
        <w:pStyle w:val="2"/>
        <w:rPr>
          <w:color w:val="auto"/>
          <w:highlight w:val="none"/>
        </w:rPr>
      </w:pPr>
      <w:r>
        <w:rPr>
          <w:rFonts w:hint="eastAsia"/>
          <w:color w:val="auto"/>
          <w:highlight w:val="none"/>
        </w:rPr>
        <w:t>项目实施要求</w:t>
      </w:r>
    </w:p>
    <w:p>
      <w:pPr>
        <w:pStyle w:val="3"/>
        <w:rPr>
          <w:color w:val="auto"/>
          <w:highlight w:val="none"/>
        </w:rPr>
      </w:pPr>
      <w:r>
        <w:rPr>
          <w:rFonts w:hint="eastAsia"/>
          <w:color w:val="auto"/>
          <w:highlight w:val="none"/>
        </w:rPr>
        <w:t xml:space="preserve">项目进度要求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本次项目新建设备施工建设工期为</w:t>
      </w:r>
      <w:r>
        <w:rPr>
          <w:rFonts w:ascii="宋体" w:hAnsi="宋体"/>
          <w:color w:val="auto"/>
          <w:sz w:val="24"/>
          <w:szCs w:val="24"/>
          <w:highlight w:val="none"/>
        </w:rPr>
        <w:t>6个月，试运行期1个月。</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项目建设运营期共细分为五个阶段：</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第一阶段</w:t>
            </w:r>
          </w:p>
        </w:tc>
        <w:tc>
          <w:tcPr>
            <w:tcW w:w="8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合同签订后1个月内完成需求调研、分析、系统设计，并细化系统实施计划，中标人向采购人（用户单位）提供相关文档并需经采购人审查通过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第二阶段</w:t>
            </w:r>
          </w:p>
        </w:tc>
        <w:tc>
          <w:tcPr>
            <w:tcW w:w="8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合同生效之日起6个月内完成项目建设（含设备供货、站点安装、软件开发、软件安装部署、机房改造、系统部署调试等），并通过初验投入试运行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第三阶段</w:t>
            </w:r>
          </w:p>
        </w:tc>
        <w:tc>
          <w:tcPr>
            <w:tcW w:w="8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正常试运行1个月后，中标商提请正式验收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第四阶段</w:t>
            </w:r>
          </w:p>
        </w:tc>
        <w:tc>
          <w:tcPr>
            <w:tcW w:w="8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若验收不合格，限期1个月整改并提请验收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第五阶段</w:t>
            </w:r>
          </w:p>
        </w:tc>
        <w:tc>
          <w:tcPr>
            <w:tcW w:w="8357" w:type="dxa"/>
            <w:tcBorders>
              <w:top w:val="single" w:color="auto" w:sz="4" w:space="0"/>
              <w:left w:val="nil"/>
              <w:bottom w:val="single" w:color="auto" w:sz="4" w:space="0"/>
              <w:right w:val="single" w:color="auto" w:sz="4" w:space="0"/>
            </w:tcBorders>
          </w:tcPr>
          <w:p>
            <w:pPr>
              <w:rPr>
                <w:rFonts w:ascii="宋体" w:hAnsi="宋体"/>
                <w:color w:val="auto"/>
                <w:sz w:val="21"/>
                <w:szCs w:val="21"/>
                <w:highlight w:val="none"/>
              </w:rPr>
            </w:pPr>
            <w:r>
              <w:rPr>
                <w:rFonts w:hint="eastAsia" w:ascii="宋体" w:hAnsi="宋体"/>
                <w:color w:val="auto"/>
                <w:sz w:val="21"/>
                <w:szCs w:val="21"/>
                <w:highlight w:val="none"/>
              </w:rPr>
              <w:t>验收完成后转入正式运营期。</w:t>
            </w:r>
          </w:p>
        </w:tc>
      </w:tr>
    </w:tbl>
    <w:p>
      <w:pPr>
        <w:pStyle w:val="3"/>
        <w:rPr>
          <w:color w:val="auto"/>
          <w:szCs w:val="32"/>
          <w:highlight w:val="none"/>
        </w:rPr>
      </w:pPr>
      <w:r>
        <w:rPr>
          <w:rFonts w:hint="eastAsia"/>
          <w:color w:val="auto"/>
          <w:highlight w:val="none"/>
        </w:rPr>
        <w:t>项目组织及实施要求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中标人合同签订后5个工作日内成立建设项目工作团队，并指定一名专职的项目经理，负责项目协调和调度工作。除项目经理外，项目组需配备专职的技术负责人，并按照项目实施的要求，配置相应的项目管理、系统设计、开发、测试、集成、现场实施、培训、质量保证等人员。</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参与此项目的软件技术人员需具有承担过相同类型软件开发经验，能够与采购人进行良好的沟通，掌握相关领域的相关基础知识，具备相关产品集成、应用和开发的能力。</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中标人在项目合同签订后，需组织相关实施人员在该项目招标需求的基础上进行深入调研，编制需求规格说明书。需求规格说明书经采购人、中标人确认后作为项目验收的依据。</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要求中标人在各阶段及时提供相应的项目管理文档、开发类文档及实施类文档，以便采购人及时了解项目进展情况。</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对上述安排投标人应列出详细实施方案，包括但不限于项目管理计划、项目进度计划、项目验收计划、项目组织结构（人员姓名、经验、学历和在本项目中的职责分工等）等。参与本项目的技术人员必须具有相应技术专业资格证书。</w:t>
      </w:r>
    </w:p>
    <w:p>
      <w:pPr>
        <w:pStyle w:val="3"/>
        <w:rPr>
          <w:color w:val="auto"/>
          <w:highlight w:val="none"/>
        </w:rPr>
      </w:pPr>
      <w:r>
        <w:rPr>
          <w:rFonts w:hint="eastAsia"/>
          <w:color w:val="auto"/>
          <w:highlight w:val="none"/>
        </w:rPr>
        <w:t>安装、测试及系统集成要求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本项目涉及到多个系统的数据整合，各应用系统之间要求按统一的数据交换标准进行数据交换。需要高标准进行整体规划，确保系统的稳定性、安全性、灵活性和扩展性。</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要求中标人：</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负责本项目范围内应用软件的现场安装部署、测试和调试，保证系统功能、性能要求的实现。在安装、配置和测试、调试过程中，中标人应对最终用户技术人员所提出的技术问题，给予满意的答复。</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要求有完整的安装和配置程序，具有详细的系统安装配置说明手册、用户使用说明书和系统维护说明书。</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要求具有完整的系统测试计划、合理的测试方案和测试方法。要求保留完整的测试报告。</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负责解决系统集成中全部技术问题，对采购人项目建设中碰到的其他技术问题，有责任和义务提供咨询和帮助。</w:t>
      </w:r>
    </w:p>
    <w:p>
      <w:pPr>
        <w:pStyle w:val="3"/>
        <w:rPr>
          <w:color w:val="auto"/>
          <w:highlight w:val="none"/>
        </w:rPr>
      </w:pPr>
      <w:r>
        <w:rPr>
          <w:rFonts w:hint="eastAsia"/>
          <w:color w:val="auto"/>
          <w:highlight w:val="none"/>
        </w:rPr>
        <w:t>培训要求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中标人必须为采购人提供系统使用、系统操作和管理培训，培训形式包括客户现场培训、总部课堂培训；投标人必须列明相应的培训课程。</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中标人提供详细的培训计划、大纲、课程内容等相关内容，为所有被培训人员提供培训用文字资料和讲义等相关用品。</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培训工作必须在合同生效之后系统试运行之前安排。</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所有培训费用（含培训教材费），已包括在投标总价中。</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实际培训时间、人数和地点按中标人与项目采购人商定的为准。</w:t>
      </w:r>
    </w:p>
    <w:p>
      <w:pPr>
        <w:pStyle w:val="3"/>
        <w:rPr>
          <w:color w:val="auto"/>
          <w:highlight w:val="none"/>
        </w:rPr>
      </w:pPr>
      <w:r>
        <w:rPr>
          <w:rFonts w:hint="eastAsia"/>
          <w:color w:val="auto"/>
          <w:highlight w:val="none"/>
        </w:rPr>
        <w:t>售后要求</w:t>
      </w:r>
    </w:p>
    <w:p>
      <w:pPr>
        <w:spacing w:line="360" w:lineRule="auto"/>
        <w:ind w:firstLine="480"/>
        <w:rPr>
          <w:rFonts w:ascii="宋体" w:hAnsi="宋体"/>
          <w:color w:val="auto"/>
          <w:sz w:val="24"/>
          <w:szCs w:val="24"/>
          <w:highlight w:val="none"/>
        </w:rPr>
      </w:pPr>
      <w:r>
        <w:rPr>
          <w:rFonts w:hint="eastAsia" w:ascii="宋体" w:hAnsi="宋体"/>
          <w:color w:val="auto"/>
          <w:highlight w:val="none"/>
        </w:rPr>
        <w:t xml:space="preserve">  </w:t>
      </w:r>
      <w:r>
        <w:rPr>
          <w:rFonts w:hint="eastAsia" w:ascii="宋体" w:hAnsi="宋体"/>
          <w:color w:val="auto"/>
          <w:sz w:val="24"/>
          <w:szCs w:val="24"/>
          <w:highlight w:val="none"/>
        </w:rPr>
        <w:t>质保期1年，质保期内要求配备</w:t>
      </w:r>
      <w:r>
        <w:rPr>
          <w:rFonts w:ascii="宋体" w:hAnsi="宋体"/>
          <w:color w:val="auto"/>
          <w:sz w:val="24"/>
          <w:szCs w:val="24"/>
          <w:highlight w:val="none"/>
        </w:rPr>
        <w:t>3</w:t>
      </w:r>
      <w:r>
        <w:rPr>
          <w:rFonts w:hint="eastAsia" w:ascii="宋体" w:hAnsi="宋体"/>
          <w:color w:val="auto"/>
          <w:sz w:val="24"/>
          <w:szCs w:val="24"/>
          <w:highlight w:val="none"/>
        </w:rPr>
        <w:t>名监控中心驻场人员。（采购方提供食宿）</w:t>
      </w:r>
    </w:p>
    <w:p>
      <w:pPr>
        <w:pStyle w:val="3"/>
        <w:rPr>
          <w:color w:val="auto"/>
          <w:highlight w:val="none"/>
        </w:rPr>
      </w:pPr>
      <w:r>
        <w:rPr>
          <w:rFonts w:hint="eastAsia"/>
          <w:color w:val="auto"/>
          <w:highlight w:val="none"/>
        </w:rPr>
        <w:t>其它要求</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投标人须保证所提供产品具有合法的版权或使用权，本项目采购的产品，如在本项目范围内使用过程中出现版权或使用权纠纷，应由中标人负责，采购人和采购机构不承担任何责任。</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本项目所开发完成的所有软件系统版权归采购人所有。</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投标人须承诺质保期过后，对采购人的升级需求提供优惠的升级服务。</w:t>
      </w:r>
    </w:p>
    <w:p>
      <w:pPr>
        <w:spacing w:line="360" w:lineRule="auto"/>
        <w:ind w:right="57"/>
        <w:rPr>
          <w:rFonts w:ascii="宋体" w:hAnsi="宋体" w:cs="宋体"/>
          <w:color w:val="auto"/>
          <w:sz w:val="24"/>
          <w:szCs w:val="24"/>
          <w:highlight w:val="none"/>
        </w:rPr>
      </w:pPr>
    </w:p>
    <w:p>
      <w:pPr>
        <w:jc w:val="center"/>
        <w:outlineLvl w:val="0"/>
        <w:rPr>
          <w:rFonts w:ascii="宋体" w:hAnsi="宋体"/>
          <w:b/>
          <w:bCs/>
          <w:color w:val="auto"/>
          <w:kern w:val="44"/>
          <w:sz w:val="24"/>
          <w:szCs w:val="24"/>
          <w:highlight w:val="none"/>
        </w:rPr>
      </w:pPr>
      <w:r>
        <w:rPr>
          <w:rFonts w:hint="eastAsia" w:ascii="宋体" w:hAnsi="宋体"/>
          <w:b/>
          <w:bCs/>
          <w:color w:val="auto"/>
          <w:kern w:val="44"/>
          <w:sz w:val="24"/>
          <w:szCs w:val="24"/>
          <w:highlight w:val="none"/>
        </w:rPr>
        <w:t>第五章 投标人资格证明及相关文件要求</w:t>
      </w:r>
      <w:bookmarkEnd w:id="14"/>
      <w:bookmarkEnd w:id="15"/>
    </w:p>
    <w:p>
      <w:pPr>
        <w:spacing w:line="360" w:lineRule="auto"/>
        <w:jc w:val="center"/>
        <w:rPr>
          <w:rFonts w:ascii="宋体" w:hAnsi="宋体"/>
          <w:b/>
          <w:bCs/>
          <w:color w:val="auto"/>
          <w:kern w:val="44"/>
          <w:sz w:val="24"/>
          <w:szCs w:val="24"/>
          <w:highlight w:val="none"/>
        </w:rPr>
      </w:pPr>
    </w:p>
    <w:p>
      <w:pPr>
        <w:autoSpaceDE w:val="0"/>
        <w:autoSpaceDN w:val="0"/>
        <w:adjustRightInd w:val="0"/>
        <w:snapToGrid w:val="0"/>
        <w:spacing w:line="360" w:lineRule="auto"/>
        <w:ind w:firstLine="482" w:firstLineChars="201"/>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投标人应提交证明其有资格参加投标和中标后有能力履行合同的文件，并作为其投标文件的一部分，所有文件</w:t>
      </w:r>
      <w:r>
        <w:rPr>
          <w:rFonts w:hint="eastAsia" w:ascii="宋体" w:hAnsi="宋体" w:cs="宋体"/>
          <w:color w:val="auto"/>
          <w:sz w:val="24"/>
          <w:szCs w:val="24"/>
          <w:highlight w:val="none"/>
        </w:rPr>
        <w:t>必须真实可靠、不得伪造，否则将按相关规定予以处罚。资质证明文件及其它文件</w:t>
      </w:r>
      <w:r>
        <w:rPr>
          <w:rFonts w:hint="eastAsia" w:ascii="宋体" w:hAnsi="宋体" w:cs="宋体"/>
          <w:color w:val="auto"/>
          <w:kern w:val="0"/>
          <w:sz w:val="24"/>
          <w:szCs w:val="24"/>
          <w:highlight w:val="none"/>
        </w:rPr>
        <w:t>应包括：</w:t>
      </w:r>
    </w:p>
    <w:p>
      <w:pPr>
        <w:spacing w:line="360" w:lineRule="auto"/>
        <w:rPr>
          <w:rFonts w:ascii="宋体" w:hAnsi="宋体" w:cs="宋体"/>
          <w:color w:val="auto"/>
          <w:sz w:val="24"/>
          <w:szCs w:val="24"/>
          <w:highlight w:val="none"/>
        </w:rPr>
      </w:pPr>
      <w:r>
        <w:rPr>
          <w:rFonts w:hint="eastAsia" w:ascii="宋体" w:hAnsi="宋体" w:cs="宋体"/>
          <w:b/>
          <w:color w:val="auto"/>
          <w:sz w:val="24"/>
          <w:szCs w:val="24"/>
          <w:highlight w:val="none"/>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color w:val="auto"/>
          <w:sz w:val="24"/>
          <w:szCs w:val="24"/>
          <w:highlight w:val="none"/>
        </w:rPr>
      </w:pPr>
      <w:r>
        <w:rPr>
          <w:rFonts w:hAnsi="宋体"/>
          <w:color w:val="auto"/>
          <w:sz w:val="24"/>
          <w:szCs w:val="24"/>
          <w:highlight w:val="none"/>
        </w:rPr>
        <w:t>2</w:t>
      </w:r>
      <w:r>
        <w:rPr>
          <w:rFonts w:hint="eastAsia" w:ascii="宋体" w:hAnsi="宋体" w:cs="宋体"/>
          <w:color w:val="auto"/>
          <w:sz w:val="24"/>
          <w:szCs w:val="24"/>
          <w:highlight w:val="none"/>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7.招标文件对投标人的其他资格要求。</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w:t>
      </w:r>
      <w:r>
        <w:rPr>
          <w:rFonts w:hint="eastAsia" w:ascii="宋体" w:hAnsi="宋体"/>
          <w:b/>
          <w:color w:val="auto"/>
          <w:sz w:val="24"/>
          <w:szCs w:val="24"/>
          <w:highlight w:val="none"/>
        </w:rPr>
        <w:t>投标人应提供的其它材料</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2. 相关软件的著作权证明材料。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3. </w:t>
      </w:r>
      <w:r>
        <w:rPr>
          <w:rFonts w:ascii="宋体" w:hAnsi="宋体"/>
          <w:color w:val="auto"/>
          <w:sz w:val="24"/>
          <w:szCs w:val="24"/>
          <w:highlight w:val="none"/>
        </w:rPr>
        <w:t>能够真实反映投标人业绩的有效证明材料，如</w:t>
      </w:r>
      <w:r>
        <w:rPr>
          <w:rFonts w:hint="eastAsia" w:ascii="宋体" w:hAnsi="宋体"/>
          <w:color w:val="auto"/>
          <w:sz w:val="24"/>
          <w:szCs w:val="24"/>
          <w:highlight w:val="none"/>
        </w:rPr>
        <w:t>销售或服务</w:t>
      </w:r>
      <w:r>
        <w:rPr>
          <w:rFonts w:ascii="宋体" w:hAnsi="宋体"/>
          <w:color w:val="auto"/>
          <w:sz w:val="24"/>
          <w:szCs w:val="24"/>
          <w:highlight w:val="none"/>
        </w:rPr>
        <w:t>合同等</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kern w:val="0"/>
          <w:sz w:val="24"/>
          <w:szCs w:val="24"/>
          <w:highlight w:val="none"/>
        </w:rPr>
        <w:t>. 产品生产（或经销）企业的质量管理体系认证证书、环境认证证书等；</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5. </w:t>
      </w:r>
      <w:r>
        <w:rPr>
          <w:rFonts w:ascii="宋体" w:hAnsi="宋体"/>
          <w:color w:val="auto"/>
          <w:kern w:val="0"/>
          <w:sz w:val="24"/>
          <w:szCs w:val="24"/>
          <w:highlight w:val="none"/>
        </w:rPr>
        <w:t>投标人认为需要提供的证明文件及资料。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以上文件除要求提供原件以外，</w:t>
      </w:r>
      <w:r>
        <w:rPr>
          <w:rFonts w:hint="eastAsia" w:ascii="宋体" w:hAnsi="宋体"/>
          <w:color w:val="auto"/>
          <w:sz w:val="24"/>
          <w:szCs w:val="24"/>
          <w:highlight w:val="none"/>
        </w:rPr>
        <w:t>其余</w:t>
      </w:r>
      <w:r>
        <w:rPr>
          <w:rFonts w:ascii="宋体" w:hAnsi="宋体"/>
          <w:color w:val="auto"/>
          <w:sz w:val="24"/>
          <w:szCs w:val="24"/>
          <w:highlight w:val="none"/>
        </w:rPr>
        <w:t>均</w:t>
      </w:r>
      <w:r>
        <w:rPr>
          <w:rFonts w:hint="eastAsia" w:ascii="宋体" w:hAnsi="宋体"/>
          <w:color w:val="auto"/>
          <w:sz w:val="24"/>
          <w:szCs w:val="24"/>
          <w:highlight w:val="none"/>
        </w:rPr>
        <w:t>在投标文件中</w:t>
      </w:r>
      <w:r>
        <w:rPr>
          <w:rFonts w:ascii="宋体" w:hAnsi="宋体"/>
          <w:color w:val="auto"/>
          <w:sz w:val="24"/>
          <w:szCs w:val="24"/>
          <w:highlight w:val="none"/>
        </w:rPr>
        <w:t>提供复印件并加盖投标人公章</w:t>
      </w:r>
      <w:r>
        <w:rPr>
          <w:rFonts w:hint="eastAsia" w:ascii="宋体" w:hAnsi="宋体"/>
          <w:color w:val="auto"/>
          <w:sz w:val="24"/>
          <w:szCs w:val="24"/>
          <w:highlight w:val="none"/>
        </w:rPr>
        <w:t>；</w:t>
      </w:r>
      <w:r>
        <w:rPr>
          <w:rFonts w:ascii="宋体" w:hAnsi="宋体"/>
          <w:color w:val="auto"/>
          <w:sz w:val="24"/>
          <w:szCs w:val="24"/>
          <w:highlight w:val="none"/>
        </w:rPr>
        <w:t>除在本招标文件中明确规定不提供为无效投标外，其余均供评委在评审时参考</w:t>
      </w:r>
      <w:r>
        <w:rPr>
          <w:rFonts w:hint="eastAsia" w:ascii="宋体" w:hAnsi="宋体"/>
          <w:color w:val="auto"/>
          <w:sz w:val="24"/>
          <w:szCs w:val="24"/>
          <w:highlight w:val="none"/>
        </w:rPr>
        <w:t>。</w:t>
      </w:r>
    </w:p>
    <w:p>
      <w:pPr>
        <w:jc w:val="center"/>
        <w:outlineLvl w:val="0"/>
        <w:rPr>
          <w:rFonts w:ascii="宋体" w:hAnsi="宋体"/>
          <w:b/>
          <w:bCs/>
          <w:color w:val="auto"/>
          <w:kern w:val="44"/>
          <w:sz w:val="24"/>
          <w:szCs w:val="24"/>
          <w:highlight w:val="none"/>
        </w:rPr>
      </w:pPr>
      <w:r>
        <w:rPr>
          <w:rFonts w:ascii="宋体" w:hAnsi="宋体"/>
          <w:color w:val="auto"/>
          <w:sz w:val="24"/>
          <w:szCs w:val="24"/>
          <w:highlight w:val="none"/>
        </w:rPr>
        <w:br w:type="page"/>
      </w:r>
      <w:bookmarkStart w:id="18" w:name="_Toc497408662"/>
      <w:r>
        <w:rPr>
          <w:rFonts w:hint="eastAsia" w:ascii="宋体" w:hAnsi="宋体"/>
          <w:b/>
          <w:bCs/>
          <w:color w:val="auto"/>
          <w:kern w:val="44"/>
          <w:sz w:val="24"/>
          <w:szCs w:val="24"/>
          <w:highlight w:val="none"/>
        </w:rPr>
        <w:t>第六章 评标办法（综合评分）</w:t>
      </w:r>
      <w:bookmarkEnd w:id="18"/>
    </w:p>
    <w:p>
      <w:pPr>
        <w:spacing w:line="360" w:lineRule="auto"/>
        <w:ind w:firstLine="482" w:firstLineChars="200"/>
        <w:rPr>
          <w:rFonts w:ascii="宋体" w:hAnsi="宋体"/>
          <w:b/>
          <w:color w:val="auto"/>
          <w:sz w:val="24"/>
          <w:szCs w:val="24"/>
          <w:highlight w:val="none"/>
        </w:rPr>
      </w:pPr>
      <w:r>
        <w:rPr>
          <w:rFonts w:hint="eastAsia" w:ascii="宋体" w:hAnsi="宋体" w:cs="黑体"/>
          <w:b/>
          <w:color w:val="auto"/>
          <w:sz w:val="24"/>
          <w:szCs w:val="24"/>
          <w:highlight w:val="none"/>
        </w:rPr>
        <w:t>一.评标原则</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highlight w:val="none"/>
        </w:rPr>
      </w:pPr>
      <w:r>
        <w:rPr>
          <w:rFonts w:hint="eastAsia" w:ascii="宋体" w:hAnsi="宋体" w:cs="黑体"/>
          <w:b/>
          <w:color w:val="auto"/>
          <w:sz w:val="24"/>
          <w:szCs w:val="24"/>
          <w:highlight w:val="none"/>
        </w:rPr>
        <w:t>二.</w:t>
      </w:r>
      <w:r>
        <w:rPr>
          <w:rFonts w:hint="eastAsia" w:ascii="宋体" w:hAnsi="宋体" w:cs="宋体"/>
          <w:b/>
          <w:color w:val="auto"/>
          <w:sz w:val="24"/>
          <w:szCs w:val="24"/>
          <w:highlight w:val="none"/>
        </w:rPr>
        <w:t>评标办法</w:t>
      </w:r>
    </w:p>
    <w:p>
      <w:pPr>
        <w:widowControl/>
        <w:spacing w:line="360" w:lineRule="auto"/>
        <w:ind w:firstLine="482" w:firstLineChars="201"/>
        <w:rPr>
          <w:rFonts w:ascii="宋体" w:hAnsi="宋体" w:cs="宋体"/>
          <w:color w:val="auto"/>
          <w:sz w:val="24"/>
          <w:szCs w:val="24"/>
          <w:highlight w:val="none"/>
        </w:rPr>
      </w:pPr>
      <w:r>
        <w:rPr>
          <w:rFonts w:hint="eastAsia" w:ascii="宋体" w:hAnsi="宋体" w:cs="宋体"/>
          <w:color w:val="auto"/>
          <w:sz w:val="24"/>
          <w:szCs w:val="24"/>
          <w:highlight w:val="none"/>
        </w:rPr>
        <w:t>（一）综合评分法评标</w:t>
      </w:r>
      <w:r>
        <w:rPr>
          <w:rFonts w:ascii="宋体" w:hAnsi="宋体" w:cs="宋体"/>
          <w:color w:val="auto"/>
          <w:sz w:val="24"/>
          <w:szCs w:val="24"/>
          <w:highlight w:val="none"/>
        </w:rPr>
        <w:t>,</w:t>
      </w:r>
      <w:r>
        <w:rPr>
          <w:rFonts w:hint="eastAsia" w:ascii="宋体" w:hAnsi="宋体" w:cs="宋体"/>
          <w:color w:val="auto"/>
          <w:sz w:val="24"/>
          <w:szCs w:val="24"/>
          <w:highlight w:val="none"/>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（二）具体评审工作按照以下步骤进行。</w:t>
      </w:r>
    </w:p>
    <w:p>
      <w:pPr>
        <w:widowControl/>
        <w:spacing w:line="360" w:lineRule="auto"/>
        <w:ind w:firstLine="482" w:firstLineChars="201"/>
        <w:rPr>
          <w:rFonts w:ascii="宋体" w:hAnsi="宋体" w:cs="宋体"/>
          <w:color w:val="auto"/>
          <w:kern w:val="0"/>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初审。初审分为资格性检查和符合性检查。</w:t>
      </w:r>
      <w:r>
        <w:rPr>
          <w:rFonts w:hint="eastAsia" w:ascii="宋体" w:hAnsi="宋体" w:cs="宋体"/>
          <w:b/>
          <w:color w:val="auto"/>
          <w:kern w:val="0"/>
          <w:sz w:val="24"/>
          <w:szCs w:val="24"/>
          <w:highlight w:val="none"/>
        </w:rPr>
        <w:t>（详见后附表一初审表）</w:t>
      </w:r>
    </w:p>
    <w:p>
      <w:pPr>
        <w:widowControl/>
        <w:spacing w:line="360" w:lineRule="auto"/>
        <w:ind w:firstLine="482" w:firstLineChars="201"/>
        <w:rPr>
          <w:rFonts w:ascii="宋体" w:hAnsi="宋体" w:cs="宋体"/>
          <w:color w:val="auto"/>
          <w:kern w:val="0"/>
          <w:sz w:val="24"/>
          <w:szCs w:val="24"/>
          <w:highlight w:val="none"/>
        </w:rPr>
      </w:pPr>
      <w:r>
        <w:rPr>
          <w:rFonts w:hint="eastAsia" w:ascii="宋体" w:hAnsi="宋体" w:cs="宋体"/>
          <w:color w:val="auto"/>
          <w:kern w:val="0"/>
          <w:sz w:val="24"/>
          <w:szCs w:val="24"/>
          <w:highlight w:val="none"/>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highlight w:val="none"/>
        </w:rPr>
      </w:pPr>
      <w:r>
        <w:rPr>
          <w:rFonts w:hint="eastAsia" w:ascii="宋体" w:hAnsi="宋体" w:cs="宋体"/>
          <w:color w:val="auto"/>
          <w:kern w:val="0"/>
          <w:sz w:val="24"/>
          <w:szCs w:val="24"/>
          <w:highlight w:val="none"/>
        </w:rPr>
        <w:t>评审结果为“通过”或“未通过”，未通过资格性检查、符合性检查的投标单位按无</w:t>
      </w:r>
      <w:r>
        <w:rPr>
          <w:rFonts w:hint="eastAsia" w:ascii="宋体" w:hAnsi="宋体" w:cs="宋体"/>
          <w:color w:val="auto"/>
          <w:sz w:val="24"/>
          <w:szCs w:val="24"/>
          <w:highlight w:val="none"/>
        </w:rPr>
        <w:t>效投标处理。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2.详细评审。分为投标报价、商务部分、技术部分。</w:t>
      </w:r>
      <w:r>
        <w:rPr>
          <w:rFonts w:hint="eastAsia" w:ascii="宋体" w:hAnsi="宋体" w:cs="宋体"/>
          <w:b/>
          <w:color w:val="auto"/>
          <w:sz w:val="24"/>
          <w:szCs w:val="24"/>
          <w:highlight w:val="none"/>
        </w:rPr>
        <w:t>（详见后附表二详细评审表）</w:t>
      </w:r>
    </w:p>
    <w:p>
      <w:pPr>
        <w:widowControl/>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color w:val="auto"/>
          <w:sz w:val="24"/>
          <w:szCs w:val="24"/>
          <w:highlight w:val="none"/>
        </w:rPr>
      </w:pPr>
      <w:r>
        <w:rPr>
          <w:rFonts w:hint="eastAsia" w:ascii="宋体" w:hAnsi="宋体"/>
          <w:color w:val="auto"/>
          <w:sz w:val="24"/>
          <w:szCs w:val="24"/>
          <w:highlight w:val="none"/>
        </w:rPr>
        <w:t>3．</w:t>
      </w:r>
      <w:r>
        <w:rPr>
          <w:rFonts w:hint="eastAsia" w:ascii="宋体" w:hAnsi="宋体" w:cs="宋体"/>
          <w:color w:val="auto"/>
          <w:sz w:val="24"/>
          <w:szCs w:val="24"/>
          <w:highlight w:val="none"/>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color w:val="auto"/>
          <w:sz w:val="24"/>
          <w:szCs w:val="24"/>
          <w:highlight w:val="none"/>
        </w:rPr>
      </w:pPr>
      <w:r>
        <w:rPr>
          <w:rFonts w:hint="eastAsia" w:ascii="宋体" w:hAnsi="宋体" w:cs="宋体"/>
          <w:b/>
          <w:color w:val="auto"/>
          <w:sz w:val="24"/>
          <w:szCs w:val="24"/>
          <w:highlight w:val="none"/>
        </w:rPr>
        <w:t>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color w:val="auto"/>
          <w:sz w:val="24"/>
          <w:szCs w:val="24"/>
          <w:highlight w:val="none"/>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2.参与竞争的核心产品品牌不足</w:t>
      </w:r>
      <w:r>
        <w:rPr>
          <w:rFonts w:ascii="宋体" w:hAnsi="宋体" w:cs="宋体"/>
          <w:color w:val="auto"/>
          <w:sz w:val="24"/>
          <w:szCs w:val="24"/>
          <w:highlight w:val="none"/>
        </w:rPr>
        <w:t>3</w:t>
      </w:r>
      <w:r>
        <w:rPr>
          <w:rFonts w:hint="eastAsia" w:ascii="宋体" w:hAnsi="宋体" w:cs="宋体"/>
          <w:color w:val="auto"/>
          <w:sz w:val="24"/>
          <w:szCs w:val="24"/>
          <w:highlight w:val="none"/>
        </w:rPr>
        <w:t>个的，项目废标处理。</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3.在同等条件下，</w:t>
      </w:r>
      <w:r>
        <w:rPr>
          <w:rFonts w:hint="eastAsia" w:ascii="宋体" w:hAnsi="宋体"/>
          <w:color w:val="auto"/>
          <w:sz w:val="24"/>
          <w:szCs w:val="24"/>
          <w:highlight w:val="none"/>
        </w:rPr>
        <w:t>保护环境、不发达地区和少数民族地区</w:t>
      </w:r>
      <w:r>
        <w:rPr>
          <w:rFonts w:ascii="宋体" w:hAnsi="宋体" w:cs="Arial"/>
          <w:color w:val="auto"/>
          <w:sz w:val="24"/>
          <w:szCs w:val="24"/>
          <w:highlight w:val="none"/>
        </w:rPr>
        <w:t>企业</w:t>
      </w:r>
      <w:r>
        <w:rPr>
          <w:rFonts w:hint="eastAsia" w:ascii="宋体" w:hAnsi="宋体"/>
          <w:color w:val="auto"/>
          <w:sz w:val="24"/>
          <w:szCs w:val="24"/>
          <w:highlight w:val="none"/>
        </w:rPr>
        <w:t>优先。（需提供相关证明材料）</w:t>
      </w:r>
    </w:p>
    <w:p>
      <w:pPr>
        <w:widowControl/>
        <w:spacing w:line="360" w:lineRule="auto"/>
        <w:ind w:firstLine="602" w:firstLineChars="250"/>
        <w:jc w:val="left"/>
        <w:rPr>
          <w:rFonts w:ascii="宋体" w:hAnsi="宋体"/>
          <w:b/>
          <w:color w:val="auto"/>
          <w:sz w:val="24"/>
          <w:szCs w:val="24"/>
          <w:highlight w:val="none"/>
        </w:rPr>
      </w:pPr>
      <w:r>
        <w:rPr>
          <w:rFonts w:hint="eastAsia" w:ascii="宋体" w:hAnsi="宋体"/>
          <w:b/>
          <w:color w:val="auto"/>
          <w:sz w:val="24"/>
          <w:szCs w:val="24"/>
          <w:highlight w:val="none"/>
        </w:rPr>
        <w:t>三.政府采购政策落实：</w:t>
      </w:r>
    </w:p>
    <w:p>
      <w:pPr>
        <w:pStyle w:val="51"/>
        <w:spacing w:line="360" w:lineRule="auto"/>
        <w:ind w:firstLine="480" w:firstLineChars="200"/>
        <w:jc w:val="both"/>
        <w:rPr>
          <w:rFonts w:ascii="宋体" w:hAnsi="宋体" w:eastAsia="宋体" w:cs="Times New Roman"/>
          <w:color w:val="auto"/>
          <w:kern w:val="2"/>
          <w:highlight w:val="none"/>
        </w:rPr>
      </w:pPr>
      <w:r>
        <w:rPr>
          <w:rFonts w:hint="eastAsia" w:ascii="宋体" w:hAnsi="宋体" w:eastAsia="宋体" w:cs="Times New Roman"/>
          <w:color w:val="auto"/>
          <w:kern w:val="2"/>
          <w:highlight w:val="none"/>
        </w:rPr>
        <w:t>1.依照《政府采购促进中小企业发展暂行办法》、《关于政府采购支持监狱企业发展有关问题的通知》和</w:t>
      </w:r>
      <w:r>
        <w:rPr>
          <w:rFonts w:hint="eastAsia"/>
          <w:color w:val="auto"/>
          <w:szCs w:val="21"/>
          <w:highlight w:val="none"/>
        </w:rPr>
        <w:t>《财政部 民政部 中国残疾人联合会关于促进残疾人就业政府采购政策的通知》</w:t>
      </w:r>
      <w:r>
        <w:rPr>
          <w:rFonts w:hint="eastAsia" w:ascii="宋体" w:hAnsi="宋体" w:eastAsia="宋体" w:cs="Times New Roman"/>
          <w:color w:val="auto"/>
          <w:kern w:val="2"/>
          <w:highlight w:val="none"/>
        </w:rPr>
        <w:t>的规定，凡符合要求的小型、微型企业、监狱企业或</w:t>
      </w:r>
      <w:r>
        <w:rPr>
          <w:rFonts w:hint="eastAsia" w:ascii="Times New Roman" w:hAnsi="Times New Roman" w:eastAsia="宋体" w:cs="Times New Roman"/>
          <w:color w:val="auto"/>
          <w:highlight w:val="none"/>
        </w:rPr>
        <w:t>残疾人福利性单位</w:t>
      </w:r>
      <w:r>
        <w:rPr>
          <w:rFonts w:hint="eastAsia" w:ascii="宋体" w:hAnsi="宋体" w:eastAsia="宋体" w:cs="Times New Roman"/>
          <w:color w:val="auto"/>
          <w:kern w:val="2"/>
          <w:highlight w:val="none"/>
        </w:rPr>
        <w:t>，按照以下比例给予相应的价格扣除：（监狱企业、</w:t>
      </w:r>
      <w:r>
        <w:rPr>
          <w:rFonts w:hint="eastAsia" w:ascii="Times New Roman" w:hAnsi="Times New Roman" w:eastAsia="宋体" w:cs="Times New Roman"/>
          <w:color w:val="auto"/>
          <w:highlight w:val="none"/>
        </w:rPr>
        <w:t>残疾人福利性单位</w:t>
      </w:r>
      <w:r>
        <w:rPr>
          <w:rFonts w:hint="eastAsia" w:ascii="宋体" w:hAnsi="宋体" w:eastAsia="宋体" w:cs="Times New Roman"/>
          <w:color w:val="auto"/>
          <w:kern w:val="2"/>
          <w:highlight w:val="none"/>
        </w:rPr>
        <w:t>视同为小、微企业）</w:t>
      </w:r>
    </w:p>
    <w:tbl>
      <w:tblPr>
        <w:tblStyle w:val="2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情形</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价格扣除比例</w:t>
            </w:r>
          </w:p>
        </w:tc>
        <w:tc>
          <w:tcPr>
            <w:tcW w:w="2643"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非联合体投标人</w:t>
            </w:r>
          </w:p>
          <w:p>
            <w:pPr>
              <w:snapToGrid w:val="0"/>
              <w:jc w:val="center"/>
              <w:rPr>
                <w:rFonts w:ascii="宋体" w:hAnsi="宋体"/>
                <w:color w:val="auto"/>
                <w:sz w:val="24"/>
                <w:szCs w:val="24"/>
                <w:highlight w:val="none"/>
              </w:rPr>
            </w:pPr>
            <w:r>
              <w:rPr>
                <w:rFonts w:hint="eastAsia" w:ascii="宋体" w:hAnsi="宋体"/>
                <w:color w:val="auto"/>
                <w:sz w:val="24"/>
                <w:szCs w:val="24"/>
                <w:highlight w:val="none"/>
              </w:rPr>
              <w:t>（小型、微型企业）</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643" w:type="dxa"/>
            <w:vMerge w:val="restart"/>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联合体各方均为小型、微型企业</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6%（不再享受本表序号3的价格扣除）</w:t>
            </w:r>
          </w:p>
        </w:tc>
        <w:tc>
          <w:tcPr>
            <w:tcW w:w="2643" w:type="dxa"/>
            <w:vMerge w:val="continue"/>
          </w:tcPr>
          <w:p>
            <w:pPr>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3</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对联合体总金额扣除2%</w:t>
            </w:r>
          </w:p>
        </w:tc>
        <w:tc>
          <w:tcPr>
            <w:tcW w:w="2643"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highlight w:val="none"/>
              </w:rPr>
            </w:pPr>
            <w:r>
              <w:rPr>
                <w:rFonts w:hint="eastAsia" w:ascii="宋体" w:hAnsi="宋体"/>
                <w:color w:val="auto"/>
                <w:sz w:val="21"/>
                <w:szCs w:val="21"/>
                <w:highlight w:val="none"/>
              </w:rPr>
              <w:t>注：</w:t>
            </w:r>
            <w:r>
              <w:rPr>
                <w:rFonts w:hint="eastAsia" w:ascii="宋体" w:hAnsi="宋体"/>
                <w:b/>
                <w:color w:val="auto"/>
                <w:sz w:val="21"/>
                <w:szCs w:val="21"/>
                <w:highlight w:val="none"/>
              </w:rPr>
              <w:t>（1）上述评标价仅用于计算价格评分，中标金额以实际投标价为准。</w:t>
            </w:r>
          </w:p>
          <w:p>
            <w:pPr>
              <w:widowControl/>
              <w:ind w:firstLine="316" w:firstLineChars="150"/>
              <w:jc w:val="left"/>
              <w:rPr>
                <w:rFonts w:ascii="宋体" w:hAnsi="宋体"/>
                <w:b/>
                <w:color w:val="auto"/>
                <w:sz w:val="21"/>
                <w:szCs w:val="21"/>
                <w:highlight w:val="none"/>
              </w:rPr>
            </w:pPr>
            <w:r>
              <w:rPr>
                <w:rFonts w:hint="eastAsia" w:ascii="宋体" w:hAnsi="宋体"/>
                <w:b/>
                <w:color w:val="auto"/>
                <w:sz w:val="21"/>
                <w:szCs w:val="21"/>
                <w:highlight w:val="none"/>
              </w:rPr>
              <w:t>（2）如实填写后附《政府采购政策情况表》。</w:t>
            </w:r>
          </w:p>
          <w:p>
            <w:pPr>
              <w:widowControl/>
              <w:ind w:firstLine="316" w:firstLineChars="150"/>
              <w:jc w:val="left"/>
              <w:rPr>
                <w:rFonts w:ascii="宋体" w:hAnsi="宋体"/>
                <w:color w:val="auto"/>
                <w:sz w:val="24"/>
                <w:szCs w:val="24"/>
                <w:highlight w:val="none"/>
              </w:rPr>
            </w:pPr>
            <w:r>
              <w:rPr>
                <w:rFonts w:hint="eastAsia" w:ascii="宋体" w:hAnsi="宋体"/>
                <w:b/>
                <w:color w:val="auto"/>
                <w:sz w:val="21"/>
                <w:szCs w:val="21"/>
                <w:highlight w:val="none"/>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2.价格扣除相关要求。</w:t>
      </w:r>
    </w:p>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所称小型和微型企业应当同时符合以下条件：</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提供本企业制造的货物、承担的工程或者服务，或者提供其他中小企业制造的货物。</w:t>
      </w:r>
      <w:bookmarkStart w:id="19" w:name="OLE_LINK1"/>
      <w:bookmarkStart w:id="20" w:name="OLE_LINK9"/>
      <w:r>
        <w:rPr>
          <w:rFonts w:hint="eastAsia" w:ascii="宋体" w:hAnsi="宋体"/>
          <w:color w:val="auto"/>
          <w:sz w:val="24"/>
          <w:szCs w:val="24"/>
          <w:highlight w:val="none"/>
        </w:rPr>
        <w:t>本项所称货物不包括使用大型企业注册商标的货物。</w:t>
      </w:r>
      <w:bookmarkEnd w:id="19"/>
      <w:bookmarkEnd w:id="20"/>
      <w:r>
        <w:rPr>
          <w:rFonts w:hint="eastAsia" w:ascii="宋体" w:hAnsi="宋体"/>
          <w:color w:val="auto"/>
          <w:sz w:val="24"/>
          <w:szCs w:val="24"/>
          <w:highlight w:val="none"/>
        </w:rPr>
        <w:t>小型、微型企业提供中型企业制造的货物的，视同为中型企业。</w:t>
      </w:r>
    </w:p>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4"/>
      <w:bookmarkStart w:id="22" w:name="OLE_LINK13"/>
      <w:r>
        <w:rPr>
          <w:rFonts w:hint="eastAsia" w:ascii="宋体" w:hAnsi="宋体"/>
          <w:color w:val="auto"/>
          <w:sz w:val="24"/>
          <w:szCs w:val="24"/>
          <w:highlight w:val="none"/>
        </w:rPr>
        <w:t>《残疾人福利性单位声明函》</w:t>
      </w:r>
      <w:bookmarkEnd w:id="21"/>
      <w:bookmarkEnd w:id="22"/>
      <w:r>
        <w:rPr>
          <w:rFonts w:hint="eastAsia" w:ascii="宋体" w:hAnsi="宋体"/>
          <w:color w:val="auto"/>
          <w:sz w:val="24"/>
          <w:szCs w:val="24"/>
          <w:highlight w:val="none"/>
        </w:rPr>
        <w:t>为判定标准，否则不认定价格扣除。</w:t>
      </w:r>
    </w:p>
    <w:p>
      <w:pPr>
        <w:widowControl/>
        <w:spacing w:line="360" w:lineRule="auto"/>
        <w:ind w:firstLine="360" w:firstLineChars="150"/>
        <w:jc w:val="left"/>
        <w:rPr>
          <w:rFonts w:ascii="宋体" w:hAnsi="宋体"/>
          <w:color w:val="auto"/>
          <w:sz w:val="24"/>
          <w:szCs w:val="24"/>
          <w:highlight w:val="none"/>
        </w:rPr>
      </w:pPr>
      <w:r>
        <w:rPr>
          <w:rFonts w:hint="eastAsia" w:ascii="宋体" w:hAnsi="宋体"/>
          <w:color w:val="auto"/>
          <w:sz w:val="24"/>
          <w:szCs w:val="24"/>
          <w:highlight w:val="none"/>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color w:val="auto"/>
          <w:sz w:val="24"/>
          <w:szCs w:val="24"/>
          <w:highlight w:val="none"/>
        </w:rPr>
      </w:pPr>
      <w:r>
        <w:rPr>
          <w:rFonts w:hint="eastAsia" w:ascii="宋体" w:hAnsi="宋体"/>
          <w:color w:val="auto"/>
          <w:sz w:val="24"/>
          <w:szCs w:val="24"/>
          <w:highlight w:val="none"/>
        </w:rPr>
        <w:t>（4）投标人通过“国家企业信用信息公示系统”（</w:t>
      </w:r>
      <w:r>
        <w:rPr>
          <w:rFonts w:ascii="宋体" w:hAnsi="宋体"/>
          <w:color w:val="auto"/>
          <w:sz w:val="24"/>
          <w:szCs w:val="24"/>
          <w:highlight w:val="none"/>
        </w:rPr>
        <w:t>http://www.gsxt.gov.cn/index.html</w:t>
      </w:r>
      <w:r>
        <w:rPr>
          <w:rFonts w:hint="eastAsia" w:ascii="宋体" w:hAnsi="宋体"/>
          <w:color w:val="auto"/>
          <w:sz w:val="24"/>
          <w:szCs w:val="24"/>
          <w:highlight w:val="none"/>
        </w:rPr>
        <w:t>），点击“小微企业名录”（</w:t>
      </w:r>
      <w:r>
        <w:rPr>
          <w:rFonts w:ascii="宋体" w:hAnsi="宋体"/>
          <w:color w:val="auto"/>
          <w:sz w:val="24"/>
          <w:szCs w:val="24"/>
          <w:highlight w:val="none"/>
        </w:rPr>
        <w:t>http://xwqy.gsxt.gov.cn/</w:t>
      </w:r>
      <w:r>
        <w:rPr>
          <w:rFonts w:hint="eastAsia" w:ascii="宋体" w:hAnsi="宋体"/>
          <w:color w:val="auto"/>
          <w:sz w:val="24"/>
          <w:szCs w:val="24"/>
          <w:highlight w:val="none"/>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（5）提供声明函不实或在政府采购活动中有违法违规行为的，取消其中标资格，并严格按照相关法律法规处理。</w:t>
      </w:r>
    </w:p>
    <w:p>
      <w:pPr>
        <w:spacing w:line="360" w:lineRule="auto"/>
        <w:rPr>
          <w:rFonts w:ascii="宋体" w:hAnsi="宋体"/>
          <w:b/>
          <w:color w:val="auto"/>
          <w:sz w:val="24"/>
          <w:szCs w:val="24"/>
          <w:highlight w:val="none"/>
        </w:rPr>
      </w:pPr>
      <w:r>
        <w:rPr>
          <w:rFonts w:hint="eastAsia" w:ascii="宋体" w:hAnsi="宋体" w:cs="宋体"/>
          <w:b/>
          <w:color w:val="auto"/>
          <w:kern w:val="0"/>
          <w:sz w:val="24"/>
          <w:szCs w:val="24"/>
          <w:highlight w:val="none"/>
        </w:rPr>
        <w:t>表一初审表：</w:t>
      </w:r>
    </w:p>
    <w:tbl>
      <w:tblPr>
        <w:tblStyle w:val="22"/>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color w:val="auto"/>
                <w:sz w:val="21"/>
                <w:szCs w:val="21"/>
                <w:highlight w:val="none"/>
              </w:rPr>
            </w:pPr>
            <w:r>
              <w:rPr>
                <w:rFonts w:hint="eastAsia" w:ascii="宋体" w:hAnsi="宋体"/>
                <w:color w:val="auto"/>
                <w:sz w:val="21"/>
                <w:szCs w:val="21"/>
                <w:highlight w:val="none"/>
              </w:rPr>
              <w:t>资格性审查</w:t>
            </w:r>
          </w:p>
          <w:p>
            <w:pPr>
              <w:jc w:val="left"/>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1.投标人是法人的审查会计师事务所出具的上一年度财务审计报告或基本开户银行近一年内出具的资信证明。</w:t>
            </w:r>
          </w:p>
          <w:p>
            <w:pPr>
              <w:jc w:val="left"/>
              <w:rPr>
                <w:rFonts w:ascii="宋体" w:hAnsi="宋体"/>
                <w:color w:val="auto"/>
                <w:sz w:val="24"/>
                <w:szCs w:val="24"/>
                <w:highlight w:val="none"/>
              </w:rPr>
            </w:pPr>
            <w:r>
              <w:rPr>
                <w:rFonts w:hint="eastAsia" w:ascii="宋体" w:hAnsi="宋体"/>
                <w:color w:val="auto"/>
                <w:sz w:val="24"/>
                <w:szCs w:val="24"/>
                <w:highlight w:val="none"/>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1.提供递交投标文件截止之日前六个月内（至少一个月）的良好缴纳税收的相关凭据。（以税务机关提供的纳税凭据或银行入账单为准）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2.提供递交投标文件截止之日前六个月内（至少一个月）缴纳社会保险的凭证。（以社保机构出具的专用收据或社会保险缴纳清单为准）</w:t>
            </w:r>
          </w:p>
          <w:p>
            <w:pPr>
              <w:jc w:val="left"/>
              <w:rPr>
                <w:rFonts w:ascii="宋体" w:hAnsi="宋体"/>
                <w:color w:val="auto"/>
                <w:sz w:val="24"/>
                <w:szCs w:val="24"/>
                <w:highlight w:val="none"/>
              </w:rPr>
            </w:pPr>
            <w:r>
              <w:rPr>
                <w:rFonts w:hint="eastAsia" w:ascii="宋体" w:hAnsi="宋体" w:cs="宋体"/>
                <w:color w:val="auto"/>
                <w:sz w:val="24"/>
                <w:szCs w:val="24"/>
                <w:highlight w:val="none"/>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参加采购活动前3年内，在经营活动中没有重大违法记录和行政处罚</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1.审查“参加本采购活动前3年内”投标人书面声明函；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color w:val="auto"/>
                <w:sz w:val="21"/>
                <w:szCs w:val="21"/>
                <w:highlight w:val="none"/>
              </w:rPr>
            </w:pPr>
            <w:r>
              <w:rPr>
                <w:rFonts w:hint="eastAsia" w:ascii="宋体" w:hAnsi="宋体"/>
                <w:color w:val="auto"/>
                <w:sz w:val="21"/>
                <w:szCs w:val="21"/>
                <w:highlight w:val="none"/>
              </w:rPr>
              <w:t>符合性审查</w:t>
            </w:r>
          </w:p>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bookmarkStart w:id="40" w:name="_GoBack"/>
            <w:bookmarkEnd w:id="40"/>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highlight w:val="none"/>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招标文件要求的其他无效投标情形；围标、串标和法律法规规定的其它无效投标条款。</w:t>
            </w:r>
          </w:p>
        </w:tc>
      </w:tr>
    </w:tbl>
    <w:p>
      <w:pPr>
        <w:spacing w:line="360" w:lineRule="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表二详细评审表：</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945"/>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67"/>
              <w:rPr>
                <w:rFonts w:ascii="Times New Roman" w:hAnsi="Times New Roman" w:cs="Times New Roman"/>
                <w:b/>
                <w:bCs/>
                <w:color w:val="auto"/>
                <w:highlight w:val="none"/>
              </w:rPr>
            </w:pPr>
            <w:r>
              <w:rPr>
                <w:rFonts w:ascii="Times New Roman" w:hAnsi="Times New Roman" w:cs="Times New Roman"/>
                <w:b/>
                <w:bCs/>
                <w:color w:val="auto"/>
                <w:highlight w:val="none"/>
              </w:rPr>
              <w:t>评审因素</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b/>
                <w:bCs/>
                <w:color w:val="auto"/>
                <w:highlight w:val="none"/>
              </w:rPr>
            </w:pPr>
            <w:r>
              <w:rPr>
                <w:rFonts w:ascii="Times New Roman" w:hAnsi="Times New Roman" w:cs="Times New Roman"/>
                <w:b/>
                <w:bCs/>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分值构成</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1．报价得分</w:t>
            </w:r>
            <w:r>
              <w:rPr>
                <w:rFonts w:ascii="Times New Roman" w:hAnsi="Times New Roman" w:cs="Times New Roman"/>
                <w:color w:val="auto"/>
                <w:szCs w:val="21"/>
                <w:highlight w:val="none"/>
                <w:u w:val="single"/>
              </w:rPr>
              <w:t>30</w:t>
            </w:r>
            <w:r>
              <w:rPr>
                <w:rFonts w:ascii="Times New Roman" w:hAnsi="Times New Roman" w:cs="Times New Roman"/>
                <w:color w:val="auto"/>
                <w:szCs w:val="21"/>
                <w:highlight w:val="none"/>
              </w:rPr>
              <w:t xml:space="preserve">分 </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2．资质部分</w:t>
            </w:r>
            <w:r>
              <w:rPr>
                <w:rFonts w:hint="eastAsia" w:ascii="Times New Roman" w:hAnsi="Times New Roman" w:cs="Times New Roman"/>
                <w:color w:val="auto"/>
                <w:szCs w:val="21"/>
                <w:highlight w:val="none"/>
                <w:u w:val="single"/>
              </w:rPr>
              <w:t>20</w:t>
            </w:r>
            <w:r>
              <w:rPr>
                <w:rFonts w:ascii="Times New Roman" w:hAnsi="Times New Roman" w:cs="Times New Roman"/>
                <w:color w:val="auto"/>
                <w:szCs w:val="21"/>
                <w:highlight w:val="none"/>
              </w:rPr>
              <w:t>分</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3．技术部分</w:t>
            </w:r>
            <w:r>
              <w:rPr>
                <w:rFonts w:hint="eastAsia" w:ascii="Times New Roman" w:hAnsi="Times New Roman" w:cs="Times New Roman"/>
                <w:color w:val="auto"/>
                <w:szCs w:val="21"/>
                <w:highlight w:val="none"/>
                <w:u w:val="single"/>
              </w:rPr>
              <w:t>50</w:t>
            </w:r>
            <w:r>
              <w:rPr>
                <w:rFonts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投标报价</w:t>
            </w: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评标基准价确定方法</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投标报价得分</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（30分）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资质部分</w:t>
            </w: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企业专业能力</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3</w:t>
            </w:r>
            <w:r>
              <w:rPr>
                <w:rFonts w:ascii="Times New Roman" w:hAnsi="Times New Roman" w:cs="Times New Roman"/>
                <w:color w:val="auto"/>
                <w:szCs w:val="21"/>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w:t>
            </w:r>
            <w:r>
              <w:rPr>
                <w:rFonts w:ascii="Times New Roman" w:hAnsi="Times New Roman" w:cs="Times New Roman"/>
                <w:color w:val="auto"/>
                <w:szCs w:val="21"/>
                <w:highlight w:val="none"/>
              </w:rPr>
              <w:t>获得环保行政主管部门</w:t>
            </w:r>
            <w:r>
              <w:rPr>
                <w:rFonts w:hint="eastAsia" w:ascii="Times New Roman" w:hAnsi="Times New Roman" w:cs="Times New Roman"/>
                <w:color w:val="auto"/>
                <w:szCs w:val="21"/>
                <w:highlight w:val="none"/>
              </w:rPr>
              <w:t>认证</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具有且提供：1.具备承担国家环境保护工程技术中心建设的企业得3</w:t>
            </w:r>
            <w:r>
              <w:rPr>
                <w:rFonts w:ascii="Times New Roman" w:hAnsi="Times New Roman" w:cs="Times New Roman"/>
                <w:color w:val="auto"/>
                <w:szCs w:val="21"/>
                <w:highlight w:val="none"/>
              </w:rPr>
              <w:t>分；</w:t>
            </w:r>
            <w:r>
              <w:rPr>
                <w:rFonts w:hint="eastAsia" w:ascii="Times New Roman" w:hAnsi="Times New Roman" w:cs="Times New Roman"/>
                <w:color w:val="auto"/>
                <w:szCs w:val="21"/>
                <w:highlight w:val="none"/>
              </w:rPr>
              <w:t>2.具备承担</w:t>
            </w:r>
            <w:r>
              <w:rPr>
                <w:rFonts w:ascii="Times New Roman" w:hAnsi="Times New Roman" w:cs="Times New Roman"/>
                <w:color w:val="auto"/>
                <w:szCs w:val="21"/>
                <w:highlight w:val="none"/>
              </w:rPr>
              <w:t>省级</w:t>
            </w:r>
            <w:r>
              <w:rPr>
                <w:rFonts w:hint="eastAsia" w:ascii="Times New Roman" w:hAnsi="Times New Roman" w:cs="Times New Roman"/>
                <w:color w:val="auto"/>
                <w:szCs w:val="21"/>
                <w:highlight w:val="none"/>
              </w:rPr>
              <w:t>工程技术研究中心建设的企业1</w:t>
            </w:r>
            <w:r>
              <w:rPr>
                <w:rFonts w:ascii="Times New Roman" w:hAnsi="Times New Roman" w:cs="Times New Roman"/>
                <w:color w:val="auto"/>
                <w:szCs w:val="21"/>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黑体" w:hAnsi="黑体"/>
                <w:color w:val="auto"/>
                <w:sz w:val="24"/>
                <w:szCs w:val="24"/>
                <w:highlight w:val="none"/>
              </w:rPr>
            </w:pPr>
            <w:r>
              <w:rPr>
                <w:rFonts w:hint="eastAsia" w:ascii="Times New Roman" w:hAnsi="Times New Roman" w:cs="Times New Roman"/>
                <w:color w:val="auto"/>
                <w:szCs w:val="21"/>
                <w:highlight w:val="none"/>
              </w:rPr>
              <w:t>企业业绩案例（8分）</w:t>
            </w:r>
          </w:p>
          <w:p>
            <w:pPr>
              <w:pStyle w:val="67"/>
              <w:rPr>
                <w:rFonts w:ascii="黑体" w:hAnsi="黑体"/>
                <w:color w:val="auto"/>
                <w:sz w:val="24"/>
                <w:szCs w:val="24"/>
                <w:highlight w:val="none"/>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1.投标方或核心设备/系统生产商提供2017年1月1日至今完成至少包含环保、安全、能耗一体化集成性项目的非转包分包合同或中标通知书，每提供1个合同得4分，提供完整合同复印件对或应的中标通知书复印件（或相关证明中标通知书的材料）加盖公章，材料不齐全不得分，最多得</w:t>
            </w:r>
            <w:r>
              <w:rPr>
                <w:rFonts w:ascii="Times New Roman" w:hAnsi="Times New Roman" w:cs="Times New Roman"/>
                <w:color w:val="auto"/>
                <w:szCs w:val="21"/>
                <w:highlight w:val="none"/>
              </w:rPr>
              <w:t>4</w:t>
            </w:r>
            <w:r>
              <w:rPr>
                <w:rFonts w:hint="eastAsia" w:ascii="Times New Roman" w:hAnsi="Times New Roman" w:cs="Times New Roman"/>
                <w:color w:val="auto"/>
                <w:szCs w:val="21"/>
                <w:highlight w:val="none"/>
              </w:rPr>
              <w:t>分；</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2.投标方或核心设备/系统生产商提供2017年1月1日至今在安全或能耗或环保项目的非转包分包合同或中标通知书，每提供1个合同得1分，提供完整合同复印件对或应的中标通知书复印件（或相关证明中标通知书的材料）加盖公章，材料不齐全不得分，最多得4分。</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3.上述两项不重复得分。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企业研发能力</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2</w:t>
            </w:r>
            <w:r>
              <w:rPr>
                <w:rFonts w:ascii="Times New Roman" w:hAnsi="Times New Roman" w:cs="Times New Roman"/>
                <w:color w:val="auto"/>
                <w:szCs w:val="21"/>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w:t>
            </w:r>
            <w:r>
              <w:rPr>
                <w:rFonts w:ascii="Times New Roman" w:hAnsi="Times New Roman" w:cs="Times New Roman"/>
                <w:color w:val="auto"/>
                <w:szCs w:val="21"/>
                <w:highlight w:val="none"/>
              </w:rPr>
              <w:t>具备较强的技术研发能力，得到国家行政管理相关部门认</w:t>
            </w:r>
            <w:r>
              <w:rPr>
                <w:rFonts w:hint="eastAsia" w:ascii="Times New Roman" w:hAnsi="Times New Roman" w:cs="Times New Roman"/>
                <w:color w:val="auto"/>
                <w:szCs w:val="21"/>
                <w:highlight w:val="none"/>
              </w:rPr>
              <w:t>证。1.具有且提供</w:t>
            </w:r>
            <w:r>
              <w:rPr>
                <w:rFonts w:ascii="Times New Roman" w:hAnsi="Times New Roman" w:cs="Times New Roman"/>
                <w:color w:val="auto"/>
                <w:szCs w:val="21"/>
                <w:highlight w:val="none"/>
              </w:rPr>
              <w:t>国家级企业技术中心的</w:t>
            </w:r>
            <w:r>
              <w:rPr>
                <w:rFonts w:hint="eastAsia" w:ascii="Times New Roman" w:hAnsi="Times New Roman" w:cs="Times New Roman"/>
                <w:color w:val="auto"/>
                <w:szCs w:val="21"/>
                <w:highlight w:val="none"/>
              </w:rPr>
              <w:t>认证证书</w:t>
            </w:r>
            <w:r>
              <w:rPr>
                <w:rFonts w:ascii="Times New Roman" w:hAnsi="Times New Roman" w:cs="Times New Roman"/>
                <w:color w:val="auto"/>
                <w:szCs w:val="21"/>
                <w:highlight w:val="none"/>
              </w:rPr>
              <w:t>得</w:t>
            </w:r>
            <w:r>
              <w:rPr>
                <w:rFonts w:hint="eastAsia" w:ascii="Times New Roman" w:hAnsi="Times New Roman" w:cs="Times New Roman"/>
                <w:color w:val="auto"/>
                <w:szCs w:val="21"/>
                <w:highlight w:val="none"/>
              </w:rPr>
              <w:t>2</w:t>
            </w:r>
            <w:r>
              <w:rPr>
                <w:rFonts w:ascii="Times New Roman" w:hAnsi="Times New Roman" w:cs="Times New Roman"/>
                <w:color w:val="auto"/>
                <w:szCs w:val="21"/>
                <w:highlight w:val="none"/>
              </w:rPr>
              <w:t>分</w:t>
            </w:r>
            <w:r>
              <w:rPr>
                <w:rFonts w:hint="eastAsia" w:ascii="Times New Roman" w:hAnsi="Times New Roman" w:cs="Times New Roman"/>
                <w:color w:val="auto"/>
                <w:szCs w:val="21"/>
                <w:highlight w:val="none"/>
              </w:rPr>
              <w:t>。</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2.具有且提供</w:t>
            </w:r>
            <w:r>
              <w:rPr>
                <w:rFonts w:ascii="Times New Roman" w:hAnsi="Times New Roman" w:cs="Times New Roman"/>
                <w:color w:val="auto"/>
                <w:szCs w:val="21"/>
                <w:highlight w:val="none"/>
              </w:rPr>
              <w:t>省级企业技术中心</w:t>
            </w:r>
            <w:r>
              <w:rPr>
                <w:rFonts w:hint="eastAsia" w:ascii="Times New Roman" w:hAnsi="Times New Roman" w:cs="Times New Roman"/>
                <w:color w:val="auto"/>
                <w:szCs w:val="21"/>
                <w:highlight w:val="none"/>
              </w:rPr>
              <w:t>认证证书</w:t>
            </w:r>
            <w:r>
              <w:rPr>
                <w:rFonts w:ascii="Times New Roman" w:hAnsi="Times New Roman" w:cs="Times New Roman"/>
                <w:color w:val="auto"/>
                <w:szCs w:val="21"/>
                <w:highlight w:val="none"/>
              </w:rPr>
              <w:t>的得</w:t>
            </w:r>
            <w:r>
              <w:rPr>
                <w:rFonts w:hint="eastAsia" w:ascii="Times New Roman" w:hAnsi="Times New Roman" w:cs="Times New Roman"/>
                <w:color w:val="auto"/>
                <w:szCs w:val="21"/>
                <w:highlight w:val="none"/>
              </w:rPr>
              <w:t>1</w:t>
            </w:r>
            <w:r>
              <w:rPr>
                <w:rFonts w:ascii="Times New Roman" w:hAnsi="Times New Roman" w:cs="Times New Roman"/>
                <w:color w:val="auto"/>
                <w:szCs w:val="21"/>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企业软件能力</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（4分）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w:t>
            </w:r>
            <w:r>
              <w:rPr>
                <w:rFonts w:ascii="Times New Roman" w:hAnsi="Times New Roman" w:cs="Times New Roman"/>
                <w:color w:val="auto"/>
                <w:szCs w:val="21"/>
                <w:highlight w:val="none"/>
              </w:rPr>
              <w:t>具有较高的软件研发能力，完成软件过程及能力成熟度评估，</w:t>
            </w:r>
            <w:r>
              <w:rPr>
                <w:rFonts w:hint="eastAsia" w:ascii="Times New Roman" w:hAnsi="Times New Roman" w:cs="Times New Roman"/>
                <w:color w:val="auto"/>
                <w:szCs w:val="21"/>
                <w:highlight w:val="none"/>
              </w:rPr>
              <w:t>投标方或核心设备/系统生产商具有且提供：</w:t>
            </w:r>
            <w:r>
              <w:rPr>
                <w:rFonts w:ascii="Times New Roman" w:hAnsi="Times New Roman" w:cs="Times New Roman"/>
                <w:color w:val="auto"/>
                <w:szCs w:val="21"/>
                <w:highlight w:val="none"/>
              </w:rPr>
              <w:t>CMMI5级证书得4分</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CMMI4级证书得2分</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CMMI3级证书得1分</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其他不得分</w:t>
            </w:r>
            <w:r>
              <w:rPr>
                <w:rFonts w:hint="eastAsia" w:ascii="Times New Roman" w:hAns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rPr>
                <w:rFonts w:eastAsia="Arial"/>
                <w:color w:val="auto"/>
                <w:kern w:val="0"/>
                <w:sz w:val="21"/>
                <w:szCs w:val="21"/>
                <w:highlight w:val="none"/>
              </w:rPr>
            </w:pPr>
            <w:r>
              <w:rPr>
                <w:rFonts w:hint="eastAsia" w:eastAsia="Arial"/>
                <w:color w:val="auto"/>
                <w:kern w:val="0"/>
                <w:sz w:val="21"/>
                <w:szCs w:val="21"/>
                <w:highlight w:val="none"/>
              </w:rPr>
              <w:t>企业体系认证</w:t>
            </w:r>
          </w:p>
          <w:p>
            <w:pPr>
              <w:pStyle w:val="67"/>
              <w:rPr>
                <w:rFonts w:ascii="Times New Roman" w:hAnsi="Times New Roman" w:eastAsia="Arial" w:cs="Times New Roman"/>
                <w:color w:val="auto"/>
                <w:szCs w:val="21"/>
                <w:highlight w:val="none"/>
              </w:rPr>
            </w:pPr>
            <w:r>
              <w:rPr>
                <w:rFonts w:hint="eastAsia" w:ascii="Times New Roman" w:hAnsi="Times New Roman" w:eastAsia="Arial" w:cs="Times New Roman"/>
                <w:color w:val="auto"/>
                <w:szCs w:val="21"/>
                <w:highlight w:val="none"/>
              </w:rPr>
              <w:t>（</w:t>
            </w:r>
            <w:r>
              <w:rPr>
                <w:rFonts w:hint="eastAsia" w:ascii="Times New Roman" w:hAnsi="Times New Roman" w:cs="Times New Roman"/>
                <w:color w:val="auto"/>
                <w:szCs w:val="21"/>
                <w:highlight w:val="none"/>
              </w:rPr>
              <w:t>3</w:t>
            </w:r>
            <w:r>
              <w:rPr>
                <w:rFonts w:hint="eastAsia" w:ascii="Times New Roman" w:hAnsi="Times New Roman" w:eastAsia="Arial" w:cs="Times New Roman"/>
                <w:color w:val="auto"/>
                <w:szCs w:val="21"/>
                <w:highlight w:val="none"/>
              </w:rPr>
              <w:t>分）</w:t>
            </w:r>
          </w:p>
          <w:p>
            <w:pPr>
              <w:pStyle w:val="67"/>
              <w:rPr>
                <w:rFonts w:ascii="Times New Roman" w:hAnsi="Times New Roman" w:eastAsia="Arial" w:cs="Times New Roman"/>
                <w:color w:val="auto"/>
                <w:szCs w:val="21"/>
                <w:highlight w:val="none"/>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投标方或核心设备/系统生产商具有且</w:t>
            </w:r>
            <w:r>
              <w:rPr>
                <w:rFonts w:hint="eastAsia" w:ascii="宋体" w:hAnsi="宋体"/>
                <w:color w:val="auto"/>
                <w:szCs w:val="21"/>
                <w:highlight w:val="none"/>
              </w:rPr>
              <w:t>提供</w:t>
            </w:r>
            <w:r>
              <w:rPr>
                <w:rFonts w:hint="eastAsia" w:ascii="Times New Roman" w:hAnsi="Times New Roman" w:eastAsia="Arial" w:cs="Times New Roman"/>
                <w:color w:val="auto"/>
                <w:szCs w:val="21"/>
                <w:highlight w:val="none"/>
              </w:rPr>
              <w:t>OHSAS18001职业健康安全管理体系认证证书、ISO9001质量管理体系认证证书、ISO27001信息安全管理体系认证证书、ISO10012测量管理体系认证证书、ISO20000信息技术服务管理体系认证证书、ISO14001环境管理体系认证证书</w:t>
            </w:r>
            <w:r>
              <w:rPr>
                <w:rFonts w:hint="eastAsia" w:ascii="等线" w:hAnsi="等线" w:eastAsia="等线"/>
                <w:color w:val="auto"/>
                <w:szCs w:val="21"/>
                <w:highlight w:val="none"/>
              </w:rPr>
              <w:t>6</w:t>
            </w:r>
            <w:r>
              <w:rPr>
                <w:rFonts w:hint="eastAsia" w:ascii="宋体" w:hAnsi="宋体"/>
                <w:color w:val="auto"/>
                <w:szCs w:val="21"/>
                <w:highlight w:val="none"/>
              </w:rPr>
              <w:t>项认证证书得3分</w:t>
            </w:r>
            <w:r>
              <w:rPr>
                <w:rFonts w:hint="eastAsia" w:ascii="Times New Roman" w:hAnsi="Times New Roman" w:eastAsia="Arial" w:cs="Times New Roman"/>
                <w:color w:val="auto"/>
                <w:szCs w:val="21"/>
                <w:highlight w:val="none"/>
              </w:rPr>
              <w:t>。</w:t>
            </w:r>
            <w:r>
              <w:rPr>
                <w:rFonts w:hint="eastAsia" w:ascii="Times New Roman" w:hAnsi="Times New Roman" w:cs="Times New Roman"/>
                <w:color w:val="auto"/>
                <w:szCs w:val="21"/>
                <w:highlight w:val="none"/>
              </w:rPr>
              <w:t>每少提供一项，扣1分，扣完为止。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技术部分</w:t>
            </w:r>
          </w:p>
        </w:tc>
        <w:tc>
          <w:tcPr>
            <w:tcW w:w="1945" w:type="dxa"/>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技术方案评价</w:t>
            </w:r>
            <w:r>
              <w:rPr>
                <w:rFonts w:ascii="Times New Roman" w:hAnsi="Times New Roman" w:cs="Times New Roman"/>
                <w:color w:val="auto"/>
                <w:sz w:val="22"/>
                <w:highlight w:val="none"/>
              </w:rPr>
              <w:t>（1</w:t>
            </w:r>
            <w:r>
              <w:rPr>
                <w:rFonts w:hint="eastAsia" w:ascii="Times New Roman" w:hAnsi="Times New Roman" w:cs="Times New Roman"/>
                <w:color w:val="auto"/>
                <w:sz w:val="22"/>
                <w:highlight w:val="none"/>
              </w:rPr>
              <w:t>2</w:t>
            </w:r>
            <w:r>
              <w:rPr>
                <w:rFonts w:ascii="Times New Roman" w:hAnsi="Times New Roman" w:cs="Times New Roman"/>
                <w:color w:val="auto"/>
                <w:sz w:val="22"/>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（1）总体设计合理性评价：投标人对业主现状及需求描述详实，建设思路清晰、可行性强，技术路线成熟可靠。（0～</w:t>
            </w:r>
            <w:r>
              <w:rPr>
                <w:rFonts w:hint="eastAsia" w:ascii="Times New Roman" w:hAnsi="Times New Roman" w:cs="Times New Roman"/>
                <w:color w:val="auto"/>
                <w:szCs w:val="21"/>
                <w:highlight w:val="none"/>
              </w:rPr>
              <w:t>6</w:t>
            </w:r>
            <w:r>
              <w:rPr>
                <w:rFonts w:ascii="Times New Roman" w:hAnsi="Times New Roman" w:cs="Times New Roman"/>
                <w:color w:val="auto"/>
                <w:szCs w:val="21"/>
                <w:highlight w:val="none"/>
              </w:rPr>
              <w:t>分）</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优：</w:t>
            </w:r>
            <w:r>
              <w:rPr>
                <w:rFonts w:hint="eastAsia" w:ascii="Times New Roman" w:hAnsi="Times New Roman" w:cs="Times New Roman"/>
                <w:color w:val="auto"/>
                <w:szCs w:val="21"/>
                <w:highlight w:val="none"/>
              </w:rPr>
              <w:t>4～6</w:t>
            </w:r>
            <w:r>
              <w:rPr>
                <w:rFonts w:ascii="Times New Roman" w:hAnsi="Times New Roman" w:cs="Times New Roman"/>
                <w:color w:val="auto"/>
                <w:szCs w:val="21"/>
                <w:highlight w:val="none"/>
              </w:rPr>
              <w:t>分，良：2</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3分，一般：1分</w:t>
            </w:r>
            <w:r>
              <w:rPr>
                <w:rFonts w:hint="eastAsia" w:ascii="Times New Roman" w:hAnsi="Times New Roman" w:cs="Times New Roman"/>
                <w:color w:val="auto"/>
                <w:szCs w:val="21"/>
                <w:highlight w:val="none"/>
              </w:rPr>
              <w:t xml:space="preserve"> </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（2）业务架构合理性评价：</w:t>
            </w:r>
            <w:r>
              <w:rPr>
                <w:rFonts w:hint="eastAsia" w:ascii="Times New Roman" w:hAnsi="Times New Roman" w:cs="Times New Roman"/>
                <w:color w:val="auto"/>
                <w:szCs w:val="21"/>
                <w:highlight w:val="none"/>
              </w:rPr>
              <w:t>投标人对</w:t>
            </w:r>
            <w:r>
              <w:rPr>
                <w:rFonts w:ascii="Times New Roman" w:hAnsi="Times New Roman" w:cs="Times New Roman"/>
                <w:color w:val="auto"/>
                <w:szCs w:val="21"/>
                <w:highlight w:val="none"/>
              </w:rPr>
              <w:t>总体技术框架选择合理，并具备良好的扩展性，方案设计规划合理，建设内容详实。（0～</w:t>
            </w:r>
            <w:r>
              <w:rPr>
                <w:rFonts w:hint="eastAsia" w:ascii="Times New Roman" w:hAnsi="Times New Roman" w:cs="Times New Roman"/>
                <w:color w:val="auto"/>
                <w:szCs w:val="21"/>
                <w:highlight w:val="none"/>
              </w:rPr>
              <w:t>6</w:t>
            </w:r>
            <w:r>
              <w:rPr>
                <w:rFonts w:ascii="Times New Roman" w:hAnsi="Times New Roman" w:cs="Times New Roman"/>
                <w:color w:val="auto"/>
                <w:szCs w:val="21"/>
                <w:highlight w:val="none"/>
              </w:rPr>
              <w:t>分）</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优：</w:t>
            </w:r>
            <w:r>
              <w:rPr>
                <w:rFonts w:hint="eastAsia" w:ascii="Times New Roman" w:hAnsi="Times New Roman" w:cs="Times New Roman"/>
                <w:color w:val="auto"/>
                <w:szCs w:val="21"/>
                <w:highlight w:val="none"/>
              </w:rPr>
              <w:t>4～6</w:t>
            </w:r>
            <w:r>
              <w:rPr>
                <w:rFonts w:ascii="Times New Roman" w:hAnsi="Times New Roman" w:cs="Times New Roman"/>
                <w:color w:val="auto"/>
                <w:szCs w:val="21"/>
                <w:highlight w:val="none"/>
              </w:rPr>
              <w:t>分，良：2</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3分，一般：1分，</w:t>
            </w:r>
            <w:r>
              <w:rPr>
                <w:rFonts w:hint="eastAsia" w:ascii="Times New Roman" w:hAnsi="Times New Roman" w:cs="Times New Roman"/>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软件自主知识产权（</w:t>
            </w:r>
            <w:r>
              <w:rPr>
                <w:rFonts w:hint="eastAsia" w:ascii="Times New Roman" w:hAnsi="Times New Roman" w:cs="Times New Roman"/>
                <w:color w:val="auto"/>
                <w:szCs w:val="21"/>
                <w:highlight w:val="none"/>
              </w:rPr>
              <w:t>5</w:t>
            </w:r>
            <w:r>
              <w:rPr>
                <w:rFonts w:ascii="Times New Roman" w:hAnsi="Times New Roman" w:cs="Times New Roman"/>
                <w:color w:val="auto"/>
                <w:szCs w:val="21"/>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一、投标方或核心设备/系统生产商具有且提供以下</w:t>
            </w:r>
            <w:r>
              <w:rPr>
                <w:rFonts w:ascii="Times New Roman" w:hAnsi="Times New Roman" w:cs="Times New Roman"/>
                <w:color w:val="auto"/>
                <w:szCs w:val="21"/>
                <w:highlight w:val="none"/>
              </w:rPr>
              <w:t>软件著作权登记证书</w:t>
            </w:r>
            <w:r>
              <w:rPr>
                <w:rFonts w:hint="eastAsia" w:ascii="Times New Roman" w:hAnsi="Times New Roman" w:cs="Times New Roman"/>
                <w:color w:val="auto"/>
                <w:szCs w:val="21"/>
                <w:highlight w:val="none"/>
              </w:rPr>
              <w:t>：</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1、大气污染溯源</w:t>
            </w:r>
            <w:r>
              <w:rPr>
                <w:rFonts w:ascii="Times New Roman" w:hAnsi="Times New Roman" w:cs="Times New Roman"/>
                <w:color w:val="auto"/>
                <w:szCs w:val="21"/>
                <w:highlight w:val="none"/>
              </w:rPr>
              <w:t>系统</w:t>
            </w:r>
            <w:r>
              <w:rPr>
                <w:rFonts w:hint="eastAsia" w:ascii="Times New Roman" w:hAnsi="Times New Roman" w:cs="Times New Roman"/>
                <w:color w:val="auto"/>
                <w:szCs w:val="21"/>
                <w:highlight w:val="none"/>
              </w:rPr>
              <w:t>；2、分级预警管控</w:t>
            </w:r>
            <w:r>
              <w:rPr>
                <w:rFonts w:ascii="Times New Roman" w:hAnsi="Times New Roman" w:cs="Times New Roman"/>
                <w:color w:val="auto"/>
                <w:szCs w:val="21"/>
                <w:highlight w:val="none"/>
              </w:rPr>
              <w:t>系统</w:t>
            </w:r>
            <w:r>
              <w:rPr>
                <w:rFonts w:hint="eastAsia" w:ascii="Times New Roman" w:hAnsi="Times New Roman" w:cs="Times New Roman"/>
                <w:color w:val="auto"/>
                <w:szCs w:val="21"/>
                <w:highlight w:val="none"/>
              </w:rPr>
              <w:t>；3、</w:t>
            </w:r>
            <w:r>
              <w:rPr>
                <w:rFonts w:ascii="Times New Roman" w:hAnsi="Times New Roman" w:cs="Times New Roman"/>
                <w:color w:val="auto"/>
                <w:szCs w:val="21"/>
                <w:highlight w:val="none"/>
              </w:rPr>
              <w:t>重大危险源在线监控及事故预警系统</w:t>
            </w:r>
            <w:r>
              <w:rPr>
                <w:rFonts w:hint="eastAsia" w:ascii="Times New Roman" w:hAnsi="Times New Roman" w:cs="Times New Roman"/>
                <w:color w:val="auto"/>
                <w:szCs w:val="21"/>
                <w:highlight w:val="none"/>
              </w:rPr>
              <w:t>；4、</w:t>
            </w:r>
            <w:r>
              <w:rPr>
                <w:rFonts w:ascii="Times New Roman" w:hAnsi="Times New Roman" w:cs="Times New Roman"/>
                <w:color w:val="auto"/>
                <w:szCs w:val="21"/>
                <w:highlight w:val="none"/>
              </w:rPr>
              <w:t>安全生产风险作业管理系统</w:t>
            </w:r>
            <w:r>
              <w:rPr>
                <w:rFonts w:hint="eastAsia" w:ascii="Times New Roman" w:hAnsi="Times New Roman" w:cs="Times New Roman"/>
                <w:color w:val="auto"/>
                <w:szCs w:val="21"/>
                <w:highlight w:val="none"/>
              </w:rPr>
              <w:t>；5、</w:t>
            </w:r>
            <w:r>
              <w:rPr>
                <w:rFonts w:ascii="Times New Roman" w:hAnsi="Times New Roman" w:cs="Times New Roman"/>
                <w:color w:val="auto"/>
                <w:szCs w:val="21"/>
                <w:highlight w:val="none"/>
              </w:rPr>
              <w:t>能源管理平台软件</w:t>
            </w:r>
            <w:r>
              <w:rPr>
                <w:rFonts w:hint="eastAsia" w:ascii="Times New Roman" w:hAnsi="Times New Roman" w:cs="Times New Roman"/>
                <w:color w:val="auto"/>
                <w:szCs w:val="21"/>
                <w:highlight w:val="none"/>
              </w:rPr>
              <w:t>；6、</w:t>
            </w:r>
            <w:r>
              <w:rPr>
                <w:rFonts w:ascii="Times New Roman" w:hAnsi="Times New Roman" w:cs="Times New Roman"/>
                <w:color w:val="auto"/>
                <w:szCs w:val="21"/>
                <w:highlight w:val="none"/>
              </w:rPr>
              <w:t>人机联控平台软件</w:t>
            </w:r>
            <w:r>
              <w:rPr>
                <w:rFonts w:hint="eastAsia" w:ascii="Times New Roman" w:hAnsi="Times New Roman" w:cs="Times New Roman"/>
                <w:color w:val="auto"/>
                <w:szCs w:val="21"/>
                <w:highlight w:val="none"/>
              </w:rPr>
              <w:t>；7、车辆车载终端系统； 8、道路车辆监管平台软件； 9、经济运行监测平台软件； 10、能耗采集网关系统；（以上软件著作权登记证书要求投标人所提供的系统功能必须满足招标文件要求，但是具体名称不需要完全一致。）</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二、提供</w:t>
            </w:r>
            <w:r>
              <w:rPr>
                <w:rFonts w:ascii="Times New Roman" w:hAnsi="Times New Roman" w:cs="Times New Roman"/>
                <w:color w:val="auto"/>
                <w:szCs w:val="21"/>
                <w:highlight w:val="none"/>
              </w:rPr>
              <w:t>大气污染溯源系统</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分级预警管控系统软件平台由第三方检测机构出具的检验检测报告</w:t>
            </w:r>
            <w:r>
              <w:rPr>
                <w:rFonts w:hint="eastAsia" w:ascii="Times New Roman" w:hAnsi="Times New Roman" w:cs="Times New Roman"/>
                <w:color w:val="auto"/>
                <w:szCs w:val="21"/>
                <w:highlight w:val="none"/>
              </w:rPr>
              <w:t>（提供检验检测报告复印件扫描件并加盖投标单位公章，提供出具此检验检测报告的第三方检测机构须具备</w:t>
            </w:r>
            <w:r>
              <w:rPr>
                <w:rFonts w:ascii="Times New Roman" w:hAnsi="Times New Roman" w:cs="Times New Roman"/>
                <w:color w:val="auto"/>
                <w:szCs w:val="21"/>
                <w:highlight w:val="none"/>
              </w:rPr>
              <w:t>CNAS</w:t>
            </w:r>
            <w:r>
              <w:rPr>
                <w:rFonts w:hint="eastAsia" w:ascii="Times New Roman" w:hAnsi="Times New Roman" w:cs="Times New Roman"/>
                <w:color w:val="auto"/>
                <w:szCs w:val="21"/>
                <w:highlight w:val="none"/>
              </w:rPr>
              <w:t>和</w:t>
            </w:r>
            <w:r>
              <w:rPr>
                <w:rFonts w:ascii="Times New Roman" w:hAnsi="Times New Roman" w:cs="Times New Roman"/>
                <w:color w:val="auto"/>
                <w:szCs w:val="21"/>
                <w:highlight w:val="none"/>
              </w:rPr>
              <w:t>CMA</w:t>
            </w:r>
            <w:r>
              <w:rPr>
                <w:rFonts w:hint="eastAsia" w:ascii="Times New Roman" w:hAnsi="Times New Roman" w:cs="Times New Roman"/>
                <w:color w:val="auto"/>
                <w:szCs w:val="21"/>
                <w:highlight w:val="none"/>
              </w:rPr>
              <w:t>资质，须提供第三方检测机构</w:t>
            </w:r>
            <w:r>
              <w:rPr>
                <w:rFonts w:ascii="Times New Roman" w:hAnsi="Times New Roman" w:cs="Times New Roman"/>
                <w:color w:val="auto"/>
                <w:szCs w:val="21"/>
                <w:highlight w:val="none"/>
              </w:rPr>
              <w:t>CNAS</w:t>
            </w:r>
            <w:r>
              <w:rPr>
                <w:rFonts w:hint="eastAsia" w:ascii="Times New Roman" w:hAnsi="Times New Roman" w:cs="Times New Roman"/>
                <w:color w:val="auto"/>
                <w:szCs w:val="21"/>
                <w:highlight w:val="none"/>
              </w:rPr>
              <w:t>和</w:t>
            </w:r>
            <w:r>
              <w:rPr>
                <w:rFonts w:ascii="Times New Roman" w:hAnsi="Times New Roman" w:cs="Times New Roman"/>
                <w:color w:val="auto"/>
                <w:szCs w:val="21"/>
                <w:highlight w:val="none"/>
              </w:rPr>
              <w:t>CMA</w:t>
            </w:r>
            <w:r>
              <w:rPr>
                <w:rFonts w:hint="eastAsia" w:ascii="Times New Roman" w:hAnsi="Times New Roman" w:cs="Times New Roman"/>
                <w:color w:val="auto"/>
                <w:szCs w:val="21"/>
                <w:highlight w:val="none"/>
              </w:rPr>
              <w:t>资质证书复印件并加盖第三方检测机构公章）</w:t>
            </w:r>
          </w:p>
          <w:p>
            <w:pPr>
              <w:pStyle w:val="67"/>
              <w:ind w:firstLine="420" w:firstLineChars="2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同时满足一和二的条件得5分，只满足其中任何一项时，得2分，无不得分。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right w:val="single" w:color="auto" w:sz="4" w:space="0"/>
            </w:tcBorders>
            <w:vAlign w:val="center"/>
          </w:tcPr>
          <w:p>
            <w:pPr>
              <w:pStyle w:val="67"/>
              <w:ind w:left="210" w:hanging="210" w:hangingChars="1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技术参数</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15</w:t>
            </w:r>
            <w:r>
              <w:rPr>
                <w:rFonts w:ascii="Times New Roman" w:hAnsi="Times New Roman" w:cs="Times New Roman"/>
                <w:color w:val="auto"/>
                <w:szCs w:val="21"/>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tabs>
                <w:tab w:val="left" w:pos="312"/>
              </w:tabs>
              <w:spacing w:line="276" w:lineRule="auto"/>
              <w:rPr>
                <w:color w:val="auto"/>
                <w:sz w:val="21"/>
                <w:szCs w:val="21"/>
                <w:highlight w:val="none"/>
              </w:rPr>
            </w:pPr>
            <w:r>
              <w:rPr>
                <w:rFonts w:hint="eastAsia"/>
                <w:color w:val="auto"/>
                <w:sz w:val="21"/>
                <w:szCs w:val="21"/>
                <w:highlight w:val="none"/>
              </w:rPr>
              <w:t>1.所有产品所有技术参数指标，完全满足招标文件要求的得基础分10分。</w:t>
            </w:r>
          </w:p>
          <w:p>
            <w:pPr>
              <w:pStyle w:val="67"/>
              <w:rPr>
                <w:color w:val="auto"/>
                <w:szCs w:val="21"/>
                <w:highlight w:val="none"/>
              </w:rPr>
            </w:pPr>
            <w:r>
              <w:rPr>
                <w:rFonts w:hint="eastAsia" w:hAnsi="宋体"/>
                <w:color w:val="auto"/>
                <w:szCs w:val="21"/>
                <w:highlight w:val="none"/>
              </w:rPr>
              <w:t>2.</w:t>
            </w:r>
            <w:r>
              <w:rPr>
                <w:rFonts w:hint="eastAsia"/>
                <w:color w:val="auto"/>
                <w:szCs w:val="21"/>
                <w:highlight w:val="none"/>
              </w:rPr>
              <w:t>所有产品主要技术参数指标有一项实质性优于，加0.5分。并提供相应的佐证材料，否则不得分。最多得5分。</w:t>
            </w:r>
          </w:p>
          <w:p>
            <w:pPr>
              <w:pStyle w:val="67"/>
              <w:rPr>
                <w:color w:val="auto"/>
                <w:szCs w:val="21"/>
                <w:highlight w:val="none"/>
              </w:rPr>
            </w:pPr>
            <w:r>
              <w:rPr>
                <w:rFonts w:hint="eastAsia"/>
                <w:color w:val="auto"/>
                <w:szCs w:val="21"/>
                <w:highlight w:val="none"/>
              </w:rPr>
              <w:t>3.所有产品技术一般参数指标有一项负偏离，扣0.5分。</w:t>
            </w:r>
            <w:bookmarkStart w:id="23" w:name="OLE_LINK3"/>
            <w:r>
              <w:rPr>
                <w:rFonts w:hint="eastAsia"/>
                <w:color w:val="auto"/>
                <w:szCs w:val="21"/>
                <w:highlight w:val="none"/>
              </w:rPr>
              <w:t>将技术参数得分全部扣完为止。</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系统演示综合评价</w:t>
            </w:r>
            <w:r>
              <w:rPr>
                <w:rFonts w:ascii="Times New Roman" w:hAnsi="Times New Roman" w:cs="Times New Roman"/>
                <w:color w:val="auto"/>
                <w:sz w:val="22"/>
                <w:highlight w:val="none"/>
              </w:rPr>
              <w:t>（</w:t>
            </w:r>
            <w:r>
              <w:rPr>
                <w:rFonts w:hint="eastAsia" w:ascii="Times New Roman" w:hAnsi="Times New Roman" w:cs="Times New Roman"/>
                <w:color w:val="auto"/>
                <w:sz w:val="22"/>
                <w:highlight w:val="none"/>
              </w:rPr>
              <w:t>10</w:t>
            </w:r>
            <w:r>
              <w:rPr>
                <w:rFonts w:ascii="Times New Roman" w:hAnsi="Times New Roman" w:cs="Times New Roman"/>
                <w:color w:val="auto"/>
                <w:sz w:val="22"/>
                <w:highlight w:val="none"/>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宋体" w:hAnsi="宋体"/>
                <w:color w:val="auto"/>
                <w:sz w:val="18"/>
                <w:szCs w:val="18"/>
                <w:highlight w:val="none"/>
              </w:rPr>
            </w:pPr>
            <w:r>
              <w:rPr>
                <w:rFonts w:ascii="Times New Roman" w:hAnsi="Times New Roman" w:cs="Times New Roman"/>
                <w:color w:val="auto"/>
                <w:sz w:val="18"/>
                <w:szCs w:val="18"/>
                <w:highlight w:val="none"/>
              </w:rPr>
              <w:t>根据投标方</w:t>
            </w:r>
            <w:r>
              <w:rPr>
                <w:rFonts w:hint="eastAsia" w:ascii="宋体" w:hAnsi="宋体"/>
                <w:color w:val="auto"/>
                <w:sz w:val="18"/>
                <w:szCs w:val="18"/>
                <w:highlight w:val="none"/>
              </w:rPr>
              <w:t>对系统方案演示效果进行综合评审，全部演示完成并优秀得10分，每缺少一项扣对应的分数，扣完为止。系统演示每家限时20分钟，必须提供真实软件系统演示，静态网页、录像、PPT等演示总分得0-1分。</w:t>
            </w:r>
          </w:p>
          <w:p>
            <w:pPr>
              <w:pStyle w:val="67"/>
              <w:rPr>
                <w:rFonts w:ascii="宋体" w:hAnsi="宋体"/>
                <w:color w:val="auto"/>
                <w:sz w:val="18"/>
                <w:szCs w:val="18"/>
                <w:highlight w:val="none"/>
              </w:rPr>
            </w:pPr>
            <w:r>
              <w:rPr>
                <w:rFonts w:hint="eastAsia" w:ascii="宋体" w:hAnsi="宋体"/>
                <w:color w:val="auto"/>
                <w:sz w:val="18"/>
                <w:szCs w:val="18"/>
                <w:highlight w:val="none"/>
              </w:rPr>
              <w:t>1、按照系统招标要求演示环境污染溯源系统和能耗在线监测分析系统；</w:t>
            </w:r>
            <w:r>
              <w:rPr>
                <w:rFonts w:ascii="Times New Roman" w:hAnsi="Times New Roman" w:cs="Times New Roman"/>
                <w:color w:val="auto"/>
                <w:sz w:val="18"/>
                <w:szCs w:val="18"/>
                <w:highlight w:val="none"/>
              </w:rPr>
              <w:t>（0～</w:t>
            </w:r>
            <w:r>
              <w:rPr>
                <w:rFonts w:hint="eastAsia" w:ascii="Times New Roman" w:hAnsi="Times New Roman" w:cs="Times New Roman"/>
                <w:color w:val="auto"/>
                <w:sz w:val="18"/>
                <w:szCs w:val="18"/>
                <w:highlight w:val="none"/>
              </w:rPr>
              <w:t>2</w:t>
            </w:r>
            <w:r>
              <w:rPr>
                <w:rFonts w:ascii="Times New Roman" w:hAnsi="Times New Roman" w:cs="Times New Roman"/>
                <w:color w:val="auto"/>
                <w:sz w:val="18"/>
                <w:szCs w:val="18"/>
                <w:highlight w:val="none"/>
              </w:rPr>
              <w:t>分）</w:t>
            </w:r>
          </w:p>
          <w:p>
            <w:pPr>
              <w:pStyle w:val="67"/>
              <w:rPr>
                <w:rFonts w:ascii="宋体" w:hAnsi="宋体"/>
                <w:color w:val="auto"/>
                <w:sz w:val="18"/>
                <w:szCs w:val="18"/>
                <w:highlight w:val="none"/>
              </w:rPr>
            </w:pPr>
            <w:r>
              <w:rPr>
                <w:rFonts w:hint="eastAsia" w:ascii="宋体" w:hAnsi="宋体"/>
                <w:color w:val="auto"/>
                <w:sz w:val="18"/>
                <w:szCs w:val="18"/>
                <w:highlight w:val="none"/>
              </w:rPr>
              <w:t>优：2分，良：</w:t>
            </w:r>
            <w:r>
              <w:rPr>
                <w:rFonts w:hint="eastAsia" w:ascii="Times New Roman" w:hAnsi="Times New Roman" w:cs="Times New Roman"/>
                <w:color w:val="auto"/>
                <w:sz w:val="18"/>
                <w:szCs w:val="18"/>
                <w:highlight w:val="none"/>
              </w:rPr>
              <w:t>1</w:t>
            </w:r>
            <w:r>
              <w:rPr>
                <w:rFonts w:hint="eastAsia" w:ascii="宋体" w:hAnsi="宋体"/>
                <w:color w:val="auto"/>
                <w:sz w:val="18"/>
                <w:szCs w:val="18"/>
                <w:highlight w:val="none"/>
              </w:rPr>
              <w:t>分。</w:t>
            </w:r>
          </w:p>
          <w:p>
            <w:pPr>
              <w:pStyle w:val="67"/>
              <w:rPr>
                <w:rFonts w:ascii="宋体" w:hAnsi="宋体"/>
                <w:color w:val="auto"/>
                <w:sz w:val="18"/>
                <w:szCs w:val="18"/>
                <w:highlight w:val="none"/>
              </w:rPr>
            </w:pPr>
            <w:r>
              <w:rPr>
                <w:rFonts w:hint="eastAsia" w:ascii="宋体" w:hAnsi="宋体"/>
                <w:color w:val="auto"/>
                <w:sz w:val="18"/>
                <w:szCs w:val="18"/>
                <w:highlight w:val="none"/>
              </w:rPr>
              <w:t>（1.溯源系统能够展示完整溯源事件过程2.能耗在线监测分析系统可以查看实时数据和各类图表3.能耗在线分析系统的图表支持二维三维图表转换。以上三点全部满足为优，满足其中两项为良，其余情况均不得分。）</w:t>
            </w:r>
          </w:p>
          <w:p>
            <w:pPr>
              <w:pStyle w:val="67"/>
              <w:rPr>
                <w:rFonts w:ascii="宋体" w:hAnsi="宋体"/>
                <w:color w:val="auto"/>
                <w:sz w:val="18"/>
                <w:szCs w:val="18"/>
                <w:highlight w:val="none"/>
              </w:rPr>
            </w:pPr>
            <w:r>
              <w:rPr>
                <w:rFonts w:hint="eastAsia" w:ascii="宋体" w:hAnsi="宋体"/>
                <w:color w:val="auto"/>
                <w:sz w:val="18"/>
                <w:szCs w:val="18"/>
                <w:highlight w:val="none"/>
              </w:rPr>
              <w:t>2、按照系统招标要求演示智慧园区核心技术人工智能平台系统：</w:t>
            </w:r>
          </w:p>
          <w:p>
            <w:pPr>
              <w:pStyle w:val="67"/>
              <w:rPr>
                <w:rFonts w:ascii="宋体" w:hAnsi="宋体"/>
                <w:color w:val="auto"/>
                <w:sz w:val="18"/>
                <w:szCs w:val="18"/>
                <w:highlight w:val="none"/>
              </w:rPr>
            </w:pPr>
            <w:r>
              <w:rPr>
                <w:rFonts w:hint="eastAsia" w:ascii="宋体" w:hAnsi="宋体"/>
                <w:color w:val="auto"/>
                <w:sz w:val="18"/>
                <w:szCs w:val="18"/>
                <w:highlight w:val="none"/>
              </w:rPr>
              <w:t>2.1实时监测。</w:t>
            </w:r>
            <w:r>
              <w:rPr>
                <w:rFonts w:ascii="Times New Roman" w:hAnsi="Times New Roman" w:cs="Times New Roman"/>
                <w:color w:val="auto"/>
                <w:sz w:val="18"/>
                <w:szCs w:val="18"/>
                <w:highlight w:val="none"/>
              </w:rPr>
              <w:t>（0～</w:t>
            </w:r>
            <w:r>
              <w:rPr>
                <w:rFonts w:hint="eastAsia" w:ascii="Times New Roman" w:hAnsi="Times New Roman" w:cs="Times New Roman"/>
                <w:color w:val="auto"/>
                <w:sz w:val="18"/>
                <w:szCs w:val="18"/>
                <w:highlight w:val="none"/>
              </w:rPr>
              <w:t>3</w:t>
            </w:r>
            <w:r>
              <w:rPr>
                <w:rFonts w:ascii="Times New Roman" w:hAnsi="Times New Roman" w:cs="Times New Roman"/>
                <w:color w:val="auto"/>
                <w:sz w:val="18"/>
                <w:szCs w:val="18"/>
                <w:highlight w:val="none"/>
              </w:rPr>
              <w:t>分）</w:t>
            </w:r>
          </w:p>
          <w:p>
            <w:pPr>
              <w:pStyle w:val="67"/>
              <w:rPr>
                <w:rFonts w:ascii="宋体" w:hAnsi="宋体"/>
                <w:color w:val="auto"/>
                <w:sz w:val="18"/>
                <w:szCs w:val="18"/>
                <w:highlight w:val="none"/>
              </w:rPr>
            </w:pPr>
            <w:r>
              <w:rPr>
                <w:rFonts w:hint="eastAsia" w:ascii="宋体" w:hAnsi="宋体"/>
                <w:color w:val="auto"/>
                <w:sz w:val="18"/>
                <w:szCs w:val="18"/>
                <w:highlight w:val="none"/>
              </w:rPr>
              <w:t>对站房内设备的监测数据和状态参数进行实时监测；对站房内人脸和姿态识别，对进入监测范围内的人进行实时人脸和人体姿态识别。</w:t>
            </w:r>
          </w:p>
          <w:p>
            <w:pPr>
              <w:pStyle w:val="67"/>
              <w:numPr>
                <w:ilvl w:val="0"/>
                <w:numId w:val="8"/>
              </w:numPr>
              <w:rPr>
                <w:rFonts w:ascii="宋体" w:hAnsi="宋体"/>
                <w:color w:val="auto"/>
                <w:sz w:val="18"/>
                <w:szCs w:val="18"/>
                <w:highlight w:val="none"/>
              </w:rPr>
            </w:pPr>
            <w:r>
              <w:rPr>
                <w:rFonts w:hint="eastAsia" w:ascii="宋体" w:hAnsi="宋体"/>
                <w:color w:val="auto"/>
                <w:sz w:val="18"/>
                <w:szCs w:val="18"/>
                <w:highlight w:val="none"/>
              </w:rPr>
              <w:t>能够实时显示监测数据和状态参数，优得1分；良得</w:t>
            </w:r>
            <w:r>
              <w:rPr>
                <w:rFonts w:hint="eastAsia" w:ascii="Times New Roman" w:hAnsi="Times New Roman" w:cs="Times New Roman"/>
                <w:color w:val="auto"/>
                <w:sz w:val="18"/>
                <w:szCs w:val="18"/>
                <w:highlight w:val="none"/>
              </w:rPr>
              <w:t>0</w:t>
            </w:r>
            <w:r>
              <w:rPr>
                <w:rFonts w:ascii="Times New Roman" w:hAnsi="Times New Roman" w:cs="Times New Roman"/>
                <w:color w:val="auto"/>
                <w:sz w:val="18"/>
                <w:szCs w:val="18"/>
                <w:highlight w:val="none"/>
              </w:rPr>
              <w:t>.5</w:t>
            </w:r>
            <w:r>
              <w:rPr>
                <w:rFonts w:hint="eastAsia" w:ascii="宋体" w:hAnsi="宋体"/>
                <w:color w:val="auto"/>
                <w:sz w:val="18"/>
                <w:szCs w:val="18"/>
                <w:highlight w:val="none"/>
              </w:rPr>
              <w:t>分。（能够同时显示实时监测数据和状态参数为优。能够显示实时监测数据或状态参数之一的为良。其余情况均不得分。）</w:t>
            </w:r>
          </w:p>
          <w:p>
            <w:pPr>
              <w:pStyle w:val="67"/>
              <w:numPr>
                <w:ilvl w:val="0"/>
                <w:numId w:val="8"/>
              </w:numPr>
              <w:rPr>
                <w:rFonts w:ascii="宋体" w:hAnsi="宋体"/>
                <w:color w:val="auto"/>
                <w:sz w:val="18"/>
                <w:szCs w:val="18"/>
                <w:highlight w:val="none"/>
              </w:rPr>
            </w:pPr>
            <w:r>
              <w:rPr>
                <w:rFonts w:hint="eastAsia" w:ascii="宋体" w:hAnsi="宋体"/>
                <w:color w:val="auto"/>
                <w:sz w:val="18"/>
                <w:szCs w:val="18"/>
                <w:highlight w:val="none"/>
              </w:rPr>
              <w:t>判断是否为运维人员，需要显示人员详细信息，优得1分。（能够识别是否为运维人员并显示人员姓名、人员照片和入场时间的为优。能够显示是否为运维人员并显示人员姓名、人员照片和入场时间之一的为良。其余情况均不得分。）</w:t>
            </w:r>
          </w:p>
          <w:p>
            <w:pPr>
              <w:pStyle w:val="67"/>
              <w:numPr>
                <w:ilvl w:val="0"/>
                <w:numId w:val="8"/>
              </w:numPr>
              <w:rPr>
                <w:rFonts w:ascii="宋体" w:hAnsi="宋体"/>
                <w:color w:val="auto"/>
                <w:sz w:val="18"/>
                <w:szCs w:val="18"/>
                <w:highlight w:val="none"/>
              </w:rPr>
            </w:pPr>
            <w:r>
              <w:rPr>
                <w:rFonts w:hint="eastAsia" w:ascii="宋体" w:hAnsi="宋体"/>
                <w:color w:val="auto"/>
                <w:sz w:val="18"/>
                <w:szCs w:val="18"/>
                <w:highlight w:val="none"/>
              </w:rPr>
              <w:t>能够实时显示人体姿态信息，优得1分；良得</w:t>
            </w:r>
            <w:r>
              <w:rPr>
                <w:rFonts w:hint="eastAsia" w:ascii="Times New Roman" w:hAnsi="Times New Roman" w:cs="Times New Roman"/>
                <w:color w:val="auto"/>
                <w:sz w:val="18"/>
                <w:szCs w:val="18"/>
                <w:highlight w:val="none"/>
              </w:rPr>
              <w:t>0</w:t>
            </w:r>
            <w:r>
              <w:rPr>
                <w:rFonts w:ascii="Times New Roman" w:hAnsi="Times New Roman" w:cs="Times New Roman"/>
                <w:color w:val="auto"/>
                <w:sz w:val="18"/>
                <w:szCs w:val="18"/>
                <w:highlight w:val="none"/>
              </w:rPr>
              <w:t>.5</w:t>
            </w:r>
            <w:r>
              <w:rPr>
                <w:rFonts w:hint="eastAsia" w:ascii="宋体" w:hAnsi="宋体"/>
                <w:color w:val="auto"/>
                <w:sz w:val="18"/>
                <w:szCs w:val="18"/>
                <w:highlight w:val="none"/>
              </w:rPr>
              <w:t>分。（能够实时显示人体关键点位和人体姿态信息的为优。仅能够识别出人体信息的为良。其余情况均不得分。）</w:t>
            </w:r>
          </w:p>
          <w:p>
            <w:pPr>
              <w:pStyle w:val="67"/>
              <w:rPr>
                <w:rFonts w:ascii="宋体" w:hAnsi="宋体"/>
                <w:color w:val="auto"/>
                <w:sz w:val="18"/>
                <w:szCs w:val="18"/>
                <w:highlight w:val="none"/>
              </w:rPr>
            </w:pPr>
            <w:r>
              <w:rPr>
                <w:rFonts w:hint="eastAsia" w:ascii="宋体" w:hAnsi="宋体"/>
                <w:color w:val="auto"/>
                <w:sz w:val="18"/>
                <w:szCs w:val="18"/>
                <w:highlight w:val="none"/>
              </w:rPr>
              <w:t>2.2日常维护流程智能监管，维护人员进行完整流程的维护动作，需要通过机器识别现场人员动作是否规范，判断是否存在漏做或不规范的操作。</w:t>
            </w:r>
            <w:r>
              <w:rPr>
                <w:rFonts w:ascii="Times New Roman" w:hAnsi="Times New Roman" w:cs="Times New Roman"/>
                <w:color w:val="auto"/>
                <w:sz w:val="18"/>
                <w:szCs w:val="18"/>
                <w:highlight w:val="none"/>
              </w:rPr>
              <w:t>（0～</w:t>
            </w:r>
            <w:r>
              <w:rPr>
                <w:rFonts w:hint="eastAsia" w:ascii="Times New Roman" w:hAnsi="Times New Roman" w:cs="Times New Roman"/>
                <w:color w:val="auto"/>
                <w:sz w:val="18"/>
                <w:szCs w:val="18"/>
                <w:highlight w:val="none"/>
              </w:rPr>
              <w:t>3</w:t>
            </w:r>
            <w:r>
              <w:rPr>
                <w:rFonts w:ascii="Times New Roman" w:hAnsi="Times New Roman" w:cs="Times New Roman"/>
                <w:color w:val="auto"/>
                <w:sz w:val="18"/>
                <w:szCs w:val="18"/>
                <w:highlight w:val="none"/>
              </w:rPr>
              <w:t>分）</w:t>
            </w:r>
          </w:p>
          <w:p>
            <w:pPr>
              <w:numPr>
                <w:ilvl w:val="0"/>
                <w:numId w:val="9"/>
              </w:numPr>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能够识别正常维护动作，优得1分；良得0.5分；（能够识别5个运维动作及以上的为优，识别动作数为3-4个的为良，其余情况不得分。）</w:t>
            </w:r>
          </w:p>
          <w:p>
            <w:pPr>
              <w:numPr>
                <w:ilvl w:val="0"/>
                <w:numId w:val="9"/>
              </w:numPr>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能够识别到漏做运维工作，优得1分；良得0.5分；（能够识别3个漏做动作以上的为优，识别动作数为2个的为良，其余情况均不得分。）</w:t>
            </w:r>
          </w:p>
          <w:p>
            <w:pPr>
              <w:numPr>
                <w:ilvl w:val="0"/>
                <w:numId w:val="9"/>
              </w:numPr>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能够识别到不规范的运维操作，优得1分；良得0.5分。（若能够识别4个不规范运维动作及以上的为优，识别动作数为3个的为良，其余情况不得分。）</w:t>
            </w:r>
          </w:p>
          <w:p>
            <w:pPr>
              <w:pStyle w:val="67"/>
              <w:rPr>
                <w:rFonts w:ascii="宋体" w:hAnsi="宋体"/>
                <w:color w:val="auto"/>
                <w:sz w:val="18"/>
                <w:szCs w:val="18"/>
                <w:highlight w:val="none"/>
              </w:rPr>
            </w:pPr>
            <w:r>
              <w:rPr>
                <w:rFonts w:hint="eastAsia" w:ascii="宋体" w:hAnsi="宋体"/>
                <w:color w:val="auto"/>
                <w:sz w:val="18"/>
                <w:szCs w:val="18"/>
                <w:highlight w:val="none"/>
              </w:rPr>
              <w:t>2.3现场溯源与告警。</w:t>
            </w:r>
            <w:r>
              <w:rPr>
                <w:rFonts w:ascii="Times New Roman" w:hAnsi="Times New Roman" w:cs="Times New Roman"/>
                <w:color w:val="auto"/>
                <w:sz w:val="18"/>
                <w:szCs w:val="18"/>
                <w:highlight w:val="none"/>
              </w:rPr>
              <w:t>（0～</w:t>
            </w:r>
            <w:r>
              <w:rPr>
                <w:rFonts w:hint="eastAsia" w:ascii="Times New Roman" w:hAnsi="Times New Roman" w:cs="Times New Roman"/>
                <w:color w:val="auto"/>
                <w:sz w:val="18"/>
                <w:szCs w:val="18"/>
                <w:highlight w:val="none"/>
              </w:rPr>
              <w:t>2</w:t>
            </w:r>
            <w:r>
              <w:rPr>
                <w:rFonts w:ascii="Times New Roman" w:hAnsi="Times New Roman" w:cs="Times New Roman"/>
                <w:color w:val="auto"/>
                <w:sz w:val="18"/>
                <w:szCs w:val="18"/>
                <w:highlight w:val="none"/>
              </w:rPr>
              <w:t>分）</w:t>
            </w:r>
          </w:p>
          <w:p>
            <w:pPr>
              <w:numPr>
                <w:ilvl w:val="0"/>
                <w:numId w:val="10"/>
              </w:numP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维护动作完成后需要保证可以观看回放录像并显示人体姿态，优得1分；良得0.5分。(回放能够显示人体关键点位和人体姿态信息的为优。仅能够识别出人体信息的为良。其余情况均不得分。)</w:t>
            </w:r>
          </w:p>
          <w:p>
            <w:pPr>
              <w:numPr>
                <w:ilvl w:val="0"/>
                <w:numId w:val="10"/>
              </w:numPr>
              <w:rPr>
                <w:rFonts w:ascii="宋体" w:hAnsi="宋体" w:cs="宋体"/>
                <w:color w:val="auto"/>
                <w:kern w:val="0"/>
                <w:sz w:val="18"/>
                <w:szCs w:val="18"/>
                <w:highlight w:val="none"/>
              </w:rPr>
            </w:pPr>
            <w:r>
              <w:rPr>
                <w:rFonts w:hint="eastAsia" w:ascii="宋体" w:hAnsi="宋体" w:cs="宋体"/>
                <w:color w:val="auto"/>
                <w:kern w:val="0"/>
                <w:sz w:val="18"/>
                <w:szCs w:val="18"/>
                <w:highlight w:val="none"/>
              </w:rPr>
              <w:t>非授权人员闯入，需要产生告警信息，并录像，需要支持录像回看, 优得0.5分；良得0.3分。（能够产生告警信息并且支持录像回看的为优。仅支持产生告警信息或支持录像回看的为良,其余情况均不得分。）</w:t>
            </w:r>
          </w:p>
          <w:p>
            <w:pPr>
              <w:numPr>
                <w:ilvl w:val="0"/>
                <w:numId w:val="10"/>
              </w:numPr>
              <w:rPr>
                <w:rFonts w:ascii="宋体" w:hAnsi="宋体"/>
                <w:color w:val="auto"/>
                <w:highlight w:val="none"/>
              </w:rPr>
            </w:pPr>
            <w:r>
              <w:rPr>
                <w:rFonts w:hint="eastAsia" w:ascii="宋体" w:hAnsi="宋体" w:cs="宋体"/>
                <w:color w:val="auto"/>
                <w:kern w:val="0"/>
                <w:sz w:val="18"/>
                <w:szCs w:val="18"/>
                <w:highlight w:val="none"/>
              </w:rPr>
              <w:t>当巡检人员触动监测设备，需要产生报警信息并录像回看, 优得0.5分；良得0.3分。（能够识别是否为巡检人员并能够识别违规触碰动作以及查看录像回放的为优。能够识别违规触碰动作以及查看录像回放的为良，其余情况均不得分）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项目实施团队（5分）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投标方或核心设备/系统生产商项目成员常驻现场不少于8人，团队人员知识结构全面且团队人员满足以下人员配置：</w:t>
            </w:r>
          </w:p>
          <w:p>
            <w:pPr>
              <w:pStyle w:val="67"/>
              <w:rPr>
                <w:rFonts w:ascii="Times New Roman" w:hAnsi="Times New Roman" w:cs="Times New Roman"/>
                <w:color w:val="auto"/>
                <w:szCs w:val="21"/>
                <w:highlight w:val="none"/>
              </w:rPr>
            </w:pPr>
            <w:r>
              <w:rPr>
                <w:rFonts w:ascii="Times New Roman" w:hAnsi="Times New Roman" w:cs="Times New Roman"/>
                <w:color w:val="auto"/>
                <w:szCs w:val="21"/>
                <w:highlight w:val="none"/>
              </w:rPr>
              <w:t>1</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 xml:space="preserve"> </w:t>
            </w:r>
            <w:r>
              <w:rPr>
                <w:rFonts w:hint="eastAsia" w:ascii="Times New Roman" w:hAnsi="Times New Roman" w:cs="Times New Roman"/>
                <w:color w:val="auto"/>
                <w:szCs w:val="21"/>
                <w:highlight w:val="none"/>
              </w:rPr>
              <w:t>项目团队负责人同时具备分析仪器高级职称和项目经理专业人员资格认证证书，得</w:t>
            </w:r>
            <w:r>
              <w:rPr>
                <w:rFonts w:ascii="Times New Roman" w:hAnsi="Times New Roman" w:cs="Times New Roman"/>
                <w:color w:val="auto"/>
                <w:szCs w:val="21"/>
                <w:highlight w:val="none"/>
              </w:rPr>
              <w:t>2</w:t>
            </w:r>
            <w:r>
              <w:rPr>
                <w:rFonts w:hint="eastAsia" w:ascii="Times New Roman" w:hAnsi="Times New Roman" w:cs="Times New Roman"/>
                <w:color w:val="auto"/>
                <w:szCs w:val="21"/>
                <w:highlight w:val="none"/>
              </w:rPr>
              <w:t>分，只具备其中之一得1分，无不得分；</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2、项目团队成员具有仪器仪表高级职称的，有</w:t>
            </w:r>
            <w:r>
              <w:rPr>
                <w:rFonts w:ascii="Times New Roman" w:hAnsi="Times New Roman" w:cs="Times New Roman"/>
                <w:color w:val="auto"/>
                <w:szCs w:val="21"/>
                <w:highlight w:val="none"/>
              </w:rPr>
              <w:t>6</w:t>
            </w:r>
            <w:r>
              <w:rPr>
                <w:rFonts w:hint="eastAsia" w:ascii="Times New Roman" w:hAnsi="Times New Roman" w:cs="Times New Roman"/>
                <w:color w:val="auto"/>
                <w:szCs w:val="21"/>
                <w:highlight w:val="none"/>
              </w:rPr>
              <w:t>个及以上人员证书得1分，5-4个得0.5分，</w:t>
            </w:r>
            <w:r>
              <w:rPr>
                <w:rFonts w:ascii="Times New Roman" w:hAnsi="Times New Roman" w:cs="Times New Roman"/>
                <w:color w:val="auto"/>
                <w:szCs w:val="21"/>
                <w:highlight w:val="none"/>
              </w:rPr>
              <w:t>3</w:t>
            </w:r>
            <w:r>
              <w:rPr>
                <w:rFonts w:hint="eastAsia" w:ascii="Times New Roman" w:hAnsi="Times New Roman" w:cs="Times New Roman"/>
                <w:color w:val="auto"/>
                <w:szCs w:val="21"/>
                <w:highlight w:val="none"/>
              </w:rPr>
              <w:t>个及以下不得分；</w:t>
            </w:r>
          </w:p>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3、项目团队成员同时具有劳动安全工程工程师和安全评价师贰级及以上证书的，得</w:t>
            </w:r>
            <w:r>
              <w:rPr>
                <w:rFonts w:ascii="Times New Roman" w:hAnsi="Times New Roman" w:cs="Times New Roman"/>
                <w:color w:val="auto"/>
                <w:szCs w:val="21"/>
                <w:highlight w:val="none"/>
              </w:rPr>
              <w:t>2</w:t>
            </w:r>
            <w:r>
              <w:rPr>
                <w:rFonts w:hint="eastAsia" w:ascii="Times New Roman" w:hAnsi="Times New Roman" w:cs="Times New Roman"/>
                <w:color w:val="auto"/>
                <w:szCs w:val="21"/>
                <w:highlight w:val="none"/>
              </w:rPr>
              <w:t>分；只具备其中之一得1分，无不得分。</w:t>
            </w:r>
          </w:p>
          <w:p>
            <w:pPr>
              <w:pStyle w:val="67"/>
              <w:rPr>
                <w:rFonts w:ascii="Times New Roman" w:hAnsi="Times New Roman" w:cs="Times New Roman"/>
                <w:color w:val="auto"/>
                <w:szCs w:val="21"/>
                <w:highlight w:val="none"/>
              </w:rPr>
            </w:pPr>
            <w:r>
              <w:rPr>
                <w:rFonts w:hint="eastAsia"/>
                <w:color w:val="auto"/>
                <w:szCs w:val="21"/>
                <w:highlight w:val="none"/>
              </w:rPr>
              <w:t>需项目团队人员名单、职称证书复印件、劳动合同复印件、及由相关部门所提供的公司缴纳的</w:t>
            </w:r>
            <w:r>
              <w:rPr>
                <w:color w:val="auto"/>
                <w:szCs w:val="21"/>
                <w:highlight w:val="none"/>
              </w:rPr>
              <w:t>6</w:t>
            </w:r>
            <w:r>
              <w:rPr>
                <w:rFonts w:hint="eastAsia"/>
                <w:color w:val="auto"/>
                <w:szCs w:val="21"/>
                <w:highlight w:val="none"/>
              </w:rPr>
              <w:t>个月以上的社保证明文件，否则不予认定得分。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67"/>
              <w:rPr>
                <w:rFonts w:ascii="Times New Roman" w:hAnsi="Times New Roman" w:cs="Times New Roman"/>
                <w:color w:val="auto"/>
                <w:szCs w:val="21"/>
                <w:highlight w:val="none"/>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运维保障及服务（3分）</w:t>
            </w:r>
          </w:p>
          <w:p>
            <w:pPr>
              <w:pStyle w:val="67"/>
              <w:rPr>
                <w:rFonts w:ascii="Times New Roman" w:hAnsi="Times New Roman" w:cs="Times New Roman"/>
                <w:color w:val="auto"/>
                <w:szCs w:val="21"/>
                <w:highlight w:val="none"/>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67"/>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投标方或核心设备/系统生产商应具有完善的运维保障体系，同时提供省级及以上环保认证部门颁发的自动监控系统（气）运行服务能力认证证书，一级证书得3分；二级证书得1分，其他不得分。（提供证书复印件并加盖公章，未提供不得分）。</w:t>
            </w:r>
          </w:p>
        </w:tc>
      </w:tr>
    </w:tbl>
    <w:p>
      <w:pPr>
        <w:spacing w:line="360" w:lineRule="auto"/>
        <w:rPr>
          <w:rFonts w:ascii="宋体" w:hAnsi="宋体" w:cs="宋体"/>
          <w:b/>
          <w:color w:val="auto"/>
          <w:kern w:val="0"/>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br w:type="page"/>
      </w:r>
    </w:p>
    <w:p>
      <w:pPr>
        <w:pStyle w:val="32"/>
        <w:spacing w:line="360" w:lineRule="auto"/>
        <w:rPr>
          <w:rFonts w:ascii="宋体" w:hAnsi="宋体"/>
          <w:color w:val="auto"/>
          <w:sz w:val="24"/>
          <w:szCs w:val="24"/>
          <w:highlight w:val="none"/>
        </w:rPr>
      </w:pPr>
      <w:bookmarkStart w:id="24" w:name="_Toc497408663"/>
      <w:r>
        <w:rPr>
          <w:rFonts w:hint="eastAsia" w:ascii="宋体" w:hAnsi="宋体"/>
          <w:color w:val="auto"/>
          <w:sz w:val="24"/>
          <w:szCs w:val="24"/>
          <w:highlight w:val="none"/>
        </w:rPr>
        <w:t>第七章 投标文件格式与要求</w:t>
      </w:r>
      <w:bookmarkEnd w:id="24"/>
    </w:p>
    <w:p>
      <w:pPr>
        <w:rPr>
          <w:color w:val="auto"/>
          <w:sz w:val="24"/>
          <w:szCs w:val="24"/>
          <w:highlight w:val="none"/>
        </w:rPr>
      </w:pPr>
    </w:p>
    <w:p>
      <w:pPr>
        <w:ind w:firstLine="723" w:firstLineChars="300"/>
        <w:rPr>
          <w:b/>
          <w:bCs/>
          <w:color w:val="auto"/>
          <w:sz w:val="24"/>
          <w:szCs w:val="24"/>
          <w:highlight w:val="none"/>
        </w:rPr>
      </w:pPr>
      <w:r>
        <w:rPr>
          <w:rFonts w:hint="eastAsia"/>
          <w:b/>
          <w:bCs/>
          <w:color w:val="auto"/>
          <w:sz w:val="24"/>
          <w:szCs w:val="24"/>
          <w:highlight w:val="none"/>
        </w:rPr>
        <w:t>投标人提供投标文件应当按照以下格式及要求进行编制，且应当不少于以下内容。</w:t>
      </w:r>
    </w:p>
    <w:p>
      <w:pPr>
        <w:spacing w:line="360" w:lineRule="auto"/>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spacing w:line="360" w:lineRule="auto"/>
        <w:jc w:val="left"/>
        <w:rPr>
          <w:rFonts w:ascii="宋体" w:hAnsi="宋体"/>
          <w:bCs/>
          <w:color w:val="auto"/>
          <w:kern w:val="0"/>
          <w:sz w:val="24"/>
          <w:szCs w:val="24"/>
          <w:highlight w:val="none"/>
        </w:rPr>
      </w:pPr>
      <w:r>
        <w:rPr>
          <w:rFonts w:hint="eastAsia" w:ascii="宋体" w:hAnsi="宋体"/>
          <w:b/>
          <w:bCs/>
          <w:color w:val="auto"/>
          <w:kern w:val="0"/>
          <w:sz w:val="24"/>
          <w:szCs w:val="24"/>
          <w:highlight w:val="none"/>
        </w:rPr>
        <w:t>格式一</w:t>
      </w:r>
      <w:r>
        <w:rPr>
          <w:rFonts w:hint="eastAsia" w:ascii="宋体" w:hAnsi="宋体"/>
          <w:bCs/>
          <w:color w:val="auto"/>
          <w:kern w:val="0"/>
          <w:sz w:val="24"/>
          <w:szCs w:val="24"/>
          <w:highlight w:val="none"/>
        </w:rPr>
        <w:t>：</w:t>
      </w:r>
    </w:p>
    <w:p>
      <w:pPr>
        <w:spacing w:line="360" w:lineRule="auto"/>
        <w:ind w:firstLine="726" w:firstLineChars="201"/>
        <w:jc w:val="center"/>
        <w:rPr>
          <w:rFonts w:ascii="宋体" w:hAnsi="宋体" w:cs="宋体"/>
          <w:b/>
          <w:bCs/>
          <w:color w:val="auto"/>
          <w:sz w:val="36"/>
          <w:szCs w:val="36"/>
          <w:highlight w:val="none"/>
        </w:rPr>
      </w:pPr>
    </w:p>
    <w:p>
      <w:pPr>
        <w:spacing w:line="360" w:lineRule="auto"/>
        <w:ind w:firstLine="726" w:firstLineChars="201"/>
        <w:jc w:val="center"/>
        <w:rPr>
          <w:rFonts w:ascii="宋体" w:hAnsi="宋体" w:cs="宋体"/>
          <w:b/>
          <w:bCs/>
          <w:color w:val="auto"/>
          <w:sz w:val="36"/>
          <w:szCs w:val="36"/>
          <w:highlight w:val="none"/>
        </w:rPr>
      </w:pPr>
    </w:p>
    <w:p>
      <w:pPr>
        <w:spacing w:line="360" w:lineRule="auto"/>
        <w:ind w:firstLine="726" w:firstLineChars="201"/>
        <w:jc w:val="center"/>
        <w:rPr>
          <w:rFonts w:ascii="宋体" w:hAnsi="宋体"/>
          <w:b/>
          <w:bCs/>
          <w:color w:val="auto"/>
          <w:sz w:val="36"/>
          <w:szCs w:val="36"/>
          <w:highlight w:val="none"/>
        </w:rPr>
      </w:pPr>
      <w:r>
        <w:rPr>
          <w:rFonts w:hint="eastAsia" w:ascii="宋体" w:hAnsi="宋体" w:cs="宋体"/>
          <w:b/>
          <w:bCs/>
          <w:color w:val="auto"/>
          <w:sz w:val="36"/>
          <w:szCs w:val="36"/>
          <w:highlight w:val="none"/>
        </w:rPr>
        <w:t>投标文件封面</w:t>
      </w:r>
    </w:p>
    <w:p>
      <w:pPr>
        <w:spacing w:line="360" w:lineRule="auto"/>
        <w:ind w:firstLine="1049" w:firstLineChars="201"/>
        <w:jc w:val="center"/>
        <w:rPr>
          <w:rFonts w:ascii="宋体" w:hAnsi="宋体"/>
          <w:b/>
          <w:bCs/>
          <w:color w:val="auto"/>
          <w:sz w:val="52"/>
          <w:szCs w:val="52"/>
          <w:highlight w:val="none"/>
        </w:rPr>
      </w:pPr>
    </w:p>
    <w:p>
      <w:pPr>
        <w:spacing w:line="360" w:lineRule="auto"/>
        <w:ind w:firstLine="1049" w:firstLineChars="201"/>
        <w:jc w:val="center"/>
        <w:rPr>
          <w:rFonts w:ascii="宋体" w:hAnsi="宋体"/>
          <w:b/>
          <w:bCs/>
          <w:color w:val="auto"/>
          <w:kern w:val="0"/>
          <w:sz w:val="52"/>
          <w:szCs w:val="52"/>
          <w:highlight w:val="none"/>
        </w:rPr>
      </w:pPr>
      <w:r>
        <w:rPr>
          <w:rFonts w:hint="eastAsia" w:ascii="宋体" w:hAnsi="宋体" w:cs="宋体"/>
          <w:b/>
          <w:bCs/>
          <w:color w:val="auto"/>
          <w:kern w:val="0"/>
          <w:sz w:val="52"/>
          <w:szCs w:val="52"/>
          <w:highlight w:val="none"/>
        </w:rPr>
        <w:t>（项目名称）</w:t>
      </w:r>
    </w:p>
    <w:p>
      <w:pPr>
        <w:spacing w:line="360" w:lineRule="auto"/>
        <w:ind w:firstLine="1049" w:firstLineChars="201"/>
        <w:jc w:val="center"/>
        <w:rPr>
          <w:rFonts w:ascii="宋体" w:hAnsi="宋体"/>
          <w:b/>
          <w:bCs/>
          <w:color w:val="auto"/>
          <w:kern w:val="0"/>
          <w:sz w:val="52"/>
          <w:szCs w:val="52"/>
          <w:highlight w:val="none"/>
        </w:rPr>
      </w:pPr>
      <w:r>
        <w:rPr>
          <w:rFonts w:hint="eastAsia" w:ascii="宋体" w:hAnsi="宋体" w:cs="宋体"/>
          <w:b/>
          <w:bCs/>
          <w:color w:val="auto"/>
          <w:kern w:val="0"/>
          <w:sz w:val="52"/>
          <w:szCs w:val="52"/>
          <w:highlight w:val="none"/>
        </w:rPr>
        <w:t>投标文件</w:t>
      </w:r>
    </w:p>
    <w:p>
      <w:pPr>
        <w:spacing w:line="360" w:lineRule="auto"/>
        <w:ind w:firstLine="723" w:firstLineChars="201"/>
        <w:jc w:val="center"/>
        <w:rPr>
          <w:rFonts w:ascii="宋体" w:hAnsi="宋体"/>
          <w:b/>
          <w:bCs/>
          <w:color w:val="auto"/>
          <w:kern w:val="0"/>
          <w:sz w:val="36"/>
          <w:szCs w:val="36"/>
          <w:highlight w:val="none"/>
        </w:rPr>
      </w:pPr>
      <w:r>
        <w:rPr>
          <w:rFonts w:hint="eastAsia" w:ascii="宋体" w:hAnsi="宋体" w:cs="楷体_GB2312"/>
          <w:color w:val="auto"/>
          <w:sz w:val="36"/>
          <w:szCs w:val="36"/>
          <w:highlight w:val="none"/>
        </w:rPr>
        <w:t>（正本</w:t>
      </w:r>
      <w:r>
        <w:rPr>
          <w:rFonts w:ascii="宋体" w:hAnsi="宋体" w:cs="楷体_GB2312"/>
          <w:color w:val="auto"/>
          <w:sz w:val="36"/>
          <w:szCs w:val="36"/>
          <w:highlight w:val="none"/>
        </w:rPr>
        <w:t>/</w:t>
      </w:r>
      <w:r>
        <w:rPr>
          <w:rFonts w:hint="eastAsia" w:ascii="宋体" w:hAnsi="宋体" w:cs="楷体_GB2312"/>
          <w:color w:val="auto"/>
          <w:sz w:val="36"/>
          <w:szCs w:val="36"/>
          <w:highlight w:val="none"/>
        </w:rPr>
        <w:t>副本）</w:t>
      </w:r>
    </w:p>
    <w:p>
      <w:pPr>
        <w:spacing w:line="360" w:lineRule="auto"/>
        <w:ind w:firstLine="723" w:firstLineChars="201"/>
        <w:rPr>
          <w:rFonts w:ascii="宋体" w:hAnsi="宋体"/>
          <w:color w:val="auto"/>
          <w:sz w:val="36"/>
          <w:szCs w:val="36"/>
          <w:highlight w:val="none"/>
        </w:rPr>
      </w:pPr>
      <w:r>
        <w:rPr>
          <w:rFonts w:hint="eastAsia" w:ascii="宋体" w:hAnsi="宋体" w:cs="楷体_GB2312"/>
          <w:color w:val="auto"/>
          <w:sz w:val="36"/>
          <w:szCs w:val="36"/>
          <w:highlight w:val="none"/>
        </w:rPr>
        <w:t>项目编号：</w:t>
      </w:r>
    </w:p>
    <w:p>
      <w:pPr>
        <w:spacing w:line="360" w:lineRule="auto"/>
        <w:ind w:firstLine="723" w:firstLineChars="201"/>
        <w:rPr>
          <w:rFonts w:ascii="宋体" w:hAnsi="宋体"/>
          <w:b/>
          <w:bCs/>
          <w:color w:val="auto"/>
          <w:kern w:val="0"/>
          <w:sz w:val="36"/>
          <w:szCs w:val="36"/>
          <w:highlight w:val="none"/>
        </w:rPr>
      </w:pPr>
      <w:r>
        <w:rPr>
          <w:rFonts w:hint="eastAsia" w:ascii="宋体" w:hAnsi="宋体" w:cs="楷体_GB2312"/>
          <w:color w:val="auto"/>
          <w:sz w:val="36"/>
          <w:szCs w:val="36"/>
          <w:highlight w:val="none"/>
        </w:rPr>
        <w:t>包号：第包</w:t>
      </w:r>
      <w:r>
        <w:rPr>
          <w:rFonts w:hint="eastAsia" w:ascii="宋体" w:hAnsi="宋体" w:cs="方正楷体简体"/>
          <w:color w:val="auto"/>
          <w:szCs w:val="28"/>
          <w:highlight w:val="none"/>
        </w:rPr>
        <w:t>（</w:t>
      </w:r>
      <w:r>
        <w:rPr>
          <w:rFonts w:hint="eastAsia" w:ascii="宋体" w:hAnsi="宋体" w:cs="宋体"/>
          <w:color w:val="auto"/>
          <w:kern w:val="0"/>
          <w:szCs w:val="28"/>
          <w:highlight w:val="none"/>
        </w:rPr>
        <w:t>项目无分包时不需填写）</w:t>
      </w:r>
    </w:p>
    <w:p>
      <w:pPr>
        <w:spacing w:line="360" w:lineRule="auto"/>
        <w:rPr>
          <w:rFonts w:ascii="宋体" w:hAnsi="宋体"/>
          <w:color w:val="auto"/>
          <w:kern w:val="0"/>
          <w:szCs w:val="28"/>
          <w:highlight w:val="none"/>
        </w:rPr>
      </w:pPr>
    </w:p>
    <w:p>
      <w:pPr>
        <w:spacing w:line="360" w:lineRule="auto"/>
        <w:rPr>
          <w:rFonts w:ascii="宋体" w:hAnsi="宋体"/>
          <w:color w:val="auto"/>
          <w:kern w:val="0"/>
          <w:szCs w:val="28"/>
          <w:highlight w:val="none"/>
        </w:rPr>
      </w:pPr>
    </w:p>
    <w:p>
      <w:pPr>
        <w:spacing w:line="360" w:lineRule="auto"/>
        <w:ind w:firstLine="723" w:firstLineChars="201"/>
        <w:jc w:val="center"/>
        <w:rPr>
          <w:rFonts w:ascii="宋体" w:hAnsi="宋体"/>
          <w:color w:val="auto"/>
          <w:sz w:val="36"/>
          <w:szCs w:val="36"/>
          <w:highlight w:val="none"/>
        </w:rPr>
      </w:pPr>
      <w:r>
        <w:rPr>
          <w:rFonts w:hint="eastAsia" w:ascii="宋体" w:hAnsi="宋体" w:cs="楷体_GB2312"/>
          <w:color w:val="auto"/>
          <w:sz w:val="36"/>
          <w:szCs w:val="36"/>
          <w:highlight w:val="none"/>
        </w:rPr>
        <w:t>（投标人名称）</w:t>
      </w:r>
    </w:p>
    <w:p>
      <w:pPr>
        <w:spacing w:line="360" w:lineRule="auto"/>
        <w:ind w:firstLine="723" w:firstLineChars="201"/>
        <w:jc w:val="center"/>
        <w:rPr>
          <w:rFonts w:ascii="宋体" w:hAnsi="宋体"/>
          <w:color w:val="auto"/>
          <w:sz w:val="36"/>
          <w:szCs w:val="36"/>
          <w:highlight w:val="none"/>
        </w:rPr>
      </w:pPr>
    </w:p>
    <w:p>
      <w:pPr>
        <w:spacing w:line="360" w:lineRule="auto"/>
        <w:ind w:firstLine="723" w:firstLineChars="201"/>
        <w:jc w:val="center"/>
        <w:rPr>
          <w:rFonts w:ascii="宋体" w:hAnsi="宋体"/>
          <w:color w:val="auto"/>
          <w:sz w:val="36"/>
          <w:szCs w:val="36"/>
          <w:highlight w:val="none"/>
        </w:rPr>
      </w:pPr>
    </w:p>
    <w:p>
      <w:pPr>
        <w:spacing w:line="360" w:lineRule="auto"/>
        <w:ind w:firstLine="723" w:firstLineChars="201"/>
        <w:jc w:val="center"/>
        <w:rPr>
          <w:rFonts w:ascii="宋体" w:hAnsi="宋体"/>
          <w:color w:val="auto"/>
          <w:sz w:val="36"/>
          <w:szCs w:val="36"/>
          <w:highlight w:val="none"/>
        </w:rPr>
      </w:pPr>
      <w:r>
        <w:rPr>
          <w:rFonts w:hint="eastAsia" w:ascii="宋体" w:hAnsi="宋体" w:cs="楷体_GB2312"/>
          <w:color w:val="auto"/>
          <w:sz w:val="36"/>
          <w:szCs w:val="36"/>
          <w:highlight w:val="none"/>
        </w:rPr>
        <w:t>年月日</w:t>
      </w:r>
    </w:p>
    <w:p>
      <w:pPr>
        <w:spacing w:line="360" w:lineRule="auto"/>
        <w:rPr>
          <w:rFonts w:ascii="宋体" w:hAnsi="宋体"/>
          <w:b/>
          <w:color w:val="auto"/>
          <w:sz w:val="24"/>
          <w:szCs w:val="24"/>
          <w:highlight w:val="none"/>
        </w:rPr>
      </w:pPr>
      <w:r>
        <w:rPr>
          <w:rFonts w:ascii="宋体" w:hAnsi="宋体"/>
          <w:b/>
          <w:color w:val="auto"/>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 xml:space="preserve">格式二：                 </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投标文件目录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一. 投标承诺书………………………………………………………</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 开标一览表……………………………………………………</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三. 法定代表人身份证明……………………………………………………</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授权委托人身份证明</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授权委托书</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六.</w:t>
      </w:r>
      <w:r>
        <w:rPr>
          <w:rFonts w:ascii="宋体" w:hAnsi="宋体"/>
          <w:bCs/>
          <w:color w:val="auto"/>
          <w:sz w:val="24"/>
          <w:szCs w:val="24"/>
          <w:highlight w:val="none"/>
        </w:rPr>
        <w:t>投标保证金</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bCs/>
          <w:color w:val="auto"/>
          <w:sz w:val="24"/>
          <w:szCs w:val="24"/>
          <w:highlight w:val="none"/>
        </w:rPr>
        <w:t>联合体协议书</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八.投标货物分项报价明细表……………………………………</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九.投标货物情况介绍表</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十.技术规格响应表………………………………………………</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十一.售后服务承诺及方案  ………………………………………</w:t>
      </w:r>
      <w:r>
        <w:rPr>
          <w:rFonts w:ascii="宋体" w:hAnsi="宋体"/>
          <w:color w:val="auto"/>
          <w:sz w:val="24"/>
          <w:szCs w:val="24"/>
          <w:highlight w:val="none"/>
        </w:rPr>
        <w:t>…………</w:t>
      </w:r>
      <w:r>
        <w:rPr>
          <w:rFonts w:hint="eastAsia" w:ascii="宋体" w:hAnsi="宋体"/>
          <w:color w:val="auto"/>
          <w:sz w:val="24"/>
          <w:szCs w:val="24"/>
          <w:highlight w:val="none"/>
        </w:rPr>
        <w:t>…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十二.商务规格响应表…………………………………………</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十三.投标人业绩情况表…………………</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十四.投标人基本情况表……………………………………………</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十五.上一年度财务会计制度… </w:t>
      </w:r>
      <w:r>
        <w:rPr>
          <w:rFonts w:ascii="宋体" w:hAnsi="宋体"/>
          <w:color w:val="auto"/>
          <w:sz w:val="24"/>
          <w:szCs w:val="24"/>
          <w:highlight w:val="none"/>
        </w:rPr>
        <w:t>…………………………………………………</w:t>
      </w:r>
      <w:r>
        <w:rPr>
          <w:rFonts w:hint="eastAsia" w:ascii="宋体" w:hAnsi="宋体"/>
          <w:color w:val="auto"/>
          <w:sz w:val="24"/>
          <w:szCs w:val="24"/>
          <w:highlight w:val="none"/>
        </w:rPr>
        <w:t>（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十六.缴纳税收的凭据</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十七.缴纳社会保险的凭据………………………………………</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autoSpaceDE w:val="0"/>
        <w:autoSpaceDN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十八.参加政府采购前三年内在经营活动中无重大违法记录书面声明</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十九.政府采购政策情况表</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二十.中小企业声明函</w:t>
      </w:r>
      <w:r>
        <w:rPr>
          <w:rFonts w:ascii="宋体" w:hAnsi="宋体"/>
          <w:color w:val="auto"/>
          <w:sz w:val="24"/>
          <w:szCs w:val="24"/>
          <w:highlight w:val="none"/>
        </w:rPr>
        <w:t>……………………………………………………………</w:t>
      </w:r>
      <w:r>
        <w:rPr>
          <w:rFonts w:hint="eastAsia" w:ascii="宋体" w:hAnsi="宋体"/>
          <w:color w:val="auto"/>
          <w:sz w:val="24"/>
          <w:szCs w:val="24"/>
          <w:highlight w:val="none"/>
        </w:rPr>
        <w:t>（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二十一.残疾人福利性单位声明函</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二十二.各类证明材料…………………………………………………</w:t>
      </w:r>
      <w:r>
        <w:rPr>
          <w:rFonts w:ascii="宋体" w:hAnsi="宋体"/>
          <w:color w:val="auto"/>
          <w:sz w:val="24"/>
          <w:szCs w:val="24"/>
          <w:highlight w:val="none"/>
        </w:rPr>
        <w:t>…………</w:t>
      </w:r>
      <w:r>
        <w:rPr>
          <w:rFonts w:hint="eastAsia" w:ascii="宋体" w:hAnsi="宋体"/>
          <w:color w:val="auto"/>
          <w:sz w:val="24"/>
          <w:szCs w:val="24"/>
          <w:highlight w:val="none"/>
        </w:rPr>
        <w:t xml:space="preserve"> （ ）</w:t>
      </w:r>
    </w:p>
    <w:p>
      <w:pPr>
        <w:spacing w:line="360" w:lineRule="auto"/>
        <w:rPr>
          <w:rFonts w:ascii="宋体" w:hAnsi="宋体"/>
          <w:b/>
          <w:color w:val="auto"/>
          <w:sz w:val="24"/>
          <w:szCs w:val="24"/>
          <w:highlight w:val="none"/>
        </w:rPr>
      </w:pPr>
      <w:bookmarkStart w:id="25" w:name="_Toc482026547"/>
      <w:r>
        <w:rPr>
          <w:rFonts w:ascii="宋体" w:hAnsi="宋体"/>
          <w:b/>
          <w:color w:val="auto"/>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格式三：</w:t>
      </w:r>
      <w:bookmarkEnd w:id="25"/>
    </w:p>
    <w:p>
      <w:pPr>
        <w:spacing w:line="360" w:lineRule="auto"/>
        <w:ind w:firstLine="3975" w:firstLineChars="1650"/>
        <w:jc w:val="left"/>
        <w:rPr>
          <w:rFonts w:ascii="宋体" w:hAnsi="宋体"/>
          <w:b/>
          <w:bCs/>
          <w:color w:val="auto"/>
          <w:sz w:val="24"/>
          <w:szCs w:val="24"/>
          <w:highlight w:val="none"/>
        </w:rPr>
      </w:pPr>
      <w:r>
        <w:rPr>
          <w:rFonts w:hint="eastAsia" w:ascii="宋体" w:hAnsi="宋体"/>
          <w:b/>
          <w:bCs/>
          <w:color w:val="auto"/>
          <w:sz w:val="24"/>
          <w:szCs w:val="24"/>
          <w:highlight w:val="none"/>
        </w:rPr>
        <w:t>投标承诺书</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（采购单位名称）： </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1.按照已收到的项目（项目编号：）招标文件要求，经我方</w:t>
      </w:r>
      <w:r>
        <w:rPr>
          <w:rFonts w:hint="eastAsia" w:ascii="宋体" w:hAnsi="宋体"/>
          <w:color w:val="auto"/>
          <w:sz w:val="24"/>
          <w:szCs w:val="24"/>
          <w:highlight w:val="none"/>
          <w:u w:val="single"/>
        </w:rPr>
        <w:t xml:space="preserve"> （投标人名称） </w:t>
      </w:r>
      <w:r>
        <w:rPr>
          <w:rFonts w:hint="eastAsia" w:ascii="宋体" w:hAnsi="宋体"/>
          <w:color w:val="auto"/>
          <w:sz w:val="24"/>
          <w:szCs w:val="24"/>
          <w:highlight w:val="none"/>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highlight w:val="none"/>
        </w:rPr>
      </w:pPr>
      <w:r>
        <w:rPr>
          <w:rFonts w:hint="eastAsia" w:ascii="宋体" w:hAnsi="宋体"/>
          <w:color w:val="auto"/>
          <w:sz w:val="24"/>
          <w:szCs w:val="24"/>
          <w:highlight w:val="none"/>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4. 我方将严格遵守《中华人民共和国政府采购法》、《</w:t>
      </w:r>
      <w:r>
        <w:rPr>
          <w:rFonts w:ascii="宋体" w:hAnsi="宋体"/>
          <w:color w:val="auto"/>
          <w:sz w:val="24"/>
          <w:szCs w:val="24"/>
          <w:highlight w:val="none"/>
        </w:rPr>
        <w:t>中华人民共和国合同法</w:t>
      </w:r>
      <w:r>
        <w:rPr>
          <w:rFonts w:hint="eastAsia" w:ascii="宋体" w:hAnsi="宋体"/>
          <w:color w:val="auto"/>
          <w:sz w:val="24"/>
          <w:szCs w:val="24"/>
          <w:highlight w:val="none"/>
        </w:rPr>
        <w:t>》等有关法律、法规规定，如有违反，无条件接受相关部门的处罚；</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5. 我方同意提供</w:t>
      </w:r>
      <w:r>
        <w:rPr>
          <w:rFonts w:hint="eastAsia" w:ascii="宋体" w:hAnsi="宋体"/>
          <w:color w:val="auto"/>
          <w:kern w:val="0"/>
          <w:sz w:val="24"/>
          <w:szCs w:val="24"/>
          <w:highlight w:val="none"/>
        </w:rPr>
        <w:t>按照贵方</w:t>
      </w:r>
      <w:r>
        <w:rPr>
          <w:rFonts w:hint="eastAsia" w:ascii="宋体" w:hAnsi="宋体"/>
          <w:color w:val="auto"/>
          <w:sz w:val="24"/>
          <w:szCs w:val="24"/>
          <w:highlight w:val="none"/>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（1）中标后，无正当理由放弃中标资格；</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（2）中标后，无正当理由不与招标人签订合同；</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（3）在签订合同时，向招标人提出附加条件；</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（4）不按照招标文件要求提交履约保证金；</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（5）要求修改、补充和撤销投标文件的实质性内容；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（6）要求更改招标文件和中标结果公告的实质性内容；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（7）法律法规和招标文件规定的其他情形。</w:t>
      </w:r>
    </w:p>
    <w:p>
      <w:pPr>
        <w:autoSpaceDE w:val="0"/>
        <w:autoSpaceDN w:val="0"/>
        <w:adjustRightInd w:val="0"/>
        <w:spacing w:line="360" w:lineRule="auto"/>
        <w:ind w:right="246" w:firstLine="720" w:firstLineChars="300"/>
        <w:rPr>
          <w:rFonts w:ascii="宋体" w:hAnsi="宋体"/>
          <w:color w:val="auto"/>
          <w:sz w:val="24"/>
          <w:szCs w:val="24"/>
          <w:highlight w:val="none"/>
        </w:rPr>
      </w:pPr>
      <w:r>
        <w:rPr>
          <w:rFonts w:hint="eastAsia" w:ascii="宋体" w:hAnsi="宋体"/>
          <w:color w:val="auto"/>
          <w:kern w:val="0"/>
          <w:sz w:val="24"/>
          <w:szCs w:val="24"/>
          <w:highlight w:val="none"/>
        </w:rPr>
        <w:t xml:space="preserve">详细地址：                        </w:t>
      </w:r>
      <w:r>
        <w:rPr>
          <w:rFonts w:hint="eastAsia" w:ascii="宋体" w:hAnsi="宋体"/>
          <w:color w:val="auto"/>
          <w:sz w:val="24"/>
          <w:szCs w:val="24"/>
          <w:highlight w:val="none"/>
        </w:rPr>
        <w:t>邮政编码：</w:t>
      </w:r>
    </w:p>
    <w:p>
      <w:pPr>
        <w:autoSpaceDE w:val="0"/>
        <w:autoSpaceDN w:val="0"/>
        <w:adjustRightInd w:val="0"/>
        <w:spacing w:line="360" w:lineRule="auto"/>
        <w:ind w:right="246" w:firstLine="720" w:firstLineChars="300"/>
        <w:rPr>
          <w:rFonts w:ascii="宋体" w:hAnsi="宋体"/>
          <w:color w:val="auto"/>
          <w:kern w:val="0"/>
          <w:sz w:val="24"/>
          <w:szCs w:val="24"/>
          <w:highlight w:val="none"/>
        </w:rPr>
      </w:pPr>
      <w:r>
        <w:rPr>
          <w:rFonts w:hint="eastAsia" w:ascii="宋体" w:hAnsi="宋体"/>
          <w:color w:val="auto"/>
          <w:kern w:val="0"/>
          <w:sz w:val="24"/>
          <w:szCs w:val="24"/>
          <w:highlight w:val="none"/>
        </w:rPr>
        <w:t>电    话：                        电子函件：</w:t>
      </w:r>
    </w:p>
    <w:p>
      <w:pPr>
        <w:autoSpaceDE w:val="0"/>
        <w:autoSpaceDN w:val="0"/>
        <w:adjustRightInd w:val="0"/>
        <w:spacing w:line="360" w:lineRule="auto"/>
        <w:ind w:right="246" w:firstLine="720" w:firstLineChars="300"/>
        <w:rPr>
          <w:rFonts w:ascii="宋体" w:hAnsi="宋体"/>
          <w:color w:val="auto"/>
          <w:sz w:val="24"/>
          <w:szCs w:val="24"/>
          <w:highlight w:val="none"/>
        </w:rPr>
      </w:pPr>
      <w:r>
        <w:rPr>
          <w:rFonts w:hint="eastAsia" w:ascii="宋体" w:hAnsi="宋体"/>
          <w:color w:val="auto"/>
          <w:sz w:val="24"/>
          <w:szCs w:val="24"/>
          <w:highlight w:val="none"/>
        </w:rPr>
        <w:t>投标人开户银行：                  账号/行号：</w:t>
      </w:r>
    </w:p>
    <w:p>
      <w:pPr>
        <w:adjustRightInd w:val="0"/>
        <w:snapToGrid w:val="0"/>
        <w:spacing w:line="360" w:lineRule="auto"/>
        <w:ind w:firstLine="720" w:firstLineChars="300"/>
        <w:rPr>
          <w:rFonts w:ascii="宋体" w:hAnsi="宋体"/>
          <w:color w:val="auto"/>
          <w:sz w:val="24"/>
          <w:szCs w:val="24"/>
          <w:highlight w:val="none"/>
        </w:rPr>
      </w:pPr>
      <w:r>
        <w:rPr>
          <w:rFonts w:hint="eastAsia" w:ascii="宋体" w:hAnsi="宋体"/>
          <w:color w:val="auto"/>
          <w:sz w:val="24"/>
          <w:szCs w:val="24"/>
          <w:highlight w:val="none"/>
        </w:rPr>
        <w:t>投标人法人签字：</w:t>
      </w:r>
    </w:p>
    <w:p>
      <w:pPr>
        <w:widowControl/>
        <w:ind w:firstLine="720" w:firstLineChars="300"/>
        <w:jc w:val="left"/>
        <w:rPr>
          <w:rFonts w:ascii="宋体" w:hAnsi="宋体"/>
          <w:color w:val="auto"/>
          <w:sz w:val="24"/>
          <w:szCs w:val="24"/>
          <w:highlight w:val="none"/>
        </w:rPr>
      </w:pPr>
      <w:r>
        <w:rPr>
          <w:rFonts w:hint="eastAsia" w:ascii="宋体" w:hAnsi="宋体"/>
          <w:color w:val="auto"/>
          <w:sz w:val="24"/>
          <w:szCs w:val="24"/>
          <w:highlight w:val="none"/>
        </w:rPr>
        <w:t>投标人法人授权代表签字：（加盖公章）              年 月  日</w:t>
      </w:r>
      <w:r>
        <w:rPr>
          <w:rFonts w:ascii="宋体" w:hAnsi="宋体"/>
          <w:color w:val="auto"/>
          <w:sz w:val="24"/>
          <w:szCs w:val="24"/>
          <w:highlight w:val="none"/>
        </w:rPr>
        <w:br w:type="page"/>
      </w:r>
    </w:p>
    <w:p>
      <w:pPr>
        <w:spacing w:line="360" w:lineRule="auto"/>
        <w:rPr>
          <w:rFonts w:ascii="宋体" w:hAnsi="宋体"/>
          <w:b/>
          <w:bCs/>
          <w:color w:val="auto"/>
          <w:kern w:val="0"/>
          <w:sz w:val="24"/>
          <w:szCs w:val="24"/>
          <w:highlight w:val="none"/>
        </w:rPr>
      </w:pPr>
      <w:r>
        <w:rPr>
          <w:rFonts w:hint="eastAsia" w:hAnsi="宋体"/>
          <w:b/>
          <w:bCs/>
          <w:color w:val="auto"/>
          <w:sz w:val="24"/>
          <w:szCs w:val="24"/>
          <w:highlight w:val="none"/>
        </w:rPr>
        <w:t>格式四：</w:t>
      </w:r>
    </w:p>
    <w:p>
      <w:pPr>
        <w:adjustRightInd w:val="0"/>
        <w:snapToGrid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开标一览表</w:t>
      </w:r>
    </w:p>
    <w:p>
      <w:pPr>
        <w:pStyle w:val="44"/>
        <w:spacing w:line="360" w:lineRule="auto"/>
        <w:ind w:left="57" w:right="57" w:firstLine="57"/>
        <w:rPr>
          <w:rFonts w:hAnsi="宋体"/>
          <w:bCs/>
          <w:color w:val="auto"/>
          <w:sz w:val="24"/>
          <w:szCs w:val="24"/>
          <w:highlight w:val="none"/>
        </w:rPr>
      </w:pPr>
    </w:p>
    <w:p>
      <w:pPr>
        <w:pStyle w:val="44"/>
        <w:spacing w:line="360" w:lineRule="auto"/>
        <w:ind w:left="57" w:right="57" w:firstLine="57"/>
        <w:rPr>
          <w:rFonts w:hAnsi="宋体"/>
          <w:color w:val="auto"/>
          <w:sz w:val="24"/>
          <w:szCs w:val="24"/>
          <w:highlight w:val="none"/>
        </w:rPr>
      </w:pPr>
      <w:r>
        <w:rPr>
          <w:rFonts w:hint="eastAsia" w:hAnsi="宋体"/>
          <w:color w:val="auto"/>
          <w:sz w:val="24"/>
          <w:szCs w:val="24"/>
          <w:highlight w:val="none"/>
        </w:rPr>
        <w:t>投标人名称（加盖公章）</w:t>
      </w:r>
    </w:p>
    <w:p>
      <w:pPr>
        <w:spacing w:line="360" w:lineRule="auto"/>
        <w:ind w:firstLine="120" w:firstLineChars="50"/>
        <w:rPr>
          <w:rFonts w:ascii="宋体" w:hAnsi="宋体"/>
          <w:color w:val="auto"/>
          <w:sz w:val="24"/>
          <w:szCs w:val="24"/>
          <w:highlight w:val="none"/>
        </w:rPr>
      </w:pPr>
      <w:r>
        <w:rPr>
          <w:rFonts w:hint="eastAsia" w:ascii="宋体" w:hAnsi="宋体"/>
          <w:color w:val="auto"/>
          <w:sz w:val="24"/>
          <w:szCs w:val="24"/>
          <w:highlight w:val="none"/>
        </w:rPr>
        <w:t>项目名称、包号：                          项目编号：</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auto"/>
                <w:sz w:val="24"/>
                <w:szCs w:val="24"/>
                <w:highlight w:val="none"/>
              </w:rPr>
            </w:pPr>
            <w:r>
              <w:rPr>
                <w:rFonts w:hint="eastAsia" w:ascii="宋体" w:hAnsi="宋体"/>
                <w:color w:val="auto"/>
                <w:sz w:val="24"/>
                <w:szCs w:val="24"/>
                <w:highlight w:val="none"/>
              </w:rPr>
              <w:t>投标总报价（元）</w:t>
            </w:r>
          </w:p>
        </w:tc>
        <w:tc>
          <w:tcPr>
            <w:tcW w:w="1997"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交付使用时间</w:t>
            </w:r>
          </w:p>
        </w:tc>
        <w:tc>
          <w:tcPr>
            <w:tcW w:w="1997"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售后服务网点</w:t>
            </w:r>
          </w:p>
        </w:tc>
        <w:tc>
          <w:tcPr>
            <w:tcW w:w="1877"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大写：</w:t>
            </w:r>
          </w:p>
        </w:tc>
        <w:tc>
          <w:tcPr>
            <w:tcW w:w="1997" w:type="dxa"/>
            <w:vMerge w:val="restart"/>
            <w:vAlign w:val="center"/>
          </w:tcPr>
          <w:p>
            <w:pPr>
              <w:spacing w:line="360" w:lineRule="auto"/>
              <w:ind w:left="57" w:right="57" w:firstLine="57"/>
              <w:jc w:val="center"/>
              <w:outlineLvl w:val="0"/>
              <w:rPr>
                <w:rFonts w:ascii="宋体" w:hAnsi="宋体"/>
                <w:color w:val="auto"/>
                <w:sz w:val="24"/>
                <w:szCs w:val="24"/>
                <w:highlight w:val="none"/>
              </w:rPr>
            </w:pPr>
          </w:p>
        </w:tc>
        <w:tc>
          <w:tcPr>
            <w:tcW w:w="1997" w:type="dxa"/>
            <w:vMerge w:val="restart"/>
            <w:vAlign w:val="center"/>
          </w:tcPr>
          <w:p>
            <w:pPr>
              <w:spacing w:line="360" w:lineRule="auto"/>
              <w:ind w:left="57" w:right="57" w:firstLine="57"/>
              <w:jc w:val="center"/>
              <w:outlineLvl w:val="0"/>
              <w:rPr>
                <w:rFonts w:ascii="宋体" w:hAnsi="宋体"/>
                <w:color w:val="auto"/>
                <w:sz w:val="24"/>
                <w:szCs w:val="24"/>
                <w:highlight w:val="none"/>
              </w:rPr>
            </w:pPr>
          </w:p>
        </w:tc>
        <w:tc>
          <w:tcPr>
            <w:tcW w:w="1877" w:type="dxa"/>
            <w:vMerge w:val="restart"/>
          </w:tcPr>
          <w:p>
            <w:pPr>
              <w:spacing w:line="360" w:lineRule="auto"/>
              <w:ind w:left="57" w:right="57" w:firstLine="57"/>
              <w:jc w:val="center"/>
              <w:outlineLvl w:val="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小写：</w:t>
            </w:r>
          </w:p>
        </w:tc>
        <w:tc>
          <w:tcPr>
            <w:tcW w:w="1997" w:type="dxa"/>
            <w:vMerge w:val="continue"/>
            <w:vAlign w:val="center"/>
          </w:tcPr>
          <w:p>
            <w:pPr>
              <w:spacing w:line="360" w:lineRule="auto"/>
              <w:ind w:left="57" w:right="57" w:firstLine="57"/>
              <w:jc w:val="center"/>
              <w:outlineLvl w:val="0"/>
              <w:rPr>
                <w:rFonts w:ascii="宋体" w:hAnsi="宋体"/>
                <w:color w:val="auto"/>
                <w:sz w:val="24"/>
                <w:szCs w:val="24"/>
                <w:highlight w:val="none"/>
              </w:rPr>
            </w:pPr>
          </w:p>
        </w:tc>
        <w:tc>
          <w:tcPr>
            <w:tcW w:w="1997" w:type="dxa"/>
            <w:vMerge w:val="continue"/>
            <w:vAlign w:val="center"/>
          </w:tcPr>
          <w:p>
            <w:pPr>
              <w:spacing w:line="360" w:lineRule="auto"/>
              <w:ind w:left="57" w:right="57" w:firstLine="57"/>
              <w:jc w:val="center"/>
              <w:outlineLvl w:val="0"/>
              <w:rPr>
                <w:rFonts w:ascii="宋体" w:hAnsi="宋体"/>
                <w:color w:val="auto"/>
                <w:sz w:val="24"/>
                <w:szCs w:val="24"/>
                <w:highlight w:val="none"/>
              </w:rPr>
            </w:pPr>
          </w:p>
        </w:tc>
        <w:tc>
          <w:tcPr>
            <w:tcW w:w="1877" w:type="dxa"/>
            <w:vMerge w:val="continue"/>
          </w:tcPr>
          <w:p>
            <w:pPr>
              <w:spacing w:line="360" w:lineRule="auto"/>
              <w:ind w:left="57" w:right="57" w:firstLine="57"/>
              <w:jc w:val="center"/>
              <w:outlineLvl w:val="0"/>
              <w:rPr>
                <w:rFonts w:ascii="宋体" w:hAnsi="宋体"/>
                <w:color w:val="auto"/>
                <w:sz w:val="24"/>
                <w:szCs w:val="24"/>
                <w:highlight w:val="none"/>
              </w:rPr>
            </w:pPr>
          </w:p>
        </w:tc>
      </w:tr>
    </w:tbl>
    <w:p>
      <w:pPr>
        <w:adjustRightInd w:val="0"/>
        <w:snapToGrid w:val="0"/>
        <w:spacing w:line="360" w:lineRule="auto"/>
        <w:rPr>
          <w:rFonts w:ascii="宋体" w:hAnsi="宋体"/>
          <w:color w:val="auto"/>
          <w:sz w:val="24"/>
          <w:szCs w:val="24"/>
          <w:highlight w:val="none"/>
        </w:rPr>
      </w:pPr>
    </w:p>
    <w:p>
      <w:pPr>
        <w:adjustRightInd w:val="0"/>
        <w:snapToGrid w:val="0"/>
        <w:spacing w:line="360" w:lineRule="auto"/>
        <w:rPr>
          <w:rFonts w:ascii="宋体" w:hAnsi="宋体" w:cs="Courier New"/>
          <w:color w:val="auto"/>
          <w:kern w:val="0"/>
          <w:sz w:val="24"/>
          <w:szCs w:val="24"/>
          <w:highlight w:val="none"/>
        </w:rPr>
      </w:pPr>
      <w:r>
        <w:rPr>
          <w:rFonts w:hint="eastAsia" w:ascii="宋体" w:hAnsi="宋体"/>
          <w:color w:val="auto"/>
          <w:sz w:val="24"/>
          <w:szCs w:val="24"/>
          <w:highlight w:val="none"/>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3．格式、内容和签署、盖章必须完整。</w:t>
      </w:r>
    </w:p>
    <w:p>
      <w:pPr>
        <w:adjustRightInd w:val="0"/>
        <w:snapToGrid w:val="0"/>
        <w:spacing w:line="360" w:lineRule="auto"/>
        <w:ind w:firstLine="720" w:firstLineChars="300"/>
        <w:rPr>
          <w:rFonts w:ascii="宋体" w:hAnsi="宋体"/>
          <w:color w:val="auto"/>
          <w:sz w:val="24"/>
          <w:szCs w:val="24"/>
          <w:highlight w:val="none"/>
        </w:rPr>
      </w:pPr>
      <w:r>
        <w:rPr>
          <w:rFonts w:hint="eastAsia" w:ascii="宋体" w:hAnsi="宋体" w:cs="Courier New"/>
          <w:color w:val="auto"/>
          <w:kern w:val="0"/>
          <w:sz w:val="24"/>
          <w:szCs w:val="24"/>
          <w:highlight w:val="none"/>
        </w:rPr>
        <w:t>4.《</w:t>
      </w:r>
      <w:r>
        <w:rPr>
          <w:rFonts w:hint="eastAsia" w:ascii="宋体" w:hAnsi="宋体"/>
          <w:color w:val="auto"/>
          <w:sz w:val="24"/>
          <w:szCs w:val="24"/>
          <w:highlight w:val="none"/>
        </w:rPr>
        <w:t>开标一览表</w:t>
      </w:r>
      <w:r>
        <w:rPr>
          <w:rFonts w:hint="eastAsia" w:ascii="宋体" w:hAnsi="宋体" w:cs="Courier New"/>
          <w:color w:val="auto"/>
          <w:kern w:val="0"/>
          <w:sz w:val="24"/>
          <w:szCs w:val="24"/>
          <w:highlight w:val="none"/>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highlight w:val="none"/>
        </w:rPr>
      </w:pPr>
    </w:p>
    <w:p>
      <w:pPr>
        <w:spacing w:line="360" w:lineRule="auto"/>
        <w:ind w:right="240"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r>
        <w:rPr>
          <w:rFonts w:hint="eastAsia" w:ascii="宋体" w:hAnsi="宋体"/>
          <w:color w:val="auto"/>
          <w:sz w:val="24"/>
          <w:szCs w:val="24"/>
          <w:highlight w:val="none"/>
        </w:rPr>
        <w:t>法定代表人或法人授权代表（签字）：</w:t>
      </w:r>
    </w:p>
    <w:p>
      <w:pPr>
        <w:adjustRightInd w:val="0"/>
        <w:snapToGrid w:val="0"/>
        <w:spacing w:line="360" w:lineRule="auto"/>
        <w:rPr>
          <w:rFonts w:ascii="宋体" w:hAnsi="宋体"/>
          <w:color w:val="auto"/>
          <w:sz w:val="24"/>
          <w:szCs w:val="24"/>
          <w:highlight w:val="none"/>
        </w:rPr>
      </w:pPr>
    </w:p>
    <w:p>
      <w:pPr>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p>
      <w:pPr>
        <w:spacing w:line="360" w:lineRule="auto"/>
        <w:rPr>
          <w:rFonts w:ascii="宋体" w:hAnsi="宋体"/>
          <w:b/>
          <w:color w:val="auto"/>
          <w:sz w:val="24"/>
          <w:szCs w:val="24"/>
          <w:highlight w:val="none"/>
        </w:rPr>
      </w:pPr>
      <w:bookmarkStart w:id="26" w:name="_Toc496001220"/>
      <w:bookmarkStart w:id="27" w:name="_Toc482026549"/>
      <w:r>
        <w:rPr>
          <w:rFonts w:hint="eastAsia" w:ascii="宋体" w:hAnsi="宋体"/>
          <w:b/>
          <w:color w:val="auto"/>
          <w:sz w:val="24"/>
          <w:szCs w:val="24"/>
          <w:highlight w:val="none"/>
        </w:rPr>
        <w:t>格式五：</w:t>
      </w:r>
    </w:p>
    <w:p>
      <w:pPr>
        <w:spacing w:line="360" w:lineRule="auto"/>
        <w:ind w:firstLine="420"/>
        <w:jc w:val="center"/>
        <w:rPr>
          <w:rFonts w:ascii="宋体" w:hAnsi="宋体"/>
          <w:b/>
          <w:bCs/>
          <w:color w:val="auto"/>
          <w:sz w:val="24"/>
          <w:szCs w:val="24"/>
          <w:highlight w:val="none"/>
        </w:rPr>
      </w:pPr>
      <w:r>
        <w:rPr>
          <w:rFonts w:ascii="宋体" w:hAnsi="宋体"/>
          <w:b/>
          <w:bCs/>
          <w:color w:val="auto"/>
          <w:sz w:val="24"/>
          <w:szCs w:val="24"/>
          <w:highlight w:val="none"/>
        </w:rPr>
        <w:t>法定代表人身份证明</w:t>
      </w:r>
    </w:p>
    <w:p>
      <w:pPr>
        <w:spacing w:line="360" w:lineRule="auto"/>
        <w:rPr>
          <w:rFonts w:ascii="宋体" w:hAnsi="宋体"/>
          <w:color w:val="auto"/>
          <w:sz w:val="24"/>
          <w:szCs w:val="24"/>
          <w:highlight w:val="none"/>
        </w:rPr>
      </w:pPr>
      <w:r>
        <w:rPr>
          <w:rFonts w:ascii="宋体" w:hAnsi="宋体"/>
          <w:color w:val="auto"/>
          <w:sz w:val="24"/>
          <w:szCs w:val="24"/>
          <w:highlight w:val="none"/>
        </w:rPr>
        <w:t>投标人名称：</w:t>
      </w:r>
      <w:r>
        <w:rPr>
          <w:rFonts w:hint="eastAsia" w:ascii="宋体" w:hAnsi="宋体"/>
          <w:color w:val="auto"/>
          <w:sz w:val="24"/>
          <w:szCs w:val="24"/>
          <w:highlight w:val="none"/>
        </w:rPr>
        <w:t>__________________________</w:t>
      </w:r>
    </w:p>
    <w:p>
      <w:pPr>
        <w:spacing w:line="360" w:lineRule="auto"/>
        <w:rPr>
          <w:rFonts w:ascii="宋体" w:hAnsi="宋体"/>
          <w:color w:val="auto"/>
          <w:sz w:val="24"/>
          <w:szCs w:val="24"/>
          <w:highlight w:val="none"/>
        </w:rPr>
      </w:pPr>
      <w:r>
        <w:rPr>
          <w:rFonts w:ascii="宋体" w:hAnsi="宋体"/>
          <w:color w:val="auto"/>
          <w:sz w:val="24"/>
          <w:szCs w:val="24"/>
          <w:highlight w:val="none"/>
        </w:rPr>
        <w:t>姓名：</w:t>
      </w:r>
      <w:r>
        <w:rPr>
          <w:rFonts w:hint="eastAsia" w:ascii="宋体" w:hAnsi="宋体"/>
          <w:color w:val="auto"/>
          <w:sz w:val="24"/>
          <w:szCs w:val="24"/>
          <w:highlight w:val="none"/>
        </w:rPr>
        <w:t>_______________</w:t>
      </w:r>
      <w:r>
        <w:rPr>
          <w:rFonts w:ascii="宋体" w:hAnsi="宋体"/>
          <w:color w:val="auto"/>
          <w:sz w:val="24"/>
          <w:szCs w:val="24"/>
          <w:highlight w:val="none"/>
        </w:rPr>
        <w:t>性别：</w:t>
      </w:r>
      <w:r>
        <w:rPr>
          <w:rFonts w:hint="eastAsia" w:ascii="宋体" w:hAnsi="宋体"/>
          <w:color w:val="auto"/>
          <w:sz w:val="24"/>
          <w:szCs w:val="24"/>
          <w:highlight w:val="none"/>
        </w:rPr>
        <w:t>______________</w:t>
      </w:r>
      <w:r>
        <w:rPr>
          <w:rFonts w:ascii="宋体" w:hAnsi="宋体"/>
          <w:color w:val="auto"/>
          <w:sz w:val="24"/>
          <w:szCs w:val="24"/>
          <w:highlight w:val="none"/>
        </w:rPr>
        <w:t>年龄：</w:t>
      </w:r>
      <w:r>
        <w:rPr>
          <w:rFonts w:hint="eastAsia" w:ascii="宋体" w:hAnsi="宋体"/>
          <w:color w:val="auto"/>
          <w:sz w:val="24"/>
          <w:szCs w:val="24"/>
          <w:highlight w:val="none"/>
        </w:rPr>
        <w:t>_____________</w:t>
      </w:r>
      <w:r>
        <w:rPr>
          <w:rFonts w:ascii="宋体" w:hAnsi="宋体"/>
          <w:color w:val="auto"/>
          <w:sz w:val="24"/>
          <w:szCs w:val="24"/>
          <w:highlight w:val="none"/>
        </w:rPr>
        <w:t>职务：</w:t>
      </w:r>
      <w:r>
        <w:rPr>
          <w:rFonts w:hint="eastAsia" w:ascii="宋体" w:hAnsi="宋体"/>
          <w:color w:val="auto"/>
          <w:sz w:val="24"/>
          <w:szCs w:val="24"/>
          <w:highlight w:val="none"/>
        </w:rPr>
        <w:t>______________</w:t>
      </w:r>
      <w:r>
        <w:rPr>
          <w:rFonts w:ascii="宋体" w:hAnsi="宋体"/>
          <w:color w:val="auto"/>
          <w:sz w:val="24"/>
          <w:szCs w:val="24"/>
          <w:highlight w:val="none"/>
        </w:rPr>
        <w:t>系</w:t>
      </w:r>
      <w:r>
        <w:rPr>
          <w:rFonts w:hint="eastAsia" w:ascii="宋体" w:hAnsi="宋体"/>
          <w:color w:val="auto"/>
          <w:sz w:val="24"/>
          <w:szCs w:val="24"/>
          <w:highlight w:val="none"/>
        </w:rPr>
        <w:t>_________________</w:t>
      </w:r>
      <w:r>
        <w:rPr>
          <w:rFonts w:ascii="宋体" w:hAnsi="宋体"/>
          <w:color w:val="auto"/>
          <w:sz w:val="24"/>
          <w:szCs w:val="24"/>
          <w:highlight w:val="none"/>
        </w:rPr>
        <w:t xml:space="preserve">（投标人名称）的法定代表人。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特此证明。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附：法定代表人身份证复印件。</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注：本身份证明需由投标人加盖单位公章。</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法定代表人身份证扫描件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正面</w:t>
            </w:r>
          </w:p>
        </w:tc>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法定代表人身份证扫描件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反面</w:t>
            </w:r>
          </w:p>
        </w:tc>
      </w:tr>
    </w:tbl>
    <w:p>
      <w:pPr>
        <w:spacing w:line="360" w:lineRule="auto"/>
        <w:rPr>
          <w:rFonts w:ascii="宋体" w:hAnsi="宋体"/>
          <w:color w:val="auto"/>
          <w:sz w:val="24"/>
          <w:szCs w:val="24"/>
          <w:highlight w:val="none"/>
        </w:rPr>
      </w:pPr>
    </w:p>
    <w:p>
      <w:pPr>
        <w:spacing w:line="360" w:lineRule="auto"/>
        <w:ind w:firstLine="4920" w:firstLineChars="2050"/>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投标人：</w:t>
      </w:r>
      <w:r>
        <w:rPr>
          <w:rFonts w:hint="eastAsia" w:ascii="宋体" w:hAnsi="宋体"/>
          <w:color w:val="auto"/>
          <w:sz w:val="24"/>
          <w:szCs w:val="24"/>
          <w:highlight w:val="none"/>
        </w:rPr>
        <w:t>_________________</w:t>
      </w:r>
      <w:r>
        <w:rPr>
          <w:rFonts w:ascii="宋体" w:hAnsi="宋体"/>
          <w:color w:val="auto"/>
          <w:sz w:val="24"/>
          <w:szCs w:val="24"/>
          <w:highlight w:val="none"/>
        </w:rPr>
        <w:t>（盖单位章）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_______</w:t>
      </w:r>
      <w:r>
        <w:rPr>
          <w:rFonts w:ascii="宋体" w:hAnsi="宋体"/>
          <w:color w:val="auto"/>
          <w:sz w:val="24"/>
          <w:szCs w:val="24"/>
          <w:highlight w:val="none"/>
        </w:rPr>
        <w:t>年</w:t>
      </w:r>
      <w:r>
        <w:rPr>
          <w:rFonts w:hint="eastAsia" w:ascii="宋体" w:hAnsi="宋体"/>
          <w:color w:val="auto"/>
          <w:sz w:val="24"/>
          <w:szCs w:val="24"/>
          <w:highlight w:val="none"/>
        </w:rPr>
        <w:t>______</w:t>
      </w:r>
      <w:r>
        <w:rPr>
          <w:rFonts w:ascii="宋体" w:hAnsi="宋体"/>
          <w:color w:val="auto"/>
          <w:sz w:val="24"/>
          <w:szCs w:val="24"/>
          <w:highlight w:val="none"/>
        </w:rPr>
        <w:t>月</w:t>
      </w:r>
      <w:r>
        <w:rPr>
          <w:rFonts w:hint="eastAsia" w:ascii="宋体" w:hAnsi="宋体"/>
          <w:color w:val="auto"/>
          <w:sz w:val="24"/>
          <w:szCs w:val="24"/>
          <w:highlight w:val="none"/>
        </w:rPr>
        <w:t>_______</w:t>
      </w:r>
      <w:r>
        <w:rPr>
          <w:rFonts w:ascii="宋体" w:hAnsi="宋体"/>
          <w:color w:val="auto"/>
          <w:sz w:val="24"/>
          <w:szCs w:val="24"/>
          <w:highlight w:val="none"/>
        </w:rPr>
        <w:t xml:space="preserve">日 </w:t>
      </w:r>
    </w:p>
    <w:p>
      <w:pPr>
        <w:spacing w:line="360" w:lineRule="auto"/>
        <w:jc w:val="center"/>
        <w:rPr>
          <w:rFonts w:ascii="宋体" w:hAnsi="宋体"/>
          <w:b/>
          <w:color w:val="auto"/>
          <w:sz w:val="24"/>
          <w:szCs w:val="24"/>
          <w:highlight w:val="none"/>
        </w:rPr>
      </w:pPr>
    </w:p>
    <w:p>
      <w:pPr>
        <w:widowControl/>
        <w:spacing w:line="360" w:lineRule="auto"/>
        <w:jc w:val="left"/>
        <w:rPr>
          <w:rFonts w:ascii="宋体" w:hAnsi="宋体"/>
          <w:color w:val="auto"/>
          <w:sz w:val="24"/>
          <w:szCs w:val="24"/>
          <w:highlight w:val="none"/>
        </w:rPr>
      </w:pPr>
      <w:r>
        <w:rPr>
          <w:rFonts w:ascii="宋体" w:hAnsi="宋体"/>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格式六：</w:t>
      </w:r>
    </w:p>
    <w:p>
      <w:pPr>
        <w:spacing w:line="360" w:lineRule="auto"/>
        <w:ind w:firstLine="420"/>
        <w:jc w:val="center"/>
        <w:rPr>
          <w:rFonts w:ascii="宋体" w:hAnsi="宋体"/>
          <w:b/>
          <w:bCs/>
          <w:color w:val="auto"/>
          <w:sz w:val="24"/>
          <w:szCs w:val="24"/>
          <w:highlight w:val="none"/>
        </w:rPr>
      </w:pPr>
      <w:r>
        <w:rPr>
          <w:rFonts w:ascii="宋体" w:hAnsi="宋体"/>
          <w:b/>
          <w:bCs/>
          <w:color w:val="auto"/>
          <w:sz w:val="24"/>
          <w:szCs w:val="24"/>
          <w:highlight w:val="none"/>
        </w:rPr>
        <w:t>授权委托人身份证明</w:t>
      </w:r>
    </w:p>
    <w:p>
      <w:pPr>
        <w:spacing w:line="360" w:lineRule="auto"/>
        <w:rPr>
          <w:rFonts w:ascii="宋体" w:hAnsi="宋体"/>
          <w:color w:val="auto"/>
          <w:sz w:val="24"/>
          <w:szCs w:val="24"/>
          <w:highlight w:val="none"/>
        </w:rPr>
      </w:pPr>
      <w:r>
        <w:rPr>
          <w:rFonts w:ascii="宋体" w:hAnsi="宋体"/>
          <w:color w:val="auto"/>
          <w:sz w:val="24"/>
          <w:szCs w:val="24"/>
          <w:highlight w:val="none"/>
        </w:rPr>
        <w:t>投标人名称：</w:t>
      </w:r>
      <w:r>
        <w:rPr>
          <w:rFonts w:hint="eastAsia" w:ascii="宋体" w:hAnsi="宋体"/>
          <w:color w:val="auto"/>
          <w:sz w:val="24"/>
          <w:szCs w:val="24"/>
          <w:highlight w:val="none"/>
        </w:rPr>
        <w:t>__________________________</w:t>
      </w:r>
    </w:p>
    <w:p>
      <w:pPr>
        <w:spacing w:line="360" w:lineRule="auto"/>
        <w:rPr>
          <w:rFonts w:ascii="宋体" w:hAnsi="宋体"/>
          <w:color w:val="auto"/>
          <w:sz w:val="24"/>
          <w:szCs w:val="24"/>
          <w:highlight w:val="none"/>
        </w:rPr>
      </w:pPr>
      <w:r>
        <w:rPr>
          <w:rFonts w:ascii="宋体" w:hAnsi="宋体"/>
          <w:color w:val="auto"/>
          <w:sz w:val="24"/>
          <w:szCs w:val="24"/>
          <w:highlight w:val="none"/>
        </w:rPr>
        <w:t>姓名：</w:t>
      </w:r>
      <w:r>
        <w:rPr>
          <w:rFonts w:hint="eastAsia" w:ascii="宋体" w:hAnsi="宋体"/>
          <w:color w:val="auto"/>
          <w:sz w:val="24"/>
          <w:szCs w:val="24"/>
          <w:highlight w:val="none"/>
        </w:rPr>
        <w:t>_______________</w:t>
      </w:r>
      <w:r>
        <w:rPr>
          <w:rFonts w:ascii="宋体" w:hAnsi="宋体"/>
          <w:color w:val="auto"/>
          <w:sz w:val="24"/>
          <w:szCs w:val="24"/>
          <w:highlight w:val="none"/>
        </w:rPr>
        <w:t>性别：</w:t>
      </w:r>
      <w:r>
        <w:rPr>
          <w:rFonts w:hint="eastAsia" w:ascii="宋体" w:hAnsi="宋体"/>
          <w:color w:val="auto"/>
          <w:sz w:val="24"/>
          <w:szCs w:val="24"/>
          <w:highlight w:val="none"/>
        </w:rPr>
        <w:t>______________</w:t>
      </w:r>
      <w:r>
        <w:rPr>
          <w:rFonts w:ascii="宋体" w:hAnsi="宋体"/>
          <w:color w:val="auto"/>
          <w:sz w:val="24"/>
          <w:szCs w:val="24"/>
          <w:highlight w:val="none"/>
        </w:rPr>
        <w:t>年龄：</w:t>
      </w:r>
      <w:r>
        <w:rPr>
          <w:rFonts w:hint="eastAsia" w:ascii="宋体" w:hAnsi="宋体"/>
          <w:color w:val="auto"/>
          <w:sz w:val="24"/>
          <w:szCs w:val="24"/>
          <w:highlight w:val="none"/>
        </w:rPr>
        <w:t>_____________</w:t>
      </w:r>
      <w:r>
        <w:rPr>
          <w:rFonts w:ascii="宋体" w:hAnsi="宋体"/>
          <w:color w:val="auto"/>
          <w:sz w:val="24"/>
          <w:szCs w:val="24"/>
          <w:highlight w:val="none"/>
        </w:rPr>
        <w:t>职务：</w:t>
      </w:r>
      <w:r>
        <w:rPr>
          <w:rFonts w:hint="eastAsia" w:ascii="宋体" w:hAnsi="宋体"/>
          <w:color w:val="auto"/>
          <w:sz w:val="24"/>
          <w:szCs w:val="24"/>
          <w:highlight w:val="none"/>
        </w:rPr>
        <w:t>______________</w:t>
      </w:r>
      <w:r>
        <w:rPr>
          <w:rFonts w:ascii="宋体" w:hAnsi="宋体"/>
          <w:color w:val="auto"/>
          <w:sz w:val="24"/>
          <w:szCs w:val="24"/>
          <w:highlight w:val="none"/>
        </w:rPr>
        <w:t>系</w:t>
      </w:r>
      <w:r>
        <w:rPr>
          <w:rFonts w:hint="eastAsia" w:ascii="宋体" w:hAnsi="宋体"/>
          <w:color w:val="auto"/>
          <w:sz w:val="24"/>
          <w:szCs w:val="24"/>
          <w:highlight w:val="none"/>
        </w:rPr>
        <w:t>_________________</w:t>
      </w:r>
      <w:r>
        <w:rPr>
          <w:rFonts w:ascii="宋体" w:hAnsi="宋体"/>
          <w:color w:val="auto"/>
          <w:sz w:val="24"/>
          <w:szCs w:val="24"/>
          <w:highlight w:val="none"/>
        </w:rPr>
        <w:t>（投标人名称）的</w:t>
      </w:r>
      <w:r>
        <w:rPr>
          <w:rFonts w:hint="eastAsia" w:ascii="宋体" w:hAnsi="宋体"/>
          <w:color w:val="auto"/>
          <w:sz w:val="24"/>
          <w:szCs w:val="24"/>
          <w:highlight w:val="none"/>
        </w:rPr>
        <w:t>授权委托</w:t>
      </w:r>
      <w:r>
        <w:rPr>
          <w:rFonts w:ascii="宋体" w:hAnsi="宋体"/>
          <w:color w:val="auto"/>
          <w:sz w:val="24"/>
          <w:szCs w:val="24"/>
          <w:highlight w:val="none"/>
        </w:rPr>
        <w:t xml:space="preserve">人。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特此证明。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附：</w:t>
      </w:r>
      <w:r>
        <w:rPr>
          <w:rFonts w:hint="eastAsia" w:ascii="宋体" w:hAnsi="宋体"/>
          <w:color w:val="auto"/>
          <w:sz w:val="24"/>
          <w:szCs w:val="24"/>
          <w:highlight w:val="none"/>
        </w:rPr>
        <w:t>授权委托</w:t>
      </w:r>
      <w:r>
        <w:rPr>
          <w:rFonts w:ascii="宋体" w:hAnsi="宋体"/>
          <w:color w:val="auto"/>
          <w:sz w:val="24"/>
          <w:szCs w:val="24"/>
          <w:highlight w:val="none"/>
        </w:rPr>
        <w:t>人身份证复印件。</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注：本身份证明需由投标人加盖单位公章。</w:t>
      </w:r>
    </w:p>
    <w:p>
      <w:pPr>
        <w:spacing w:line="360" w:lineRule="auto"/>
        <w:ind w:firstLine="4920" w:firstLineChars="2050"/>
        <w:rPr>
          <w:rFonts w:ascii="宋体" w:hAnsi="宋体"/>
          <w:color w:val="auto"/>
          <w:sz w:val="24"/>
          <w:szCs w:val="24"/>
          <w:highlight w:val="none"/>
        </w:rPr>
      </w:pPr>
    </w:p>
    <w:p>
      <w:pPr>
        <w:spacing w:line="360" w:lineRule="auto"/>
        <w:ind w:firstLine="4920" w:firstLineChars="2050"/>
        <w:rPr>
          <w:rFonts w:ascii="宋体" w:hAnsi="宋体"/>
          <w:color w:val="auto"/>
          <w:sz w:val="24"/>
          <w:szCs w:val="24"/>
          <w:highlight w:val="none"/>
        </w:rPr>
      </w:pP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授权委托人身份证扫描件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正面</w:t>
            </w:r>
          </w:p>
        </w:tc>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授权委托人身份证扫描件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反面</w:t>
            </w:r>
          </w:p>
        </w:tc>
      </w:tr>
    </w:tbl>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投标人：</w:t>
      </w:r>
      <w:r>
        <w:rPr>
          <w:rFonts w:hint="eastAsia" w:ascii="宋体" w:hAnsi="宋体"/>
          <w:color w:val="auto"/>
          <w:sz w:val="24"/>
          <w:szCs w:val="24"/>
          <w:highlight w:val="none"/>
        </w:rPr>
        <w:t>_________________</w:t>
      </w:r>
      <w:r>
        <w:rPr>
          <w:rFonts w:ascii="宋体" w:hAnsi="宋体"/>
          <w:color w:val="auto"/>
          <w:sz w:val="24"/>
          <w:szCs w:val="24"/>
          <w:highlight w:val="none"/>
        </w:rPr>
        <w:t>（盖单位章）</w:t>
      </w:r>
    </w:p>
    <w:p>
      <w:pPr>
        <w:spacing w:line="360" w:lineRule="auto"/>
        <w:jc w:val="left"/>
        <w:rPr>
          <w:rFonts w:ascii="宋体" w:hAnsi="宋体"/>
          <w:b/>
          <w:color w:val="auto"/>
          <w:sz w:val="24"/>
          <w:szCs w:val="24"/>
          <w:highlight w:val="none"/>
        </w:rPr>
      </w:pPr>
      <w:r>
        <w:rPr>
          <w:rFonts w:hint="eastAsia" w:ascii="宋体" w:hAnsi="宋体"/>
          <w:color w:val="auto"/>
          <w:sz w:val="24"/>
          <w:szCs w:val="24"/>
          <w:highlight w:val="none"/>
        </w:rPr>
        <w:t>_______</w:t>
      </w:r>
      <w:r>
        <w:rPr>
          <w:rFonts w:ascii="宋体" w:hAnsi="宋体"/>
          <w:color w:val="auto"/>
          <w:sz w:val="24"/>
          <w:szCs w:val="24"/>
          <w:highlight w:val="none"/>
        </w:rPr>
        <w:t>年</w:t>
      </w:r>
      <w:r>
        <w:rPr>
          <w:rFonts w:hint="eastAsia" w:ascii="宋体" w:hAnsi="宋体"/>
          <w:color w:val="auto"/>
          <w:sz w:val="24"/>
          <w:szCs w:val="24"/>
          <w:highlight w:val="none"/>
        </w:rPr>
        <w:t>______</w:t>
      </w:r>
      <w:r>
        <w:rPr>
          <w:rFonts w:ascii="宋体" w:hAnsi="宋体"/>
          <w:color w:val="auto"/>
          <w:sz w:val="24"/>
          <w:szCs w:val="24"/>
          <w:highlight w:val="none"/>
        </w:rPr>
        <w:t>月</w:t>
      </w:r>
      <w:r>
        <w:rPr>
          <w:rFonts w:hint="eastAsia" w:ascii="宋体" w:hAnsi="宋体"/>
          <w:color w:val="auto"/>
          <w:sz w:val="24"/>
          <w:szCs w:val="24"/>
          <w:highlight w:val="none"/>
        </w:rPr>
        <w:t>_______</w:t>
      </w:r>
      <w:r>
        <w:rPr>
          <w:rFonts w:ascii="宋体" w:hAnsi="宋体"/>
          <w:color w:val="auto"/>
          <w:sz w:val="24"/>
          <w:szCs w:val="24"/>
          <w:highlight w:val="none"/>
        </w:rPr>
        <w:t>日</w:t>
      </w:r>
      <w:r>
        <w:rPr>
          <w:rFonts w:ascii="宋体" w:hAnsi="宋体"/>
          <w:color w:val="auto"/>
          <w:sz w:val="24"/>
          <w:szCs w:val="24"/>
          <w:highlight w:val="none"/>
        </w:rPr>
        <w:br w:type="page"/>
      </w:r>
      <w:r>
        <w:rPr>
          <w:rFonts w:hint="eastAsia" w:ascii="宋体" w:hAnsi="宋体"/>
          <w:b/>
          <w:color w:val="auto"/>
          <w:sz w:val="24"/>
          <w:szCs w:val="24"/>
          <w:highlight w:val="none"/>
        </w:rPr>
        <w:t>格式七：</w:t>
      </w:r>
      <w:bookmarkEnd w:id="26"/>
    </w:p>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授权委托书</w:t>
      </w:r>
    </w:p>
    <w:p>
      <w:pPr>
        <w:spacing w:line="360" w:lineRule="auto"/>
        <w:ind w:firstLine="5160" w:firstLineChars="2150"/>
        <w:jc w:val="center"/>
        <w:rPr>
          <w:rFonts w:ascii="宋体" w:hAnsi="宋体"/>
          <w:color w:val="auto"/>
          <w:sz w:val="24"/>
          <w:szCs w:val="24"/>
          <w:highlight w:val="none"/>
        </w:rPr>
      </w:pP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本人</w:t>
      </w:r>
      <w:r>
        <w:rPr>
          <w:rFonts w:hint="eastAsia" w:ascii="宋体" w:hAnsi="宋体"/>
          <w:color w:val="auto"/>
          <w:sz w:val="24"/>
          <w:szCs w:val="24"/>
          <w:highlight w:val="none"/>
        </w:rPr>
        <w:t>_________________</w:t>
      </w:r>
      <w:r>
        <w:rPr>
          <w:rFonts w:ascii="宋体" w:hAnsi="宋体"/>
          <w:color w:val="auto"/>
          <w:sz w:val="24"/>
          <w:szCs w:val="24"/>
          <w:highlight w:val="none"/>
        </w:rPr>
        <w:t>（姓名）系</w:t>
      </w:r>
      <w:r>
        <w:rPr>
          <w:rFonts w:hint="eastAsia" w:ascii="宋体" w:hAnsi="宋体"/>
          <w:color w:val="auto"/>
          <w:sz w:val="24"/>
          <w:szCs w:val="24"/>
          <w:highlight w:val="none"/>
        </w:rPr>
        <w:t>_________________</w:t>
      </w:r>
      <w:r>
        <w:rPr>
          <w:rFonts w:ascii="宋体" w:hAnsi="宋体"/>
          <w:color w:val="auto"/>
          <w:sz w:val="24"/>
          <w:szCs w:val="24"/>
          <w:highlight w:val="none"/>
        </w:rPr>
        <w:t>（投标人名称）的法定代表人，现委托</w:t>
      </w:r>
      <w:r>
        <w:rPr>
          <w:rFonts w:hint="eastAsia" w:ascii="宋体" w:hAnsi="宋体"/>
          <w:color w:val="auto"/>
          <w:sz w:val="24"/>
          <w:szCs w:val="24"/>
          <w:highlight w:val="none"/>
        </w:rPr>
        <w:t>_________________</w:t>
      </w:r>
      <w:r>
        <w:rPr>
          <w:rFonts w:ascii="宋体" w:hAnsi="宋体"/>
          <w:color w:val="auto"/>
          <w:sz w:val="24"/>
          <w:szCs w:val="24"/>
          <w:highlight w:val="none"/>
        </w:rPr>
        <w:t>（姓名）为我方代理人。代理人根据授权，以我方名义签署、澄清确认、递 交、撤回、修改招标项目投标文件、签订合同和处理有关事宜，其法律后果由我方承担。委托期限：</w:t>
      </w:r>
      <w:r>
        <w:rPr>
          <w:rFonts w:hint="eastAsia" w:ascii="宋体" w:hAnsi="宋体"/>
          <w:color w:val="auto"/>
          <w:sz w:val="24"/>
          <w:szCs w:val="24"/>
          <w:highlight w:val="none"/>
        </w:rPr>
        <w:t>_________________</w:t>
      </w:r>
      <w:r>
        <w:rPr>
          <w:rFonts w:ascii="宋体" w:hAnsi="宋体"/>
          <w:color w:val="auto"/>
          <w:sz w:val="24"/>
          <w:szCs w:val="24"/>
          <w:highlight w:val="none"/>
        </w:rPr>
        <w:t>。</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代理人无转委托权。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注：本授权委托书需由投标人加盖单位公章并由其法定代表人和委托代理人签字。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投 标 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法定代表人：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身份证号码：</w:t>
      </w:r>
      <w:r>
        <w:rPr>
          <w:rFonts w:hint="eastAsia" w:ascii="宋体" w:hAnsi="宋体"/>
          <w:color w:val="auto"/>
          <w:sz w:val="24"/>
          <w:szCs w:val="24"/>
          <w:highlight w:val="none"/>
        </w:rPr>
        <w:t>_________________</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身份证号码：</w:t>
      </w:r>
      <w:r>
        <w:rPr>
          <w:rFonts w:hint="eastAsia" w:ascii="宋体" w:hAnsi="宋体"/>
          <w:color w:val="auto"/>
          <w:sz w:val="24"/>
          <w:szCs w:val="24"/>
          <w:highlight w:val="none"/>
        </w:rPr>
        <w:t>_________________</w:t>
      </w:r>
    </w:p>
    <w:p>
      <w:pPr>
        <w:pStyle w:val="44"/>
        <w:spacing w:line="360" w:lineRule="auto"/>
        <w:ind w:right="57"/>
        <w:rPr>
          <w:rFonts w:hAnsi="宋体"/>
          <w:color w:val="auto"/>
          <w:sz w:val="24"/>
          <w:szCs w:val="24"/>
          <w:highlight w:val="none"/>
        </w:rPr>
      </w:pPr>
      <w:r>
        <w:rPr>
          <w:rFonts w:hint="eastAsia" w:hAnsi="宋体"/>
          <w:color w:val="auto"/>
          <w:sz w:val="24"/>
          <w:szCs w:val="24"/>
          <w:highlight w:val="none"/>
          <w:u w:val="single"/>
        </w:rPr>
        <w:t>_____</w:t>
      </w:r>
      <w:r>
        <w:rPr>
          <w:rFonts w:hAnsi="宋体"/>
          <w:color w:val="auto"/>
          <w:sz w:val="24"/>
          <w:szCs w:val="24"/>
          <w:highlight w:val="none"/>
        </w:rPr>
        <w:t>年</w:t>
      </w:r>
      <w:r>
        <w:rPr>
          <w:rFonts w:hint="eastAsia" w:hAnsi="宋体"/>
          <w:color w:val="auto"/>
          <w:sz w:val="24"/>
          <w:szCs w:val="24"/>
          <w:highlight w:val="none"/>
          <w:u w:val="single"/>
        </w:rPr>
        <w:t>______</w:t>
      </w:r>
      <w:r>
        <w:rPr>
          <w:rFonts w:hAnsi="宋体"/>
          <w:color w:val="auto"/>
          <w:sz w:val="24"/>
          <w:szCs w:val="24"/>
          <w:highlight w:val="none"/>
        </w:rPr>
        <w:t>月</w:t>
      </w:r>
      <w:r>
        <w:rPr>
          <w:rFonts w:hint="eastAsia" w:hAnsi="宋体"/>
          <w:color w:val="auto"/>
          <w:sz w:val="24"/>
          <w:szCs w:val="24"/>
          <w:highlight w:val="none"/>
          <w:u w:val="single"/>
        </w:rPr>
        <w:t>______</w:t>
      </w:r>
      <w:r>
        <w:rPr>
          <w:rFonts w:hAnsi="宋体"/>
          <w:color w:val="auto"/>
          <w:sz w:val="24"/>
          <w:szCs w:val="24"/>
          <w:highlight w:val="none"/>
        </w:rPr>
        <w:t>日</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widowControl/>
        <w:spacing w:line="360" w:lineRule="auto"/>
        <w:jc w:val="left"/>
        <w:rPr>
          <w:rFonts w:ascii="宋体" w:hAnsi="宋体"/>
          <w:color w:val="auto"/>
          <w:sz w:val="24"/>
          <w:szCs w:val="24"/>
          <w:highlight w:val="none"/>
        </w:rPr>
      </w:pPr>
      <w:r>
        <w:rPr>
          <w:rFonts w:ascii="宋体" w:hAnsi="宋体"/>
          <w:color w:val="auto"/>
          <w:sz w:val="24"/>
          <w:szCs w:val="24"/>
          <w:highlight w:val="none"/>
        </w:rPr>
        <w:br w:type="page"/>
      </w:r>
    </w:p>
    <w:p>
      <w:pPr>
        <w:widowControl/>
        <w:spacing w:line="360" w:lineRule="auto"/>
        <w:jc w:val="left"/>
        <w:rPr>
          <w:rFonts w:ascii="宋体" w:hAnsi="宋体"/>
          <w:b/>
          <w:color w:val="auto"/>
          <w:sz w:val="24"/>
          <w:szCs w:val="24"/>
          <w:highlight w:val="none"/>
        </w:rPr>
      </w:pPr>
      <w:r>
        <w:rPr>
          <w:rFonts w:hint="eastAsia" w:ascii="宋体" w:hAnsi="宋体"/>
          <w:b/>
          <w:bCs/>
          <w:color w:val="auto"/>
          <w:sz w:val="24"/>
          <w:szCs w:val="24"/>
          <w:highlight w:val="none"/>
        </w:rPr>
        <w:t>格式八：</w:t>
      </w:r>
    </w:p>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投标保证金</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投标人应在此提供</w:t>
      </w:r>
      <w:r>
        <w:rPr>
          <w:rFonts w:hint="eastAsia" w:ascii="宋体" w:hAnsi="宋体"/>
          <w:color w:val="auto"/>
          <w:sz w:val="24"/>
          <w:szCs w:val="24"/>
          <w:highlight w:val="none"/>
        </w:rPr>
        <w:t>保证金</w:t>
      </w:r>
      <w:r>
        <w:rPr>
          <w:rFonts w:ascii="宋体" w:hAnsi="宋体"/>
          <w:color w:val="auto"/>
          <w:sz w:val="24"/>
          <w:szCs w:val="24"/>
          <w:highlight w:val="none"/>
        </w:rPr>
        <w:t xml:space="preserve">汇款凭证的复印件。 </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p>
      <w:pPr>
        <w:widowControl/>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格式九：</w:t>
      </w:r>
    </w:p>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联合体协议书</w:t>
      </w:r>
      <w:r>
        <w:rPr>
          <w:rFonts w:hint="eastAsia" w:ascii="宋体" w:hAnsi="宋体"/>
          <w:bCs/>
          <w:color w:val="auto"/>
          <w:sz w:val="24"/>
          <w:szCs w:val="24"/>
          <w:highlight w:val="none"/>
        </w:rPr>
        <w:t>（非联合体投标此项附空表）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______________________________</w:t>
      </w:r>
      <w:r>
        <w:rPr>
          <w:rFonts w:ascii="宋体" w:hAnsi="宋体"/>
          <w:color w:val="auto"/>
          <w:sz w:val="24"/>
          <w:szCs w:val="24"/>
          <w:highlight w:val="none"/>
        </w:rPr>
        <w:t>（所有成员单位名称）自愿组成</w:t>
      </w:r>
      <w:r>
        <w:rPr>
          <w:rFonts w:hint="eastAsia" w:ascii="宋体" w:hAnsi="宋体"/>
          <w:color w:val="auto"/>
          <w:sz w:val="24"/>
          <w:szCs w:val="24"/>
          <w:highlight w:val="none"/>
        </w:rPr>
        <w:t>_________________</w:t>
      </w:r>
      <w:r>
        <w:rPr>
          <w:rFonts w:ascii="宋体" w:hAnsi="宋体"/>
          <w:color w:val="auto"/>
          <w:sz w:val="24"/>
          <w:szCs w:val="24"/>
          <w:highlight w:val="none"/>
        </w:rPr>
        <w:t>（联合体名称）联合体，共同参加</w:t>
      </w:r>
      <w:r>
        <w:rPr>
          <w:rFonts w:hint="eastAsia" w:ascii="宋体" w:hAnsi="宋体"/>
          <w:color w:val="auto"/>
          <w:sz w:val="24"/>
          <w:szCs w:val="24"/>
          <w:highlight w:val="none"/>
        </w:rPr>
        <w:t>_________________</w:t>
      </w:r>
      <w:r>
        <w:rPr>
          <w:rFonts w:ascii="宋体" w:hAnsi="宋体"/>
          <w:color w:val="auto"/>
          <w:sz w:val="24"/>
          <w:szCs w:val="24"/>
          <w:highlight w:val="none"/>
        </w:rPr>
        <w:t xml:space="preserve">（项目名称）招标项目投标。现就联合体投标事宜订立如下协议。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1. （某成员单位名称）为 （联合体名称）牵头人。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4. 联合体各成员单位内部的职责分工如下：</w:t>
      </w:r>
      <w:r>
        <w:rPr>
          <w:rFonts w:hint="eastAsia" w:ascii="宋体" w:hAnsi="宋体"/>
          <w:color w:val="auto"/>
          <w:sz w:val="24"/>
          <w:szCs w:val="24"/>
          <w:highlight w:val="none"/>
        </w:rPr>
        <w:t>_________________</w:t>
      </w:r>
      <w:r>
        <w:rPr>
          <w:rFonts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6. 本协议书一式</w:t>
      </w:r>
      <w:r>
        <w:rPr>
          <w:rFonts w:hint="eastAsia" w:ascii="宋体" w:hAnsi="宋体"/>
          <w:color w:val="auto"/>
          <w:sz w:val="24"/>
          <w:szCs w:val="24"/>
          <w:highlight w:val="none"/>
        </w:rPr>
        <w:t>______</w:t>
      </w:r>
      <w:r>
        <w:rPr>
          <w:rFonts w:ascii="宋体" w:hAnsi="宋体"/>
          <w:color w:val="auto"/>
          <w:sz w:val="24"/>
          <w:szCs w:val="24"/>
          <w:highlight w:val="none"/>
        </w:rPr>
        <w:t xml:space="preserve">份，联合体成员和招标人各执一份。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联合体牵头人名称：</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r>
        <w:rPr>
          <w:rFonts w:ascii="宋体" w:hAnsi="宋体"/>
          <w:color w:val="auto"/>
          <w:sz w:val="24"/>
          <w:szCs w:val="24"/>
          <w:highlight w:val="none"/>
        </w:rPr>
        <w:t>联合体成员名称：</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_______</w:t>
      </w:r>
      <w:r>
        <w:rPr>
          <w:rFonts w:ascii="宋体" w:hAnsi="宋体"/>
          <w:color w:val="auto"/>
          <w:sz w:val="24"/>
          <w:szCs w:val="24"/>
          <w:highlight w:val="none"/>
        </w:rPr>
        <w:t>年</w:t>
      </w:r>
      <w:r>
        <w:rPr>
          <w:rFonts w:hint="eastAsia" w:ascii="宋体" w:hAnsi="宋体"/>
          <w:color w:val="auto"/>
          <w:sz w:val="24"/>
          <w:szCs w:val="24"/>
          <w:highlight w:val="none"/>
        </w:rPr>
        <w:t>________</w:t>
      </w:r>
      <w:r>
        <w:rPr>
          <w:rFonts w:ascii="宋体" w:hAnsi="宋体"/>
          <w:color w:val="auto"/>
          <w:sz w:val="24"/>
          <w:szCs w:val="24"/>
          <w:highlight w:val="none"/>
        </w:rPr>
        <w:t>月</w:t>
      </w:r>
      <w:r>
        <w:rPr>
          <w:rFonts w:hint="eastAsia" w:ascii="宋体" w:hAnsi="宋体"/>
          <w:color w:val="auto"/>
          <w:sz w:val="24"/>
          <w:szCs w:val="24"/>
          <w:highlight w:val="none"/>
        </w:rPr>
        <w:t>________</w:t>
      </w:r>
      <w:r>
        <w:rPr>
          <w:rFonts w:ascii="宋体" w:hAnsi="宋体"/>
          <w:color w:val="auto"/>
          <w:sz w:val="24"/>
          <w:szCs w:val="24"/>
          <w:highlight w:val="none"/>
        </w:rPr>
        <w:t>日</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bookmarkEnd w:id="27"/>
    <w:p>
      <w:pPr>
        <w:spacing w:line="360" w:lineRule="auto"/>
        <w:jc w:val="left"/>
        <w:rPr>
          <w:rFonts w:ascii="宋体" w:hAnsi="宋体"/>
          <w:color w:val="auto"/>
          <w:sz w:val="24"/>
          <w:szCs w:val="24"/>
          <w:highlight w:val="none"/>
        </w:rPr>
      </w:pPr>
    </w:p>
    <w:p>
      <w:pPr>
        <w:adjustRightInd w:val="0"/>
        <w:snapToGrid w:val="0"/>
        <w:spacing w:line="360" w:lineRule="auto"/>
        <w:jc w:val="left"/>
        <w:rPr>
          <w:rFonts w:hAnsi="宋体"/>
          <w:b/>
          <w:bCs/>
          <w:color w:val="auto"/>
          <w:sz w:val="24"/>
          <w:szCs w:val="24"/>
          <w:highlight w:val="none"/>
        </w:rPr>
      </w:pPr>
      <w:bookmarkStart w:id="28" w:name="_Toc491862100"/>
      <w:r>
        <w:rPr>
          <w:rFonts w:hint="eastAsia" w:hAnsi="宋体"/>
          <w:b/>
          <w:bCs/>
          <w:color w:val="auto"/>
          <w:sz w:val="24"/>
          <w:szCs w:val="24"/>
          <w:highlight w:val="none"/>
        </w:rPr>
        <w:t>格式十：</w:t>
      </w:r>
      <w:bookmarkEnd w:id="28"/>
    </w:p>
    <w:p>
      <w:pPr>
        <w:adjustRightInd w:val="0"/>
        <w:snapToGrid w:val="0"/>
        <w:spacing w:line="360" w:lineRule="auto"/>
        <w:jc w:val="center"/>
        <w:rPr>
          <w:rFonts w:ascii="宋体" w:hAnsi="宋体" w:cs="Courier New"/>
          <w:b/>
          <w:bCs/>
          <w:color w:val="auto"/>
          <w:kern w:val="0"/>
          <w:sz w:val="24"/>
          <w:szCs w:val="24"/>
          <w:highlight w:val="none"/>
        </w:rPr>
      </w:pPr>
      <w:r>
        <w:rPr>
          <w:rFonts w:hint="eastAsia" w:ascii="宋体" w:hAnsi="宋体" w:cs="Courier New"/>
          <w:b/>
          <w:bCs/>
          <w:color w:val="auto"/>
          <w:kern w:val="0"/>
          <w:sz w:val="24"/>
          <w:szCs w:val="24"/>
          <w:highlight w:val="none"/>
        </w:rPr>
        <w:t>投标货物分项报价明细表</w:t>
      </w:r>
    </w:p>
    <w:p>
      <w:pPr>
        <w:adjustRightInd w:val="0"/>
        <w:snapToGrid w:val="0"/>
        <w:spacing w:line="360" w:lineRule="auto"/>
        <w:ind w:firstLine="3000" w:firstLineChars="1250"/>
        <w:jc w:val="left"/>
        <w:rPr>
          <w:rFonts w:hAnsi="宋体"/>
          <w:bCs/>
          <w:color w:val="auto"/>
          <w:sz w:val="24"/>
          <w:szCs w:val="24"/>
          <w:highlight w:val="none"/>
        </w:rPr>
      </w:pP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序号</w:t>
            </w:r>
          </w:p>
        </w:tc>
        <w:tc>
          <w:tcPr>
            <w:tcW w:w="1411" w:type="dxa"/>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1</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2</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3</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4</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highlight w:val="none"/>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highlight w:val="none"/>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highlight w:val="none"/>
              </w:rPr>
            </w:pPr>
          </w:p>
        </w:tc>
      </w:tr>
    </w:tbl>
    <w:p>
      <w:pPr>
        <w:adjustRightInd w:val="0"/>
        <w:snapToGrid w:val="0"/>
        <w:spacing w:line="360" w:lineRule="auto"/>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说明：</w:t>
      </w:r>
    </w:p>
    <w:p>
      <w:pPr>
        <w:adjustRightInd w:val="0"/>
        <w:snapToGri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1．供货内容尽可能详细，涉及配件、备品、备件的应在备注中列出。</w:t>
      </w:r>
    </w:p>
    <w:p>
      <w:pPr>
        <w:adjustRightInd w:val="0"/>
        <w:snapToGri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2．此表将随中标结果公告一并公示，请投标人认真填写。</w:t>
      </w:r>
    </w:p>
    <w:p>
      <w:pPr>
        <w:ind w:firstLine="480" w:firstLineChars="200"/>
        <w:rPr>
          <w:color w:val="auto"/>
          <w:sz w:val="24"/>
          <w:szCs w:val="24"/>
          <w:highlight w:val="none"/>
        </w:rPr>
      </w:pPr>
      <w:r>
        <w:rPr>
          <w:rFonts w:hint="eastAsia" w:ascii="宋体" w:hAnsi="宋体"/>
          <w:color w:val="auto"/>
          <w:sz w:val="24"/>
          <w:szCs w:val="24"/>
          <w:highlight w:val="none"/>
        </w:rPr>
        <w:t>3.</w:t>
      </w:r>
      <w:r>
        <w:rPr>
          <w:rFonts w:hint="eastAsia"/>
          <w:color w:val="auto"/>
          <w:sz w:val="24"/>
          <w:szCs w:val="24"/>
          <w:highlight w:val="none"/>
        </w:rPr>
        <w:t xml:space="preserve"> 此表电子版（另以EXCLE格式）随投标文件电子版密封递交。</w:t>
      </w:r>
      <w:r>
        <w:rPr>
          <w:color w:val="auto"/>
          <w:sz w:val="24"/>
          <w:szCs w:val="24"/>
          <w:highlight w:val="none"/>
        </w:rPr>
        <w:br w:type="page"/>
      </w:r>
    </w:p>
    <w:p>
      <w:pPr>
        <w:rPr>
          <w:b/>
          <w:color w:val="auto"/>
          <w:sz w:val="24"/>
          <w:szCs w:val="24"/>
          <w:highlight w:val="none"/>
        </w:rPr>
      </w:pPr>
      <w:r>
        <w:rPr>
          <w:rFonts w:hint="eastAsia"/>
          <w:b/>
          <w:color w:val="auto"/>
          <w:sz w:val="24"/>
          <w:szCs w:val="24"/>
          <w:highlight w:val="none"/>
        </w:rPr>
        <w:t>格式十一：</w:t>
      </w:r>
    </w:p>
    <w:p>
      <w:pPr>
        <w:rPr>
          <w:color w:val="auto"/>
          <w:sz w:val="24"/>
          <w:szCs w:val="24"/>
          <w:highlight w:val="none"/>
        </w:rPr>
      </w:pPr>
    </w:p>
    <w:p>
      <w:pPr>
        <w:jc w:val="center"/>
        <w:rPr>
          <w:rFonts w:ascii="宋体" w:hAnsi="宋体"/>
          <w:b/>
          <w:bCs/>
          <w:color w:val="auto"/>
          <w:sz w:val="24"/>
          <w:szCs w:val="24"/>
          <w:highlight w:val="none"/>
        </w:rPr>
      </w:pPr>
      <w:r>
        <w:rPr>
          <w:rFonts w:hint="eastAsia" w:ascii="宋体" w:hAnsi="宋体"/>
          <w:b/>
          <w:bCs/>
          <w:color w:val="auto"/>
          <w:sz w:val="24"/>
          <w:szCs w:val="24"/>
          <w:highlight w:val="none"/>
        </w:rPr>
        <w:t>投标货物情况介绍表</w:t>
      </w:r>
    </w:p>
    <w:p>
      <w:pPr>
        <w:jc w:val="center"/>
        <w:rPr>
          <w:rFonts w:ascii="宋体" w:hAnsi="宋体"/>
          <w:b/>
          <w:bCs/>
          <w:color w:val="auto"/>
          <w:sz w:val="24"/>
          <w:szCs w:val="24"/>
          <w:highlight w:val="none"/>
        </w:rPr>
      </w:pP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651" w:type="dxa"/>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651" w:type="dxa"/>
            <w:vAlign w:val="center"/>
          </w:tcPr>
          <w:p>
            <w:pPr>
              <w:adjustRightInd w:val="0"/>
              <w:snapToGrid w:val="0"/>
              <w:spacing w:line="360" w:lineRule="auto"/>
              <w:ind w:left="-118" w:leftChars="-42"/>
              <w:jc w:val="center"/>
              <w:rPr>
                <w:rFonts w:ascii="宋体" w:hAnsi="宋体"/>
                <w:color w:val="auto"/>
                <w:sz w:val="24"/>
                <w:szCs w:val="24"/>
                <w:highlight w:val="none"/>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651" w:type="dxa"/>
            <w:vAlign w:val="center"/>
          </w:tcPr>
          <w:p>
            <w:pPr>
              <w:adjustRightInd w:val="0"/>
              <w:snapToGrid w:val="0"/>
              <w:spacing w:line="360" w:lineRule="auto"/>
              <w:ind w:left="-118" w:leftChars="-42"/>
              <w:jc w:val="center"/>
              <w:rPr>
                <w:rFonts w:ascii="宋体" w:hAnsi="宋体"/>
                <w:color w:val="auto"/>
                <w:sz w:val="24"/>
                <w:szCs w:val="24"/>
                <w:highlight w:val="none"/>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651" w:type="dxa"/>
            <w:vAlign w:val="center"/>
          </w:tcPr>
          <w:p>
            <w:pPr>
              <w:adjustRightInd w:val="0"/>
              <w:snapToGrid w:val="0"/>
              <w:spacing w:line="360" w:lineRule="auto"/>
              <w:ind w:left="-118" w:leftChars="-42"/>
              <w:jc w:val="center"/>
              <w:rPr>
                <w:rFonts w:ascii="宋体" w:hAnsi="宋体"/>
                <w:color w:val="auto"/>
                <w:sz w:val="24"/>
                <w:szCs w:val="24"/>
                <w:highlight w:val="none"/>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highlight w:val="none"/>
              </w:rPr>
            </w:pPr>
            <w:r>
              <w:rPr>
                <w:rFonts w:hint="eastAsia" w:ascii="宋体" w:hAnsi="宋体"/>
                <w:color w:val="auto"/>
                <w:sz w:val="24"/>
                <w:szCs w:val="24"/>
                <w:highlight w:val="none"/>
              </w:rPr>
              <w:t>4</w:t>
            </w:r>
          </w:p>
        </w:tc>
        <w:tc>
          <w:tcPr>
            <w:tcW w:w="1651" w:type="dxa"/>
            <w:vAlign w:val="center"/>
          </w:tcPr>
          <w:p>
            <w:pPr>
              <w:adjustRightInd w:val="0"/>
              <w:snapToGrid w:val="0"/>
              <w:spacing w:line="360" w:lineRule="auto"/>
              <w:ind w:left="-118" w:leftChars="-42"/>
              <w:jc w:val="center"/>
              <w:rPr>
                <w:rFonts w:ascii="宋体" w:hAnsi="宋体"/>
                <w:color w:val="auto"/>
                <w:sz w:val="24"/>
                <w:szCs w:val="24"/>
                <w:highlight w:val="none"/>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highlight w:val="none"/>
              </w:rPr>
            </w:pPr>
            <w:r>
              <w:rPr>
                <w:rFonts w:hint="eastAsia" w:ascii="宋体" w:hAnsi="宋体"/>
                <w:color w:val="auto"/>
                <w:sz w:val="24"/>
                <w:szCs w:val="24"/>
                <w:highlight w:val="none"/>
              </w:rPr>
              <w:t>…</w:t>
            </w:r>
          </w:p>
        </w:tc>
        <w:tc>
          <w:tcPr>
            <w:tcW w:w="1651" w:type="dxa"/>
            <w:vAlign w:val="center"/>
          </w:tcPr>
          <w:p>
            <w:pPr>
              <w:adjustRightInd w:val="0"/>
              <w:snapToGrid w:val="0"/>
              <w:spacing w:line="360" w:lineRule="auto"/>
              <w:ind w:left="-118" w:leftChars="-42"/>
              <w:jc w:val="center"/>
              <w:rPr>
                <w:rFonts w:ascii="宋体" w:hAnsi="宋体"/>
                <w:color w:val="auto"/>
                <w:sz w:val="24"/>
                <w:szCs w:val="24"/>
                <w:highlight w:val="none"/>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highlight w:val="none"/>
              </w:rPr>
            </w:pPr>
          </w:p>
        </w:tc>
      </w:tr>
    </w:tbl>
    <w:p>
      <w:pPr>
        <w:spacing w:line="360" w:lineRule="auto"/>
        <w:rPr>
          <w:rFonts w:ascii="宋体" w:hAnsi="宋体"/>
          <w:color w:val="auto"/>
          <w:sz w:val="24"/>
          <w:szCs w:val="24"/>
          <w:highlight w:val="none"/>
        </w:rPr>
      </w:pPr>
      <w:r>
        <w:rPr>
          <w:rFonts w:ascii="宋体" w:hAnsi="宋体"/>
          <w:color w:val="auto"/>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 xml:space="preserve">格式十二：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技术规格响应表</w:t>
      </w:r>
    </w:p>
    <w:p>
      <w:pPr>
        <w:spacing w:line="360" w:lineRule="auto"/>
        <w:rPr>
          <w:rFonts w:ascii="宋体" w:hAnsi="宋体"/>
          <w:color w:val="auto"/>
          <w:sz w:val="24"/>
          <w:szCs w:val="24"/>
          <w:highlight w:val="none"/>
        </w:rPr>
      </w:pPr>
      <w:r>
        <w:rPr>
          <w:rFonts w:hint="eastAsia" w:ascii="宋体" w:hAnsi="宋体" w:cs="宋体"/>
          <w:color w:val="auto"/>
          <w:kern w:val="0"/>
          <w:sz w:val="24"/>
          <w:szCs w:val="24"/>
          <w:highlight w:val="none"/>
        </w:rPr>
        <w:t>1.货物名称：</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编号</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招标文件要求技术参数、性能指标</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投标人提供技术参数、性能指标</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响应</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程度</w:t>
            </w:r>
          </w:p>
        </w:tc>
        <w:tc>
          <w:tcPr>
            <w:tcW w:w="229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佐证材料名称并标明页码</w:t>
            </w:r>
          </w:p>
        </w:tc>
        <w:tc>
          <w:tcPr>
            <w:tcW w:w="1155"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2294" w:type="dxa"/>
            <w:vAlign w:val="center"/>
          </w:tcPr>
          <w:p>
            <w:pPr>
              <w:spacing w:line="360" w:lineRule="auto"/>
              <w:ind w:left="2201" w:leftChars="786"/>
              <w:rPr>
                <w:rFonts w:ascii="宋体" w:hAnsi="宋体"/>
                <w:color w:val="auto"/>
                <w:sz w:val="24"/>
                <w:szCs w:val="24"/>
                <w:highlight w:val="none"/>
              </w:rPr>
            </w:pPr>
          </w:p>
        </w:tc>
        <w:tc>
          <w:tcPr>
            <w:tcW w:w="1155" w:type="dxa"/>
          </w:tcPr>
          <w:p>
            <w:pPr>
              <w:spacing w:line="360" w:lineRule="auto"/>
              <w:ind w:left="2201" w:leftChars="786"/>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2294" w:type="dxa"/>
            <w:vAlign w:val="center"/>
          </w:tcPr>
          <w:p>
            <w:pPr>
              <w:spacing w:line="360" w:lineRule="auto"/>
              <w:rPr>
                <w:rFonts w:ascii="宋体" w:hAnsi="宋体"/>
                <w:color w:val="auto"/>
                <w:sz w:val="24"/>
                <w:szCs w:val="24"/>
                <w:highlight w:val="none"/>
              </w:rPr>
            </w:pPr>
          </w:p>
        </w:tc>
        <w:tc>
          <w:tcPr>
            <w:tcW w:w="1155" w:type="dxa"/>
          </w:tcPr>
          <w:p>
            <w:pPr>
              <w:spacing w:line="360" w:lineRule="auto"/>
              <w:rPr>
                <w:rFonts w:ascii="宋体" w:hAnsi="宋体"/>
                <w:color w:val="auto"/>
                <w:sz w:val="24"/>
                <w:szCs w:val="24"/>
                <w:highlight w:val="none"/>
              </w:rPr>
            </w:pPr>
          </w:p>
        </w:tc>
      </w:tr>
    </w:tbl>
    <w:p>
      <w:pPr>
        <w:spacing w:line="360" w:lineRule="auto"/>
        <w:rPr>
          <w:rFonts w:ascii="宋体" w:hAnsi="宋体"/>
          <w:color w:val="auto"/>
          <w:sz w:val="24"/>
          <w:szCs w:val="24"/>
          <w:highlight w:val="none"/>
        </w:rPr>
      </w:pPr>
      <w:r>
        <w:rPr>
          <w:rFonts w:hint="eastAsia" w:ascii="宋体" w:hAnsi="宋体" w:cs="宋体"/>
          <w:color w:val="auto"/>
          <w:kern w:val="0"/>
          <w:sz w:val="24"/>
          <w:szCs w:val="24"/>
          <w:highlight w:val="none"/>
        </w:rPr>
        <w:t>2.货物名称：</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编号</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招标文件要求技术参数、性能指标</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投标人提供技术参数、性能指标</w:t>
            </w:r>
          </w:p>
        </w:tc>
        <w:tc>
          <w:tcPr>
            <w:tcW w:w="173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响应</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程度</w:t>
            </w:r>
          </w:p>
        </w:tc>
        <w:tc>
          <w:tcPr>
            <w:tcW w:w="2296"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佐证材料名称并标明页码</w:t>
            </w:r>
          </w:p>
        </w:tc>
        <w:tc>
          <w:tcPr>
            <w:tcW w:w="1155"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2296" w:type="dxa"/>
            <w:vAlign w:val="center"/>
          </w:tcPr>
          <w:p>
            <w:pPr>
              <w:spacing w:line="360" w:lineRule="auto"/>
              <w:ind w:left="2201" w:leftChars="786"/>
              <w:rPr>
                <w:rFonts w:ascii="宋体" w:hAnsi="宋体"/>
                <w:color w:val="auto"/>
                <w:sz w:val="24"/>
                <w:szCs w:val="24"/>
                <w:highlight w:val="none"/>
              </w:rPr>
            </w:pPr>
          </w:p>
        </w:tc>
        <w:tc>
          <w:tcPr>
            <w:tcW w:w="1155" w:type="dxa"/>
          </w:tcPr>
          <w:p>
            <w:pPr>
              <w:spacing w:line="360" w:lineRule="auto"/>
              <w:ind w:left="2201" w:leftChars="786"/>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1732" w:type="dxa"/>
            <w:vAlign w:val="center"/>
          </w:tcPr>
          <w:p>
            <w:pPr>
              <w:spacing w:line="360" w:lineRule="auto"/>
              <w:rPr>
                <w:rFonts w:ascii="宋体" w:hAnsi="宋体"/>
                <w:color w:val="auto"/>
                <w:sz w:val="24"/>
                <w:szCs w:val="24"/>
                <w:highlight w:val="none"/>
              </w:rPr>
            </w:pPr>
          </w:p>
        </w:tc>
        <w:tc>
          <w:tcPr>
            <w:tcW w:w="2296" w:type="dxa"/>
            <w:vAlign w:val="center"/>
          </w:tcPr>
          <w:p>
            <w:pPr>
              <w:spacing w:line="360" w:lineRule="auto"/>
              <w:rPr>
                <w:rFonts w:ascii="宋体" w:hAnsi="宋体"/>
                <w:color w:val="auto"/>
                <w:sz w:val="24"/>
                <w:szCs w:val="24"/>
                <w:highlight w:val="none"/>
              </w:rPr>
            </w:pPr>
          </w:p>
        </w:tc>
        <w:tc>
          <w:tcPr>
            <w:tcW w:w="1155" w:type="dxa"/>
          </w:tcPr>
          <w:p>
            <w:pPr>
              <w:spacing w:line="360" w:lineRule="auto"/>
              <w:rPr>
                <w:rFonts w:ascii="宋体" w:hAnsi="宋体"/>
                <w:color w:val="auto"/>
                <w:sz w:val="24"/>
                <w:szCs w:val="24"/>
                <w:highlight w:val="none"/>
              </w:rPr>
            </w:pPr>
          </w:p>
        </w:tc>
      </w:tr>
    </w:tbl>
    <w:p>
      <w:pPr>
        <w:spacing w:line="360" w:lineRule="auto"/>
        <w:ind w:right="57"/>
        <w:rPr>
          <w:rFonts w:ascii="宋体" w:hAnsi="宋体"/>
          <w:bCs/>
          <w:color w:val="auto"/>
          <w:sz w:val="24"/>
          <w:szCs w:val="24"/>
          <w:highlight w:val="none"/>
        </w:rPr>
      </w:pPr>
    </w:p>
    <w:p>
      <w:pPr>
        <w:spacing w:line="360" w:lineRule="auto"/>
        <w:ind w:right="57"/>
        <w:rPr>
          <w:rFonts w:ascii="宋体" w:hAnsi="宋体"/>
          <w:color w:val="auto"/>
          <w:sz w:val="24"/>
          <w:szCs w:val="24"/>
          <w:highlight w:val="none"/>
        </w:rPr>
      </w:pPr>
      <w:r>
        <w:rPr>
          <w:rFonts w:hint="eastAsia" w:ascii="宋体" w:hAnsi="宋体"/>
          <w:bCs/>
          <w:color w:val="auto"/>
          <w:sz w:val="24"/>
          <w:szCs w:val="24"/>
          <w:highlight w:val="none"/>
        </w:rPr>
        <w:t>说明</w:t>
      </w:r>
      <w:r>
        <w:rPr>
          <w:rFonts w:hint="eastAsia" w:ascii="宋体" w:hAnsi="宋体"/>
          <w:color w:val="auto"/>
          <w:sz w:val="24"/>
          <w:szCs w:val="24"/>
          <w:highlight w:val="none"/>
        </w:rPr>
        <w:t>：</w:t>
      </w:r>
    </w:p>
    <w:p>
      <w:pPr>
        <w:spacing w:line="360" w:lineRule="auto"/>
        <w:ind w:right="57"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color w:val="auto"/>
          <w:sz w:val="24"/>
          <w:szCs w:val="24"/>
          <w:highlight w:val="none"/>
        </w:rPr>
      </w:pPr>
      <w:r>
        <w:rPr>
          <w:rFonts w:hint="eastAsia" w:ascii="宋体" w:hAnsi="宋体" w:cs="宋体"/>
          <w:color w:val="auto"/>
          <w:kern w:val="0"/>
          <w:sz w:val="24"/>
          <w:szCs w:val="24"/>
          <w:highlight w:val="none"/>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2. 此表按照货物分别填写，填写时注明所投货物名称、品牌、型号。（每一种货物须分别填写此表）</w:t>
      </w:r>
    </w:p>
    <w:p>
      <w:pPr>
        <w:spacing w:line="360" w:lineRule="auto"/>
        <w:ind w:right="57"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3.“响应程度”处可填写满足、响应或正偏离、负偏离。</w:t>
      </w:r>
    </w:p>
    <w:p>
      <w:pPr>
        <w:spacing w:line="360" w:lineRule="auto"/>
        <w:ind w:right="57"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4.“备注”处可填写偏离情况的具体说明。</w:t>
      </w:r>
    </w:p>
    <w:p>
      <w:pPr>
        <w:pStyle w:val="34"/>
        <w:spacing w:line="360" w:lineRule="auto"/>
        <w:rPr>
          <w:rFonts w:ascii="宋体" w:hAnsi="宋体" w:eastAsia="宋体"/>
          <w:b w:val="0"/>
          <w:color w:val="auto"/>
          <w:sz w:val="24"/>
          <w:szCs w:val="24"/>
          <w:highlight w:val="none"/>
        </w:rPr>
      </w:pPr>
      <w:r>
        <w:rPr>
          <w:rFonts w:ascii="宋体" w:hAnsi="宋体" w:eastAsia="宋体"/>
          <w:b w:val="0"/>
          <w:color w:val="auto"/>
          <w:sz w:val="24"/>
          <w:szCs w:val="24"/>
          <w:highlight w:val="none"/>
        </w:rPr>
        <w:br w:type="page"/>
      </w:r>
    </w:p>
    <w:p>
      <w:pPr>
        <w:rPr>
          <w:rFonts w:ascii="宋体" w:hAnsi="宋体"/>
          <w:b/>
          <w:color w:val="auto"/>
          <w:sz w:val="24"/>
          <w:szCs w:val="24"/>
          <w:highlight w:val="none"/>
        </w:rPr>
      </w:pPr>
      <w:r>
        <w:rPr>
          <w:rFonts w:hint="eastAsia" w:ascii="宋体" w:hAnsi="宋体"/>
          <w:b/>
          <w:color w:val="auto"/>
          <w:sz w:val="24"/>
          <w:szCs w:val="24"/>
          <w:highlight w:val="none"/>
        </w:rPr>
        <w:t>格式十三：</w:t>
      </w:r>
    </w:p>
    <w:p>
      <w:pPr>
        <w:ind w:firstLine="3253" w:firstLineChars="1350"/>
        <w:rPr>
          <w:rFonts w:ascii="宋体" w:hAnsi="宋体" w:cs="Courier New"/>
          <w:b/>
          <w:bCs/>
          <w:color w:val="auto"/>
          <w:kern w:val="0"/>
          <w:sz w:val="24"/>
          <w:szCs w:val="24"/>
          <w:highlight w:val="none"/>
        </w:rPr>
      </w:pPr>
      <w:r>
        <w:rPr>
          <w:rFonts w:hint="eastAsia" w:ascii="宋体" w:hAnsi="宋体" w:cs="Courier New"/>
          <w:b/>
          <w:bCs/>
          <w:color w:val="auto"/>
          <w:kern w:val="0"/>
          <w:sz w:val="24"/>
          <w:szCs w:val="24"/>
          <w:highlight w:val="none"/>
        </w:rPr>
        <w:t>售后服务承诺及方案</w:t>
      </w:r>
    </w:p>
    <w:p>
      <w:pPr>
        <w:ind w:firstLine="3240" w:firstLineChars="1350"/>
        <w:rPr>
          <w:rFonts w:ascii="宋体" w:hAnsi="宋体"/>
          <w:color w:val="auto"/>
          <w:sz w:val="24"/>
          <w:szCs w:val="24"/>
          <w:highlight w:val="none"/>
        </w:rPr>
      </w:pPr>
    </w:p>
    <w:p>
      <w:pPr>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一．售后服务承诺</w:t>
      </w:r>
    </w:p>
    <w:p>
      <w:pPr>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2.质保期过后年内，投标人将继续提供免费维修服务，在此期间不收取维护费，如需更换零配件，只收取零配件的成本费。</w:t>
      </w:r>
    </w:p>
    <w:p>
      <w:pPr>
        <w:pStyle w:val="42"/>
        <w:spacing w:line="360" w:lineRule="auto"/>
        <w:ind w:left="0" w:leftChars="0"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5.免费安装调试、人员培训、技术支持。</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6.定期进行用户回访，及时处理用户意见。</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二．技术培训</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免费培训内容：</w:t>
      </w:r>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培训日期及地点：</w:t>
      </w:r>
    </w:p>
    <w:p>
      <w:pPr>
        <w:adjustRightInd w:val="0"/>
        <w:spacing w:line="336"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三．售后服务机构和服务体系</w:t>
      </w:r>
    </w:p>
    <w:p>
      <w:pPr>
        <w:spacing w:line="336" w:lineRule="auto"/>
        <w:ind w:firstLine="480" w:firstLineChars="200"/>
        <w:rPr>
          <w:rFonts w:ascii="宋体" w:hAnsi="宋体" w:cs="Courier New"/>
          <w:color w:val="auto"/>
          <w:kern w:val="0"/>
          <w:sz w:val="24"/>
          <w:szCs w:val="24"/>
          <w:highlight w:val="none"/>
        </w:rPr>
      </w:pPr>
      <w:bookmarkStart w:id="29" w:name="_Toc266431151"/>
      <w:r>
        <w:rPr>
          <w:rFonts w:ascii="宋体" w:hAnsi="宋体" w:cs="Courier New"/>
          <w:color w:val="auto"/>
          <w:kern w:val="0"/>
          <w:sz w:val="24"/>
          <w:szCs w:val="24"/>
          <w:highlight w:val="none"/>
        </w:rPr>
        <w:t>1.</w:t>
      </w:r>
      <w:r>
        <w:rPr>
          <w:rFonts w:hint="eastAsia" w:ascii="宋体" w:hAnsi="宋体" w:cs="Courier New"/>
          <w:color w:val="auto"/>
          <w:kern w:val="0"/>
          <w:sz w:val="24"/>
          <w:szCs w:val="24"/>
          <w:highlight w:val="none"/>
        </w:rPr>
        <w:t>生产厂家售后服务机构、联系人、联系电话</w:t>
      </w:r>
      <w:bookmarkEnd w:id="29"/>
      <w:r>
        <w:rPr>
          <w:rFonts w:hint="eastAsia" w:ascii="宋体" w:hAnsi="宋体" w:cs="Courier New"/>
          <w:color w:val="auto"/>
          <w:kern w:val="0"/>
          <w:sz w:val="24"/>
          <w:szCs w:val="24"/>
          <w:highlight w:val="none"/>
        </w:rPr>
        <w:t>。</w:t>
      </w:r>
    </w:p>
    <w:p>
      <w:pPr>
        <w:pStyle w:val="44"/>
        <w:spacing w:line="336" w:lineRule="auto"/>
        <w:ind w:firstLine="480" w:firstLineChars="200"/>
        <w:rPr>
          <w:rFonts w:hAnsi="宋体"/>
          <w:color w:val="auto"/>
          <w:sz w:val="24"/>
          <w:szCs w:val="24"/>
          <w:highlight w:val="none"/>
        </w:rPr>
      </w:pPr>
      <w:bookmarkStart w:id="30" w:name="_Toc266431152"/>
      <w:r>
        <w:rPr>
          <w:rFonts w:hAnsi="宋体"/>
          <w:color w:val="auto"/>
          <w:sz w:val="24"/>
          <w:szCs w:val="24"/>
          <w:highlight w:val="none"/>
        </w:rPr>
        <w:t>2.</w:t>
      </w:r>
      <w:r>
        <w:rPr>
          <w:rFonts w:hint="eastAsia" w:hAnsi="宋体"/>
          <w:color w:val="auto"/>
          <w:sz w:val="24"/>
          <w:szCs w:val="24"/>
          <w:highlight w:val="none"/>
        </w:rPr>
        <w:t>本地化售后服务网点分布、机构名称、联系人、联系电话。</w:t>
      </w:r>
      <w:bookmarkEnd w:id="30"/>
    </w:p>
    <w:p>
      <w:pPr>
        <w:adjustRightInd w:val="0"/>
        <w:spacing w:line="360" w:lineRule="auto"/>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四．售后方案（自拟）</w:t>
      </w:r>
    </w:p>
    <w:p>
      <w:pPr>
        <w:adjustRightInd w:val="0"/>
        <w:spacing w:line="360" w:lineRule="auto"/>
        <w:ind w:firstLine="480" w:firstLineChars="200"/>
        <w:rPr>
          <w:rFonts w:ascii="宋体" w:hAnsi="宋体" w:cs="Courier New"/>
          <w:color w:val="auto"/>
          <w:kern w:val="0"/>
          <w:sz w:val="24"/>
          <w:szCs w:val="24"/>
          <w:highlight w:val="none"/>
        </w:rPr>
      </w:pPr>
    </w:p>
    <w:p>
      <w:pPr>
        <w:ind w:firstLine="480" w:firstLineChars="2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注：投标人提供售后服务承诺及方案不少于以上内容。</w:t>
      </w:r>
    </w:p>
    <w:p>
      <w:pPr>
        <w:spacing w:line="360" w:lineRule="auto"/>
        <w:rPr>
          <w:rFonts w:ascii="宋体" w:hAnsi="宋体"/>
          <w:bCs/>
          <w:color w:val="auto"/>
          <w:kern w:val="0"/>
          <w:sz w:val="24"/>
          <w:szCs w:val="24"/>
          <w:highlight w:val="none"/>
        </w:rPr>
      </w:pPr>
      <w:r>
        <w:rPr>
          <w:rFonts w:ascii="宋体" w:hAnsi="宋体"/>
          <w:bCs/>
          <w:color w:val="auto"/>
          <w:kern w:val="0"/>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bCs/>
          <w:color w:val="auto"/>
          <w:kern w:val="0"/>
          <w:sz w:val="24"/>
          <w:szCs w:val="24"/>
          <w:highlight w:val="none"/>
        </w:rPr>
        <w:t>格式十四：</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商务规格响应表</w:t>
      </w:r>
    </w:p>
    <w:tbl>
      <w:tblPr>
        <w:tblStyle w:val="2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招标文件商务</w:t>
            </w:r>
          </w:p>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投标人响应的</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bl>
    <w:p>
      <w:pPr>
        <w:spacing w:line="360" w:lineRule="auto"/>
        <w:ind w:right="57" w:firstLine="360" w:firstLineChars="150"/>
        <w:rPr>
          <w:rFonts w:ascii="宋体" w:hAnsi="宋体"/>
          <w:color w:val="auto"/>
          <w:sz w:val="24"/>
          <w:szCs w:val="24"/>
          <w:highlight w:val="none"/>
        </w:rPr>
      </w:pPr>
      <w:r>
        <w:rPr>
          <w:rFonts w:hint="eastAsia" w:ascii="宋体" w:hAnsi="宋体"/>
          <w:color w:val="auto"/>
          <w:sz w:val="24"/>
          <w:szCs w:val="24"/>
          <w:highlight w:val="none"/>
        </w:rPr>
        <w:t>说明：</w:t>
      </w:r>
      <w:r>
        <w:rPr>
          <w:rFonts w:hint="eastAsia" w:ascii="宋体" w:hAnsi="宋体" w:cs="宋体"/>
          <w:color w:val="auto"/>
          <w:sz w:val="24"/>
          <w:szCs w:val="24"/>
          <w:highlight w:val="none"/>
        </w:rPr>
        <w:t>“响应程度”处可填写满足、响应或正偏离、负偏离。</w:t>
      </w:r>
    </w:p>
    <w:p>
      <w:pPr>
        <w:spacing w:line="360" w:lineRule="auto"/>
        <w:rPr>
          <w:rFonts w:ascii="宋体" w:hAnsi="宋体"/>
          <w:color w:val="auto"/>
          <w:sz w:val="24"/>
          <w:szCs w:val="24"/>
          <w:highlight w:val="none"/>
        </w:rPr>
      </w:pPr>
      <w:r>
        <w:rPr>
          <w:rFonts w:ascii="宋体" w:hAnsi="宋体"/>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 xml:space="preserve">格式十五：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投标人业绩情况表</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057"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使用单位</w:t>
            </w:r>
          </w:p>
        </w:tc>
        <w:tc>
          <w:tcPr>
            <w:tcW w:w="3539"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业绩名称</w:t>
            </w:r>
          </w:p>
        </w:tc>
        <w:tc>
          <w:tcPr>
            <w:tcW w:w="170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合同总价</w:t>
            </w:r>
          </w:p>
        </w:tc>
        <w:tc>
          <w:tcPr>
            <w:tcW w:w="1706"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1</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2</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3</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4</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ascii="宋体" w:hAnsi="宋体"/>
                <w:color w:val="auto"/>
                <w:kern w:val="0"/>
                <w:sz w:val="24"/>
                <w:szCs w:val="24"/>
                <w:highlight w:val="none"/>
              </w:rPr>
              <w:t>…</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bl>
    <w:p>
      <w:pPr>
        <w:rPr>
          <w:rFonts w:ascii="宋体" w:hAnsi="宋体"/>
          <w:color w:val="auto"/>
          <w:sz w:val="24"/>
          <w:szCs w:val="24"/>
          <w:highlight w:val="none"/>
        </w:rPr>
      </w:pPr>
      <w:r>
        <w:rPr>
          <w:rFonts w:hint="eastAsia" w:ascii="宋体" w:hAnsi="宋体"/>
          <w:color w:val="auto"/>
          <w:sz w:val="24"/>
          <w:szCs w:val="24"/>
          <w:highlight w:val="none"/>
        </w:rPr>
        <w:t>注：投标人根据上述业绩情况后附销售或服务</w:t>
      </w:r>
      <w:r>
        <w:rPr>
          <w:rFonts w:ascii="宋体" w:hAnsi="宋体"/>
          <w:color w:val="auto"/>
          <w:sz w:val="24"/>
          <w:szCs w:val="24"/>
          <w:highlight w:val="none"/>
        </w:rPr>
        <w:t>合同</w:t>
      </w:r>
      <w:r>
        <w:rPr>
          <w:rFonts w:hint="eastAsia" w:ascii="宋体" w:hAnsi="宋体"/>
          <w:color w:val="auto"/>
          <w:sz w:val="24"/>
          <w:szCs w:val="24"/>
          <w:highlight w:val="none"/>
        </w:rPr>
        <w:t>复印件。</w:t>
      </w:r>
    </w:p>
    <w:p>
      <w:pPr>
        <w:spacing w:line="360" w:lineRule="auto"/>
        <w:rPr>
          <w:rFonts w:ascii="宋体" w:hAnsi="宋体"/>
          <w:b/>
          <w:color w:val="auto"/>
          <w:sz w:val="24"/>
          <w:szCs w:val="24"/>
          <w:highlight w:val="none"/>
        </w:rPr>
      </w:pPr>
      <w:r>
        <w:rPr>
          <w:rFonts w:ascii="宋体" w:hAnsi="宋体"/>
          <w:color w:val="auto"/>
          <w:sz w:val="24"/>
          <w:szCs w:val="24"/>
          <w:highlight w:val="none"/>
        </w:rPr>
        <w:br w:type="page"/>
      </w:r>
      <w:r>
        <w:rPr>
          <w:rFonts w:hint="eastAsia" w:ascii="宋体" w:hAnsi="宋体"/>
          <w:b/>
          <w:color w:val="auto"/>
          <w:sz w:val="24"/>
          <w:szCs w:val="24"/>
          <w:highlight w:val="none"/>
        </w:rPr>
        <w:t xml:space="preserve">格式十六：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投标人基本情况表</w:t>
      </w:r>
    </w:p>
    <w:tbl>
      <w:tblPr>
        <w:tblStyle w:val="22"/>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注：投标单位须在该表后附</w:t>
            </w:r>
            <w:r>
              <w:rPr>
                <w:rFonts w:hint="eastAsia" w:ascii="宋体" w:hAnsi="宋体" w:cs="宋体"/>
                <w:bCs/>
                <w:color w:val="auto"/>
                <w:sz w:val="24"/>
                <w:szCs w:val="24"/>
                <w:highlight w:val="none"/>
              </w:rPr>
              <w:t>法人或其他组织的营业执照副本、自然人的身份证明</w:t>
            </w:r>
            <w:r>
              <w:rPr>
                <w:rFonts w:hint="eastAsia" w:ascii="宋体" w:hAnsi="宋体"/>
                <w:color w:val="auto"/>
                <w:sz w:val="24"/>
                <w:szCs w:val="24"/>
                <w:highlight w:val="none"/>
              </w:rPr>
              <w:t>及招标公告中投标人资质要求的其他资质证明等。</w:t>
            </w:r>
          </w:p>
        </w:tc>
      </w:tr>
    </w:tbl>
    <w:p>
      <w:pPr>
        <w:spacing w:line="360" w:lineRule="auto"/>
        <w:rPr>
          <w:rFonts w:ascii="宋体" w:hAnsi="宋体"/>
          <w:color w:val="auto"/>
          <w:sz w:val="24"/>
          <w:szCs w:val="24"/>
          <w:highlight w:val="none"/>
        </w:rPr>
      </w:pPr>
      <w:r>
        <w:rPr>
          <w:rFonts w:hint="eastAsia" w:ascii="宋体" w:hAnsi="宋体"/>
          <w:color w:val="auto"/>
          <w:sz w:val="24"/>
          <w:szCs w:val="24"/>
          <w:highlight w:val="none"/>
        </w:rPr>
        <w:t>说明：</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 xml:space="preserve">格式十七：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上一年度财务会计制度</w:t>
      </w:r>
    </w:p>
    <w:p>
      <w:pPr>
        <w:spacing w:line="360" w:lineRule="auto"/>
        <w:rPr>
          <w:rFonts w:ascii="宋体" w:hAnsi="宋体"/>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按照本招标文件第六章资格性审查的要求，提供投标人的财务审计报告或资信证明。</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说明：</w:t>
      </w:r>
    </w:p>
    <w:p>
      <w:pPr>
        <w:spacing w:line="360" w:lineRule="auto"/>
        <w:rPr>
          <w:rFonts w:ascii="宋体" w:hAnsi="宋体"/>
          <w:color w:val="auto"/>
          <w:sz w:val="24"/>
          <w:szCs w:val="24"/>
          <w:highlight w:val="none"/>
        </w:rPr>
      </w:pPr>
      <w:bookmarkStart w:id="31" w:name="_Toc438655702"/>
      <w:bookmarkStart w:id="32" w:name="_Toc482026556"/>
      <w:bookmarkStart w:id="33" w:name="_Toc438714732"/>
      <w:r>
        <w:rPr>
          <w:rFonts w:hint="eastAsia" w:ascii="宋体" w:hAnsi="宋体"/>
          <w:color w:val="auto"/>
          <w:sz w:val="24"/>
          <w:szCs w:val="24"/>
          <w:highlight w:val="none"/>
        </w:rPr>
        <w:t>1.提供投标人财务审计报告的，须提供会计师事务所出具的经审计的财务报告。</w:t>
      </w:r>
    </w:p>
    <w:p>
      <w:pPr>
        <w:rPr>
          <w:rFonts w:ascii="宋体" w:hAnsi="宋体"/>
          <w:color w:val="auto"/>
          <w:sz w:val="24"/>
          <w:szCs w:val="24"/>
          <w:highlight w:val="none"/>
        </w:rPr>
      </w:pPr>
      <w:r>
        <w:rPr>
          <w:rFonts w:hint="eastAsia" w:ascii="宋体" w:hAnsi="宋体"/>
          <w:color w:val="auto"/>
          <w:sz w:val="24"/>
          <w:szCs w:val="24"/>
          <w:highlight w:val="none"/>
        </w:rPr>
        <w:t>2.提供投标人银行资信证明的，同时提供基本开户银行的开户许可证。</w:t>
      </w:r>
    </w:p>
    <w:p>
      <w:pPr>
        <w:autoSpaceDE w:val="0"/>
        <w:autoSpaceDN w:val="0"/>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格式十八：</w:t>
      </w:r>
      <w:bookmarkEnd w:id="31"/>
      <w:bookmarkEnd w:id="32"/>
      <w:bookmarkEnd w:id="33"/>
    </w:p>
    <w:p>
      <w:pPr>
        <w:autoSpaceDE w:val="0"/>
        <w:autoSpaceDN w:val="0"/>
        <w:spacing w:line="360" w:lineRule="auto"/>
        <w:jc w:val="center"/>
        <w:rPr>
          <w:rFonts w:ascii="宋体" w:hAnsi="宋体"/>
          <w:b/>
          <w:bCs/>
          <w:color w:val="auto"/>
          <w:sz w:val="24"/>
          <w:szCs w:val="24"/>
          <w:highlight w:val="none"/>
        </w:rPr>
      </w:pPr>
      <w:bookmarkStart w:id="34" w:name="_Toc438714733"/>
      <w:bookmarkStart w:id="35" w:name="_Toc438655703"/>
      <w:bookmarkStart w:id="36" w:name="_Toc482026557"/>
      <w:r>
        <w:rPr>
          <w:rFonts w:hint="eastAsia" w:ascii="宋体" w:hAnsi="宋体"/>
          <w:b/>
          <w:bCs/>
          <w:color w:val="auto"/>
          <w:sz w:val="24"/>
          <w:szCs w:val="24"/>
          <w:highlight w:val="none"/>
        </w:rPr>
        <w:t>缴纳税收的凭据</w:t>
      </w:r>
    </w:p>
    <w:p>
      <w:pPr>
        <w:autoSpaceDE w:val="0"/>
        <w:autoSpaceDN w:val="0"/>
        <w:spacing w:line="360" w:lineRule="auto"/>
        <w:jc w:val="center"/>
        <w:rPr>
          <w:rFonts w:ascii="宋体" w:hAnsi="宋体"/>
          <w:b/>
          <w:color w:val="auto"/>
          <w:sz w:val="24"/>
          <w:szCs w:val="24"/>
          <w:highlight w:val="none"/>
        </w:rPr>
      </w:pPr>
    </w:p>
    <w:p>
      <w:pPr>
        <w:autoSpaceDE w:val="0"/>
        <w:autoSpaceDN w:val="0"/>
        <w:spacing w:line="360" w:lineRule="auto"/>
        <w:ind w:firstLine="570"/>
        <w:jc w:val="left"/>
        <w:rPr>
          <w:rFonts w:ascii="宋体" w:hAnsi="宋体" w:cs="宋体"/>
          <w:color w:val="auto"/>
          <w:sz w:val="24"/>
          <w:szCs w:val="24"/>
          <w:highlight w:val="none"/>
        </w:rPr>
      </w:pPr>
      <w:r>
        <w:rPr>
          <w:rFonts w:hint="eastAsia" w:ascii="宋体" w:hAnsi="宋体"/>
          <w:color w:val="auto"/>
          <w:sz w:val="24"/>
          <w:szCs w:val="24"/>
          <w:highlight w:val="none"/>
        </w:rPr>
        <w:t>提供递交投标文件截止之日前六个月内（至少一个月）的良好缴纳税收的相关凭据。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b/>
          <w:color w:val="auto"/>
          <w:sz w:val="24"/>
          <w:szCs w:val="24"/>
          <w:highlight w:val="none"/>
        </w:rPr>
        <w:t>说明：</w:t>
      </w:r>
      <w:r>
        <w:rPr>
          <w:rFonts w:hint="eastAsia"/>
          <w:color w:val="auto"/>
          <w:sz w:val="24"/>
          <w:szCs w:val="24"/>
          <w:highlight w:val="none"/>
        </w:rPr>
        <w:t>依法免税的投标人，应提供相应文件证明其依法免税。</w:t>
      </w:r>
    </w:p>
    <w:p>
      <w:pPr>
        <w:autoSpaceDE w:val="0"/>
        <w:autoSpaceDN w:val="0"/>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格式十九：</w:t>
      </w:r>
      <w:bookmarkEnd w:id="34"/>
      <w:bookmarkEnd w:id="35"/>
      <w:bookmarkEnd w:id="36"/>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缴纳社会保险的凭据</w:t>
      </w:r>
    </w:p>
    <w:p>
      <w:pPr>
        <w:autoSpaceDE w:val="0"/>
        <w:autoSpaceDN w:val="0"/>
        <w:spacing w:line="360" w:lineRule="auto"/>
        <w:rPr>
          <w:rFonts w:ascii="宋体" w:hAnsi="宋体"/>
          <w:b/>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color w:val="auto"/>
          <w:sz w:val="24"/>
          <w:szCs w:val="24"/>
          <w:highlight w:val="none"/>
        </w:rPr>
        <w:t>提供递交投标文件截止之日前六个月内（至少一个月）缴纳社会保险的凭证。（以社保机构出具的专用收据或社会保险缴纳清单为准）</w:t>
      </w:r>
    </w:p>
    <w:p>
      <w:pPr>
        <w:spacing w:line="360" w:lineRule="auto"/>
        <w:ind w:firstLine="482" w:firstLineChars="200"/>
        <w:rPr>
          <w:color w:val="auto"/>
          <w:sz w:val="24"/>
          <w:szCs w:val="24"/>
          <w:highlight w:val="none"/>
        </w:rPr>
      </w:pPr>
      <w:r>
        <w:rPr>
          <w:rFonts w:hint="eastAsia" w:ascii="宋体" w:hAnsi="宋体"/>
          <w:b/>
          <w:color w:val="auto"/>
          <w:sz w:val="24"/>
          <w:szCs w:val="24"/>
          <w:highlight w:val="none"/>
        </w:rPr>
        <w:t>说明：</w:t>
      </w:r>
      <w:r>
        <w:rPr>
          <w:rFonts w:hint="eastAsia"/>
          <w:color w:val="auto"/>
          <w:sz w:val="24"/>
          <w:szCs w:val="24"/>
          <w:highlight w:val="none"/>
        </w:rPr>
        <w:t>提供</w:t>
      </w:r>
      <w:r>
        <w:rPr>
          <w:rFonts w:hint="eastAsia" w:ascii="宋体" w:hAnsi="宋体"/>
          <w:color w:val="auto"/>
          <w:sz w:val="24"/>
          <w:szCs w:val="24"/>
          <w:highlight w:val="none"/>
        </w:rPr>
        <w:t>社保缴纳清单的须加盖相关社保部门的公章；</w:t>
      </w:r>
      <w:r>
        <w:rPr>
          <w:rFonts w:hint="eastAsia"/>
          <w:color w:val="auto"/>
          <w:sz w:val="24"/>
          <w:szCs w:val="24"/>
          <w:highlight w:val="none"/>
        </w:rPr>
        <w:t>依法不需要缴纳社会保障资金的投标人，应提供相应文件证明其依法不需要缴纳社会保障资金。</w:t>
      </w:r>
    </w:p>
    <w:p>
      <w:pPr>
        <w:ind w:firstLine="480" w:firstLineChars="200"/>
        <w:rPr>
          <w:color w:val="auto"/>
          <w:sz w:val="24"/>
          <w:szCs w:val="24"/>
          <w:highlight w:val="none"/>
        </w:rPr>
      </w:pPr>
      <w:r>
        <w:rPr>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格式二十：</w:t>
      </w:r>
    </w:p>
    <w:p>
      <w:pPr>
        <w:rPr>
          <w:color w:val="auto"/>
          <w:sz w:val="24"/>
          <w:szCs w:val="24"/>
          <w:highlight w:val="none"/>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0" w:firstLineChars="600"/>
        <w:rPr>
          <w:rFonts w:ascii="宋体" w:hAnsi="宋体" w:cs="宋体"/>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（采购单位名称）：</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在参加此次政府采购活动前3年内，本公司在经营活动中无重大违法记录和行政处罚，并在“信用中国”网站(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29"/>
          <w:rFonts w:hint="eastAsia" w:ascii="宋体" w:hAnsi="宋体" w:cs="宋体"/>
          <w:color w:val="auto"/>
          <w:kern w:val="0"/>
          <w:sz w:val="24"/>
          <w:szCs w:val="24"/>
          <w:highlight w:val="none"/>
        </w:rPr>
        <w:t>www.creditchina.gov.cn</w:t>
      </w:r>
      <w:r>
        <w:rPr>
          <w:rStyle w:val="29"/>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)、“中国政府采购网”网站（</w:t>
      </w:r>
      <w:r>
        <w:rPr>
          <w:rStyle w:val="29"/>
          <w:rFonts w:hint="eastAsia" w:ascii="宋体" w:hAnsi="宋体"/>
          <w:color w:val="auto"/>
          <w:sz w:val="24"/>
          <w:szCs w:val="24"/>
          <w:highlight w:val="none"/>
        </w:rPr>
        <w:t>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无任何违法违规行为的纪录（后附网站查询结果截图）。</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p>
    <w:p>
      <w:pPr>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p>
    <w:p>
      <w:pPr>
        <w:autoSpaceDE w:val="0"/>
        <w:autoSpaceDN w:val="0"/>
        <w:spacing w:line="360" w:lineRule="auto"/>
        <w:rPr>
          <w:rFonts w:ascii="宋体" w:hAnsi="宋体"/>
          <w:b/>
          <w:bCs/>
          <w:color w:val="auto"/>
          <w:kern w:val="0"/>
          <w:sz w:val="24"/>
          <w:szCs w:val="24"/>
          <w:highlight w:val="none"/>
        </w:rPr>
      </w:pPr>
    </w:p>
    <w:p>
      <w:pPr>
        <w:autoSpaceDE w:val="0"/>
        <w:autoSpaceDN w:val="0"/>
        <w:spacing w:line="360" w:lineRule="auto"/>
        <w:rPr>
          <w:rFonts w:ascii="宋体" w:hAnsi="宋体"/>
          <w:b/>
          <w:bCs/>
          <w:color w:val="auto"/>
          <w:kern w:val="0"/>
          <w:sz w:val="24"/>
          <w:szCs w:val="24"/>
          <w:highlight w:val="none"/>
        </w:rPr>
      </w:pPr>
    </w:p>
    <w:p>
      <w:pPr>
        <w:autoSpaceDE w:val="0"/>
        <w:autoSpaceDN w:val="0"/>
        <w:spacing w:line="360" w:lineRule="auto"/>
        <w:rPr>
          <w:rFonts w:ascii="宋体" w:hAnsi="宋体"/>
          <w:b/>
          <w:bCs/>
          <w:color w:val="auto"/>
          <w:kern w:val="0"/>
          <w:sz w:val="24"/>
          <w:szCs w:val="24"/>
          <w:highlight w:val="none"/>
        </w:rPr>
      </w:pPr>
    </w:p>
    <w:p>
      <w:pPr>
        <w:autoSpaceDE w:val="0"/>
        <w:autoSpaceDN w:val="0"/>
        <w:spacing w:line="360" w:lineRule="auto"/>
        <w:rPr>
          <w:rFonts w:ascii="宋体" w:hAnsi="宋体"/>
          <w:b/>
          <w:bCs/>
          <w:color w:val="auto"/>
          <w:kern w:val="0"/>
          <w:sz w:val="24"/>
          <w:szCs w:val="24"/>
          <w:highlight w:val="none"/>
        </w:rPr>
      </w:pPr>
    </w:p>
    <w:p>
      <w:pPr>
        <w:autoSpaceDE w:val="0"/>
        <w:autoSpaceDN w:val="0"/>
        <w:spacing w:line="360" w:lineRule="auto"/>
        <w:rPr>
          <w:rFonts w:ascii="宋体" w:hAnsi="宋体"/>
          <w:b/>
          <w:bCs/>
          <w:color w:val="auto"/>
          <w:kern w:val="0"/>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（2）登录“中国政府采购网”网站，点击“</w:t>
      </w:r>
      <w:r>
        <w:rPr>
          <w:color w:val="auto"/>
          <w:highlight w:val="none"/>
        </w:rPr>
        <w:fldChar w:fldCharType="begin"/>
      </w:r>
      <w:r>
        <w:rPr>
          <w:color w:val="auto"/>
          <w:highlight w:val="none"/>
        </w:rPr>
        <w:instrText xml:space="preserve"> HYPERLINK "http://www.ccgp.gov.cn/search/cr/" \o "政府采购严重违法失信行为记录名单" </w:instrText>
      </w:r>
      <w:r>
        <w:rPr>
          <w:color w:val="auto"/>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autoSpaceDE w:val="0"/>
        <w:autoSpaceDN w:val="0"/>
        <w:spacing w:line="360" w:lineRule="auto"/>
        <w:rPr>
          <w:rFonts w:ascii="宋体" w:hAnsi="宋体"/>
          <w:b/>
          <w:bCs/>
          <w:color w:val="auto"/>
          <w:kern w:val="0"/>
          <w:sz w:val="24"/>
          <w:szCs w:val="24"/>
          <w:highlight w:val="none"/>
        </w:rPr>
      </w:pPr>
      <w:r>
        <w:rPr>
          <w:rFonts w:hint="eastAsia" w:ascii="宋体" w:hAnsi="宋体"/>
          <w:b/>
          <w:bCs/>
          <w:color w:val="auto"/>
          <w:kern w:val="0"/>
          <w:sz w:val="24"/>
          <w:szCs w:val="24"/>
          <w:highlight w:val="none"/>
        </w:rPr>
        <w:t>格式二十一：</w:t>
      </w:r>
    </w:p>
    <w:p>
      <w:pPr>
        <w:autoSpaceDE w:val="0"/>
        <w:autoSpaceDN w:val="0"/>
        <w:spacing w:line="360" w:lineRule="auto"/>
        <w:jc w:val="center"/>
        <w:rPr>
          <w:rFonts w:ascii="宋体" w:hAnsi="宋体"/>
          <w:b/>
          <w:bCs/>
          <w:color w:val="auto"/>
          <w:kern w:val="0"/>
          <w:sz w:val="24"/>
          <w:szCs w:val="24"/>
          <w:highlight w:val="none"/>
        </w:rPr>
      </w:pPr>
      <w:r>
        <w:rPr>
          <w:rFonts w:hint="eastAsia" w:ascii="宋体" w:hAnsi="宋体"/>
          <w:b/>
          <w:color w:val="auto"/>
          <w:sz w:val="21"/>
          <w:szCs w:val="21"/>
          <w:highlight w:val="none"/>
        </w:rPr>
        <w:t>政府采购政策情况表</w:t>
      </w:r>
    </w:p>
    <w:tbl>
      <w:tblPr>
        <w:tblStyle w:val="2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52"/>
              <w:tabs>
                <w:tab w:val="left" w:pos="1260"/>
              </w:tabs>
              <w:spacing w:before="156" w:after="156"/>
              <w:rPr>
                <w:rFonts w:ascii="宋体" w:hAnsi="宋体" w:cs="宋体"/>
                <w:color w:val="auto"/>
                <w:kern w:val="0"/>
                <w:sz w:val="24"/>
                <w:highlight w:val="none"/>
              </w:rPr>
            </w:pPr>
            <w:r>
              <w:rPr>
                <w:rFonts w:hint="eastAsia" w:ascii="宋体" w:hAnsi="宋体" w:cs="宋体"/>
                <w:color w:val="auto"/>
                <w:kern w:val="0"/>
                <w:sz w:val="24"/>
                <w:highlight w:val="none"/>
              </w:rPr>
              <w:t>中小企业扶持政策</w:t>
            </w:r>
          </w:p>
          <w:p>
            <w:pPr>
              <w:pStyle w:val="52"/>
              <w:tabs>
                <w:tab w:val="left" w:pos="1260"/>
              </w:tabs>
              <w:spacing w:before="156" w:after="156"/>
              <w:ind w:firstLine="480"/>
              <w:jc w:val="center"/>
              <w:rPr>
                <w:rFonts w:ascii="宋体" w:hAnsi="宋体" w:cs="宋体"/>
                <w:color w:val="auto"/>
                <w:kern w:val="0"/>
                <w:sz w:val="24"/>
                <w:highlight w:val="none"/>
              </w:rPr>
            </w:pPr>
          </w:p>
        </w:tc>
        <w:tc>
          <w:tcPr>
            <w:tcW w:w="7899" w:type="dxa"/>
            <w:gridSpan w:val="5"/>
            <w:vAlign w:val="center"/>
          </w:tcPr>
          <w:p>
            <w:pPr>
              <w:pStyle w:val="52"/>
              <w:tabs>
                <w:tab w:val="left" w:pos="1260"/>
              </w:tabs>
              <w:spacing w:before="40" w:after="40"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如属所列情形的，请在括号内打“√”：</w:t>
            </w:r>
          </w:p>
          <w:p>
            <w:pPr>
              <w:pStyle w:val="52"/>
              <w:tabs>
                <w:tab w:val="left" w:pos="1260"/>
              </w:tabs>
              <w:spacing w:before="40" w:after="40" w:line="360" w:lineRule="auto"/>
              <w:rPr>
                <w:rFonts w:ascii="宋体" w:hAnsi="宋体" w:cs="宋体"/>
                <w:color w:val="auto"/>
                <w:kern w:val="0"/>
                <w:sz w:val="24"/>
                <w:highlight w:val="none"/>
              </w:rPr>
            </w:pPr>
            <w:r>
              <w:rPr>
                <w:rFonts w:hint="eastAsia" w:ascii="宋体" w:hAnsi="宋体" w:cs="宋体"/>
                <w:color w:val="auto"/>
                <w:kern w:val="0"/>
                <w:sz w:val="24"/>
                <w:highlight w:val="none"/>
              </w:rPr>
              <w:t>（  ）小型、微型企业投标且提供本企业制造的产品。</w:t>
            </w:r>
          </w:p>
          <w:p>
            <w:pPr>
              <w:pStyle w:val="52"/>
              <w:tabs>
                <w:tab w:val="left" w:pos="1260"/>
              </w:tabs>
              <w:spacing w:before="40" w:after="40" w:line="360" w:lineRule="auto"/>
              <w:rPr>
                <w:rFonts w:ascii="宋体" w:hAnsi="宋体" w:cs="宋体"/>
                <w:color w:val="auto"/>
                <w:kern w:val="0"/>
                <w:sz w:val="24"/>
                <w:highlight w:val="none"/>
              </w:rPr>
            </w:pPr>
            <w:r>
              <w:rPr>
                <w:rFonts w:hint="eastAsia" w:ascii="宋体" w:hAnsi="宋体" w:cs="宋体"/>
                <w:color w:val="auto"/>
                <w:kern w:val="0"/>
                <w:sz w:val="24"/>
                <w:highlight w:val="none"/>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52"/>
              <w:tabs>
                <w:tab w:val="left" w:pos="1260"/>
              </w:tabs>
              <w:spacing w:before="156" w:after="156"/>
              <w:ind w:firstLine="480"/>
              <w:jc w:val="center"/>
              <w:rPr>
                <w:rFonts w:ascii="宋体" w:hAnsi="宋体" w:cs="宋体"/>
                <w:color w:val="auto"/>
                <w:kern w:val="0"/>
                <w:sz w:val="24"/>
                <w:highlight w:val="none"/>
              </w:rPr>
            </w:pPr>
          </w:p>
        </w:tc>
        <w:tc>
          <w:tcPr>
            <w:tcW w:w="1702" w:type="dxa"/>
            <w:vAlign w:val="center"/>
          </w:tcPr>
          <w:p>
            <w:pPr>
              <w:pStyle w:val="52"/>
              <w:tabs>
                <w:tab w:val="left" w:pos="1260"/>
              </w:tabs>
              <w:spacing w:before="40" w:after="40"/>
              <w:rPr>
                <w:rFonts w:ascii="宋体" w:hAnsi="宋体" w:cs="宋体"/>
                <w:color w:val="auto"/>
                <w:kern w:val="0"/>
                <w:sz w:val="24"/>
                <w:highlight w:val="none"/>
              </w:rPr>
            </w:pPr>
            <w:r>
              <w:rPr>
                <w:rFonts w:hint="eastAsia" w:ascii="宋体" w:hAnsi="宋体" w:cs="宋体"/>
                <w:color w:val="auto"/>
                <w:kern w:val="0"/>
                <w:sz w:val="24"/>
                <w:highlight w:val="none"/>
              </w:rPr>
              <w:t>核心产品名称</w:t>
            </w:r>
          </w:p>
        </w:tc>
        <w:tc>
          <w:tcPr>
            <w:tcW w:w="1196" w:type="dxa"/>
            <w:vAlign w:val="center"/>
          </w:tcPr>
          <w:p>
            <w:pPr>
              <w:pStyle w:val="52"/>
              <w:tabs>
                <w:tab w:val="left" w:pos="1260"/>
              </w:tabs>
              <w:spacing w:before="40" w:after="40"/>
              <w:rPr>
                <w:rFonts w:ascii="宋体" w:hAnsi="宋体" w:cs="宋体"/>
                <w:color w:val="auto"/>
                <w:kern w:val="0"/>
                <w:sz w:val="24"/>
                <w:highlight w:val="none"/>
              </w:rPr>
            </w:pPr>
            <w:r>
              <w:rPr>
                <w:rFonts w:hint="eastAsia" w:ascii="宋体" w:hAnsi="宋体" w:cs="宋体"/>
                <w:color w:val="auto"/>
                <w:kern w:val="0"/>
                <w:sz w:val="24"/>
                <w:highlight w:val="none"/>
              </w:rPr>
              <w:t>品牌型号</w:t>
            </w:r>
          </w:p>
        </w:tc>
        <w:tc>
          <w:tcPr>
            <w:tcW w:w="1356" w:type="dxa"/>
            <w:vAlign w:val="center"/>
          </w:tcPr>
          <w:p>
            <w:pPr>
              <w:pStyle w:val="52"/>
              <w:tabs>
                <w:tab w:val="left" w:pos="1260"/>
              </w:tabs>
              <w:spacing w:before="40" w:after="40"/>
              <w:rPr>
                <w:rFonts w:ascii="宋体" w:hAnsi="宋体" w:cs="宋体"/>
                <w:color w:val="auto"/>
                <w:kern w:val="0"/>
                <w:sz w:val="24"/>
                <w:highlight w:val="none"/>
              </w:rPr>
            </w:pPr>
            <w:r>
              <w:rPr>
                <w:rFonts w:hint="eastAsia" w:ascii="宋体" w:hAnsi="宋体" w:cs="宋体"/>
                <w:color w:val="auto"/>
                <w:kern w:val="0"/>
                <w:sz w:val="24"/>
                <w:highlight w:val="none"/>
              </w:rPr>
              <w:t>制造商</w:t>
            </w:r>
          </w:p>
        </w:tc>
        <w:tc>
          <w:tcPr>
            <w:tcW w:w="1960" w:type="dxa"/>
            <w:vAlign w:val="center"/>
          </w:tcPr>
          <w:p>
            <w:pPr>
              <w:pStyle w:val="52"/>
              <w:tabs>
                <w:tab w:val="left" w:pos="1260"/>
              </w:tabs>
              <w:spacing w:before="40" w:after="40"/>
              <w:rPr>
                <w:rFonts w:ascii="宋体" w:hAnsi="宋体" w:cs="宋体"/>
                <w:color w:val="auto"/>
                <w:kern w:val="0"/>
                <w:sz w:val="24"/>
                <w:highlight w:val="none"/>
              </w:rPr>
            </w:pPr>
            <w:r>
              <w:rPr>
                <w:rFonts w:hint="eastAsia" w:ascii="宋体" w:hAnsi="宋体" w:cs="宋体"/>
                <w:color w:val="auto"/>
                <w:kern w:val="0"/>
                <w:sz w:val="24"/>
                <w:highlight w:val="none"/>
              </w:rPr>
              <w:t>制造商企业类型</w:t>
            </w:r>
          </w:p>
        </w:tc>
        <w:tc>
          <w:tcPr>
            <w:tcW w:w="1685" w:type="dxa"/>
            <w:vAlign w:val="center"/>
          </w:tcPr>
          <w:p>
            <w:pPr>
              <w:pStyle w:val="52"/>
              <w:tabs>
                <w:tab w:val="left" w:pos="1260"/>
              </w:tabs>
              <w:spacing w:before="40" w:after="40"/>
              <w:rPr>
                <w:rFonts w:ascii="宋体" w:hAnsi="宋体" w:cs="宋体"/>
                <w:color w:val="auto"/>
                <w:kern w:val="0"/>
                <w:sz w:val="24"/>
                <w:highlight w:val="none"/>
              </w:rPr>
            </w:pPr>
            <w:r>
              <w:rPr>
                <w:rFonts w:hint="eastAsia" w:ascii="宋体" w:hAnsi="宋体" w:cs="宋体"/>
                <w:color w:val="auto"/>
                <w:kern w:val="0"/>
                <w:sz w:val="24"/>
                <w:highlight w:val="none"/>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52"/>
              <w:tabs>
                <w:tab w:val="left" w:pos="1260"/>
              </w:tabs>
              <w:spacing w:before="156" w:after="156"/>
              <w:ind w:firstLine="480"/>
              <w:jc w:val="center"/>
              <w:rPr>
                <w:rFonts w:ascii="宋体" w:hAnsi="宋体" w:cs="宋体"/>
                <w:color w:val="auto"/>
                <w:kern w:val="0"/>
                <w:sz w:val="24"/>
                <w:highlight w:val="none"/>
              </w:rPr>
            </w:pPr>
          </w:p>
        </w:tc>
        <w:tc>
          <w:tcPr>
            <w:tcW w:w="1702"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196"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356"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960"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685"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52"/>
              <w:tabs>
                <w:tab w:val="left" w:pos="1260"/>
              </w:tabs>
              <w:spacing w:before="156" w:after="156"/>
              <w:ind w:firstLine="480"/>
              <w:jc w:val="center"/>
              <w:rPr>
                <w:rFonts w:ascii="宋体" w:hAnsi="宋体" w:cs="宋体"/>
                <w:color w:val="auto"/>
                <w:kern w:val="0"/>
                <w:sz w:val="24"/>
                <w:highlight w:val="none"/>
              </w:rPr>
            </w:pPr>
          </w:p>
        </w:tc>
        <w:tc>
          <w:tcPr>
            <w:tcW w:w="1702"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196"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356"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960"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c>
          <w:tcPr>
            <w:tcW w:w="1685"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52"/>
              <w:tabs>
                <w:tab w:val="left" w:pos="1260"/>
              </w:tabs>
              <w:spacing w:before="156" w:after="156"/>
              <w:ind w:firstLine="480"/>
              <w:jc w:val="center"/>
              <w:rPr>
                <w:rFonts w:ascii="宋体" w:hAnsi="宋体" w:cs="宋体"/>
                <w:color w:val="auto"/>
                <w:kern w:val="0"/>
                <w:sz w:val="24"/>
                <w:highlight w:val="none"/>
              </w:rPr>
            </w:pPr>
          </w:p>
        </w:tc>
        <w:tc>
          <w:tcPr>
            <w:tcW w:w="6214" w:type="dxa"/>
            <w:gridSpan w:val="4"/>
            <w:vAlign w:val="center"/>
          </w:tcPr>
          <w:p>
            <w:pPr>
              <w:pStyle w:val="52"/>
              <w:tabs>
                <w:tab w:val="left" w:pos="1260"/>
              </w:tabs>
              <w:spacing w:before="40" w:after="40"/>
              <w:ind w:firstLine="480"/>
              <w:jc w:val="center"/>
              <w:rPr>
                <w:rFonts w:ascii="宋体" w:hAnsi="宋体" w:cs="宋体"/>
                <w:color w:val="auto"/>
                <w:kern w:val="0"/>
                <w:sz w:val="24"/>
                <w:highlight w:val="none"/>
              </w:rPr>
            </w:pPr>
            <w:r>
              <w:rPr>
                <w:rFonts w:hint="eastAsia" w:ascii="宋体" w:hAnsi="宋体" w:cs="宋体"/>
                <w:color w:val="auto"/>
                <w:kern w:val="0"/>
                <w:sz w:val="24"/>
                <w:highlight w:val="none"/>
              </w:rPr>
              <w:t>小型、微型企业产品金额合计</w:t>
            </w:r>
          </w:p>
        </w:tc>
        <w:tc>
          <w:tcPr>
            <w:tcW w:w="1685" w:type="dxa"/>
            <w:vAlign w:val="center"/>
          </w:tcPr>
          <w:p>
            <w:pPr>
              <w:pStyle w:val="52"/>
              <w:tabs>
                <w:tab w:val="left" w:pos="1260"/>
              </w:tabs>
              <w:spacing w:before="40" w:after="40"/>
              <w:ind w:firstLine="480"/>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2"/>
              <w:tabs>
                <w:tab w:val="left" w:pos="1260"/>
              </w:tabs>
              <w:spacing w:before="156" w:after="156"/>
              <w:rPr>
                <w:rFonts w:ascii="宋体" w:hAnsi="宋体" w:cs="宋体"/>
                <w:color w:val="auto"/>
                <w:kern w:val="0"/>
                <w:sz w:val="24"/>
                <w:highlight w:val="none"/>
              </w:rPr>
            </w:pPr>
            <w:r>
              <w:rPr>
                <w:rFonts w:ascii="宋体" w:hAnsi="宋体" w:cs="宋体"/>
                <w:color w:val="auto"/>
                <w:kern w:val="0"/>
                <w:sz w:val="24"/>
                <w:highlight w:val="none"/>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2"/>
              <w:tabs>
                <w:tab w:val="left" w:pos="1260"/>
              </w:tabs>
              <w:spacing w:before="40" w:after="40"/>
              <w:rPr>
                <w:rFonts w:ascii="宋体" w:hAnsi="宋体" w:cs="宋体"/>
                <w:color w:val="auto"/>
                <w:kern w:val="0"/>
                <w:sz w:val="24"/>
                <w:highlight w:val="none"/>
              </w:rPr>
            </w:pPr>
            <w:r>
              <w:rPr>
                <w:rFonts w:ascii="宋体" w:hAnsi="宋体" w:cs="宋体"/>
                <w:color w:val="auto"/>
                <w:kern w:val="0"/>
                <w:sz w:val="24"/>
                <w:highlight w:val="none"/>
              </w:rPr>
              <w:t>（  ）我公司属于监狱企业，</w:t>
            </w:r>
            <w:r>
              <w:rPr>
                <w:rFonts w:hint="eastAsia" w:ascii="宋体" w:hAnsi="宋体" w:cs="宋体"/>
                <w:color w:val="auto"/>
                <w:kern w:val="0"/>
                <w:sz w:val="24"/>
                <w:highlight w:val="none"/>
              </w:rPr>
              <w:t>并</w:t>
            </w:r>
            <w:r>
              <w:rPr>
                <w:rFonts w:ascii="宋体" w:hAnsi="宋体" w:cs="宋体"/>
                <w:color w:val="auto"/>
                <w:kern w:val="0"/>
                <w:sz w:val="24"/>
                <w:highlight w:val="none"/>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2"/>
              <w:tabs>
                <w:tab w:val="left" w:pos="1260"/>
              </w:tabs>
              <w:spacing w:before="156" w:after="156"/>
              <w:rPr>
                <w:rFonts w:ascii="宋体" w:hAnsi="宋体" w:cs="宋体"/>
                <w:color w:val="auto"/>
                <w:kern w:val="0"/>
                <w:sz w:val="24"/>
                <w:highlight w:val="none"/>
              </w:rPr>
            </w:pPr>
            <w:r>
              <w:rPr>
                <w:rFonts w:hint="eastAsia" w:ascii="宋体" w:hAnsi="宋体" w:cs="宋体"/>
                <w:color w:val="auto"/>
                <w:kern w:val="0"/>
                <w:sz w:val="24"/>
                <w:highlight w:val="none"/>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2"/>
              <w:tabs>
                <w:tab w:val="left" w:pos="1260"/>
              </w:tabs>
              <w:spacing w:before="40" w:after="40"/>
              <w:rPr>
                <w:rFonts w:ascii="宋体" w:hAnsi="宋体" w:cs="宋体"/>
                <w:color w:val="auto"/>
                <w:kern w:val="0"/>
                <w:sz w:val="24"/>
                <w:highlight w:val="none"/>
              </w:rPr>
            </w:pPr>
            <w:r>
              <w:rPr>
                <w:rFonts w:ascii="宋体" w:hAnsi="宋体" w:cs="宋体"/>
                <w:color w:val="auto"/>
                <w:kern w:val="0"/>
                <w:sz w:val="24"/>
                <w:highlight w:val="none"/>
              </w:rPr>
              <w:t>（  ）我公司属于</w:t>
            </w:r>
            <w:r>
              <w:rPr>
                <w:rFonts w:hint="eastAsia" w:ascii="宋体" w:hAnsi="宋体" w:cs="宋体"/>
                <w:color w:val="auto"/>
                <w:kern w:val="0"/>
                <w:sz w:val="24"/>
                <w:highlight w:val="none"/>
              </w:rPr>
              <w:t>残疾人福利性单位</w:t>
            </w:r>
            <w:r>
              <w:rPr>
                <w:rFonts w:ascii="宋体" w:hAnsi="宋体" w:cs="宋体"/>
                <w:color w:val="auto"/>
                <w:kern w:val="0"/>
                <w:sz w:val="24"/>
                <w:highlight w:val="none"/>
              </w:rPr>
              <w:t>，</w:t>
            </w:r>
            <w:r>
              <w:rPr>
                <w:rFonts w:hint="eastAsia" w:ascii="宋体" w:hAnsi="宋体" w:cs="宋体"/>
                <w:color w:val="auto"/>
                <w:kern w:val="0"/>
                <w:sz w:val="24"/>
                <w:highlight w:val="none"/>
              </w:rPr>
              <w:t>并</w:t>
            </w:r>
            <w:r>
              <w:rPr>
                <w:rFonts w:ascii="宋体" w:hAnsi="宋体" w:cs="宋体"/>
                <w:color w:val="auto"/>
                <w:kern w:val="0"/>
                <w:sz w:val="24"/>
                <w:highlight w:val="none"/>
              </w:rPr>
              <w:t>提供</w:t>
            </w:r>
            <w:r>
              <w:rPr>
                <w:rFonts w:hint="eastAsia" w:ascii="宋体" w:hAnsi="宋体" w:cs="宋体"/>
                <w:color w:val="auto"/>
                <w:kern w:val="0"/>
                <w:sz w:val="24"/>
                <w:highlight w:val="none"/>
              </w:rPr>
              <w:t>残疾人福利性单位声明函</w:t>
            </w:r>
            <w:r>
              <w:rPr>
                <w:rFonts w:ascii="宋体" w:hAnsi="宋体" w:cs="宋体"/>
                <w:color w:val="auto"/>
                <w:kern w:val="0"/>
                <w:sz w:val="24"/>
                <w:highlight w:val="none"/>
              </w:rPr>
              <w:t>。</w:t>
            </w:r>
          </w:p>
        </w:tc>
      </w:tr>
    </w:tbl>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填报要求：</w:t>
      </w:r>
    </w:p>
    <w:p>
      <w:pPr>
        <w:spacing w:line="360" w:lineRule="auto"/>
        <w:ind w:firstLine="480" w:firstLineChars="200"/>
        <w:rPr>
          <w:color w:val="auto"/>
          <w:sz w:val="24"/>
          <w:highlight w:val="none"/>
        </w:rPr>
      </w:pPr>
      <w:r>
        <w:rPr>
          <w:rFonts w:hint="eastAsia"/>
          <w:color w:val="auto"/>
          <w:sz w:val="24"/>
          <w:highlight w:val="none"/>
        </w:rPr>
        <w:t>1. 本表内容与本招标文件其他要求填写不一致或本表填写不完整的，不予价格扣除。</w:t>
      </w:r>
    </w:p>
    <w:p>
      <w:pPr>
        <w:autoSpaceDE w:val="0"/>
        <w:autoSpaceDN w:val="0"/>
        <w:spacing w:line="360" w:lineRule="auto"/>
        <w:ind w:firstLine="480" w:firstLineChars="200"/>
        <w:rPr>
          <w:color w:val="auto"/>
          <w:sz w:val="24"/>
          <w:highlight w:val="none"/>
        </w:rPr>
      </w:pPr>
      <w:r>
        <w:rPr>
          <w:rFonts w:hint="eastAsia"/>
          <w:color w:val="auto"/>
          <w:sz w:val="24"/>
          <w:highlight w:val="none"/>
        </w:rPr>
        <w:t>2. 制造商为小型或微型企业时才需要填“制造商企业类型”栏，填写内容为“小型”或“微型”。</w:t>
      </w:r>
    </w:p>
    <w:p>
      <w:pPr>
        <w:autoSpaceDE w:val="0"/>
        <w:autoSpaceDN w:val="0"/>
        <w:spacing w:line="360" w:lineRule="auto"/>
        <w:ind w:firstLine="480" w:firstLineChars="200"/>
        <w:rPr>
          <w:rFonts w:ascii="宋体" w:hAnsi="宋体"/>
          <w:color w:val="auto"/>
          <w:sz w:val="24"/>
          <w:szCs w:val="24"/>
          <w:highlight w:val="none"/>
        </w:rPr>
      </w:pPr>
      <w:r>
        <w:rPr>
          <w:rFonts w:hint="eastAsia"/>
          <w:color w:val="auto"/>
          <w:sz w:val="24"/>
          <w:highlight w:val="none"/>
        </w:rPr>
        <w:t>3.</w:t>
      </w:r>
      <w:r>
        <w:rPr>
          <w:rFonts w:hint="eastAsia" w:ascii="宋体" w:hAnsi="宋体"/>
          <w:color w:val="auto"/>
          <w:sz w:val="24"/>
          <w:szCs w:val="24"/>
          <w:highlight w:val="none"/>
        </w:rPr>
        <w:t xml:space="preserve"> 联合体一方为小型、微型企业且小型、微型企业协议合同金额占联合体协议合同总金额30%以上的才需填写“</w:t>
      </w:r>
      <w:r>
        <w:rPr>
          <w:rFonts w:hint="eastAsia" w:ascii="宋体" w:hAnsi="宋体" w:cs="宋体"/>
          <w:color w:val="auto"/>
          <w:kern w:val="0"/>
          <w:sz w:val="24"/>
          <w:highlight w:val="none"/>
        </w:rPr>
        <w:t>金额（单价元）、小型、微型企业产品金额合计</w:t>
      </w:r>
      <w:r>
        <w:rPr>
          <w:rFonts w:hint="eastAsia" w:ascii="宋体" w:hAnsi="宋体"/>
          <w:color w:val="auto"/>
          <w:sz w:val="24"/>
          <w:szCs w:val="24"/>
          <w:highlight w:val="none"/>
        </w:rPr>
        <w:t>”内容。</w:t>
      </w:r>
    </w:p>
    <w:p>
      <w:pPr>
        <w:autoSpaceDE w:val="0"/>
        <w:autoSpaceDN w:val="0"/>
        <w:spacing w:line="360" w:lineRule="auto"/>
        <w:ind w:firstLine="480" w:firstLineChars="200"/>
        <w:rPr>
          <w:color w:val="auto"/>
          <w:sz w:val="24"/>
          <w:highlight w:val="none"/>
        </w:rPr>
      </w:pPr>
      <w:r>
        <w:rPr>
          <w:rFonts w:hint="eastAsia" w:ascii="宋体" w:hAnsi="宋体" w:cs="宋体"/>
          <w:color w:val="auto"/>
          <w:kern w:val="0"/>
          <w:sz w:val="24"/>
          <w:highlight w:val="none"/>
        </w:rPr>
        <w:t>本表后附“</w:t>
      </w:r>
      <w:r>
        <w:rPr>
          <w:rFonts w:hint="eastAsia" w:ascii="宋体" w:hAnsi="宋体"/>
          <w:color w:val="auto"/>
          <w:sz w:val="24"/>
          <w:szCs w:val="24"/>
          <w:highlight w:val="none"/>
        </w:rPr>
        <w:t>小微企业名录”（</w:t>
      </w:r>
      <w:r>
        <w:rPr>
          <w:rFonts w:ascii="宋体" w:hAnsi="宋体"/>
          <w:color w:val="auto"/>
          <w:sz w:val="24"/>
          <w:szCs w:val="24"/>
          <w:highlight w:val="none"/>
        </w:rPr>
        <w:t>http://xwqy.gsxt.gov.cn/</w:t>
      </w:r>
      <w:r>
        <w:rPr>
          <w:rFonts w:hint="eastAsia" w:ascii="宋体" w:hAnsi="宋体"/>
          <w:color w:val="auto"/>
          <w:sz w:val="24"/>
          <w:szCs w:val="24"/>
          <w:highlight w:val="none"/>
        </w:rPr>
        <w:t>）截图。</w:t>
      </w:r>
    </w:p>
    <w:p>
      <w:pPr>
        <w:autoSpaceDE w:val="0"/>
        <w:autoSpaceDN w:val="0"/>
        <w:spacing w:line="360" w:lineRule="auto"/>
        <w:ind w:firstLine="2168" w:firstLineChars="900"/>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autoSpaceDN w:val="0"/>
        <w:spacing w:line="360" w:lineRule="auto"/>
        <w:rPr>
          <w:b/>
          <w:bCs/>
          <w:color w:val="auto"/>
          <w:sz w:val="24"/>
          <w:highlight w:val="none"/>
        </w:rPr>
      </w:pPr>
      <w:r>
        <w:rPr>
          <w:rFonts w:hint="eastAsia"/>
          <w:b/>
          <w:bCs/>
          <w:color w:val="auto"/>
          <w:sz w:val="24"/>
          <w:highlight w:val="none"/>
        </w:rPr>
        <w:t>格式二十二：</w:t>
      </w:r>
    </w:p>
    <w:p>
      <w:pPr>
        <w:spacing w:line="588"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中小企业声明函</w:t>
      </w:r>
    </w:p>
    <w:p>
      <w:pPr>
        <w:spacing w:line="588" w:lineRule="exact"/>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本公司郑重声明，根据《政府采购促进中小企业发展暂行办法》（财库[2011]181号）的规定，本公司为</w:t>
      </w:r>
      <w:bookmarkStart w:id="37" w:name="OLE_LINK5"/>
      <w:bookmarkStart w:id="38" w:name="OLE_LINK2"/>
      <w:r>
        <w:rPr>
          <w:rFonts w:hint="eastAsia" w:ascii="宋体" w:hAnsi="宋体" w:cs="宋体"/>
          <w:color w:val="auto"/>
          <w:kern w:val="0"/>
          <w:sz w:val="24"/>
          <w:szCs w:val="24"/>
          <w:highlight w:val="none"/>
        </w:rPr>
        <w:t>______（请填写：中型、小型、微型）企业</w:t>
      </w:r>
      <w:bookmarkEnd w:id="37"/>
      <w:bookmarkEnd w:id="38"/>
      <w:r>
        <w:rPr>
          <w:rFonts w:hint="eastAsia" w:ascii="宋体" w:hAnsi="宋体" w:cs="宋体"/>
          <w:color w:val="auto"/>
          <w:kern w:val="0"/>
          <w:sz w:val="24"/>
          <w:szCs w:val="24"/>
          <w:highlight w:val="none"/>
        </w:rPr>
        <w:t>。即，本公司同时满足以下条件：</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企业名称（盖章）： </w:t>
      </w:r>
    </w:p>
    <w:p>
      <w:pPr>
        <w:autoSpaceDE w:val="0"/>
        <w:autoSpaceDN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日  期：</w:t>
      </w:r>
    </w:p>
    <w:p>
      <w:pPr>
        <w:autoSpaceDE w:val="0"/>
        <w:autoSpaceDN w:val="0"/>
        <w:spacing w:line="360" w:lineRule="auto"/>
        <w:rPr>
          <w:rFonts w:ascii="宋体" w:hAnsi="宋体" w:cs="宋体"/>
          <w:color w:val="auto"/>
          <w:kern w:val="0"/>
          <w:sz w:val="24"/>
          <w:szCs w:val="24"/>
          <w:highlight w:val="none"/>
        </w:rPr>
      </w:pPr>
      <w:r>
        <w:rPr>
          <w:rFonts w:ascii="宋体" w:hAnsi="宋体" w:cs="宋体"/>
          <w:color w:val="auto"/>
          <w:kern w:val="0"/>
          <w:sz w:val="24"/>
          <w:szCs w:val="24"/>
          <w:highlight w:val="none"/>
        </w:rPr>
        <w:br w:type="page"/>
      </w:r>
    </w:p>
    <w:p>
      <w:pPr>
        <w:spacing w:line="588" w:lineRule="exact"/>
        <w:rPr>
          <w:rFonts w:ascii="宋体" w:hAnsi="宋体"/>
          <w:b/>
          <w:bCs/>
          <w:color w:val="auto"/>
          <w:kern w:val="0"/>
          <w:sz w:val="24"/>
          <w:szCs w:val="24"/>
          <w:highlight w:val="none"/>
        </w:rPr>
      </w:pPr>
      <w:r>
        <w:rPr>
          <w:rFonts w:hint="eastAsia" w:ascii="宋体" w:hAnsi="宋体"/>
          <w:b/>
          <w:bCs/>
          <w:color w:val="auto"/>
          <w:kern w:val="0"/>
          <w:sz w:val="24"/>
          <w:szCs w:val="24"/>
          <w:highlight w:val="none"/>
        </w:rPr>
        <w:t>格式二十三：</w:t>
      </w:r>
    </w:p>
    <w:p>
      <w:pPr>
        <w:spacing w:line="588"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残疾人福利性单位声明函</w:t>
      </w:r>
    </w:p>
    <w:p>
      <w:pPr>
        <w:spacing w:line="588" w:lineRule="exact"/>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日  期：</w:t>
      </w:r>
    </w:p>
    <w:p>
      <w:pPr>
        <w:autoSpaceDE w:val="0"/>
        <w:autoSpaceDN w:val="0"/>
        <w:spacing w:line="360" w:lineRule="auto"/>
        <w:ind w:firstLine="480" w:firstLineChars="200"/>
        <w:rPr>
          <w:color w:val="auto"/>
          <w:sz w:val="24"/>
          <w:highlight w:val="none"/>
        </w:rPr>
      </w:pPr>
      <w:r>
        <w:rPr>
          <w:color w:val="auto"/>
          <w:sz w:val="24"/>
          <w:highlight w:val="none"/>
        </w:rPr>
        <w:br w:type="page"/>
      </w:r>
    </w:p>
    <w:p>
      <w:pPr>
        <w:autoSpaceDE w:val="0"/>
        <w:autoSpaceDN w:val="0"/>
        <w:spacing w:line="360" w:lineRule="auto"/>
        <w:ind w:left="3132" w:hanging="3132" w:hangingChars="1300"/>
        <w:rPr>
          <w:rFonts w:ascii="宋体" w:hAnsi="宋体"/>
          <w:b/>
          <w:color w:val="auto"/>
          <w:sz w:val="24"/>
          <w:szCs w:val="24"/>
          <w:highlight w:val="none"/>
          <w:lang w:val="zh-CN"/>
        </w:rPr>
      </w:pPr>
      <w:r>
        <w:rPr>
          <w:rFonts w:hint="eastAsia" w:ascii="宋体" w:hAnsi="宋体"/>
          <w:b/>
          <w:bCs/>
          <w:color w:val="auto"/>
          <w:kern w:val="0"/>
          <w:sz w:val="24"/>
          <w:szCs w:val="24"/>
          <w:highlight w:val="none"/>
        </w:rPr>
        <w:t>格式二十四：</w:t>
      </w:r>
      <w:r>
        <w:rPr>
          <w:rFonts w:ascii="宋体" w:hAnsi="宋体"/>
          <w:bCs/>
          <w:color w:val="auto"/>
          <w:kern w:val="0"/>
          <w:sz w:val="24"/>
          <w:szCs w:val="24"/>
          <w:highlight w:val="none"/>
        </w:rPr>
        <w:br w:type="textWrapping"/>
      </w:r>
      <w:r>
        <w:rPr>
          <w:rFonts w:hint="eastAsia" w:ascii="宋体" w:hAnsi="宋体"/>
          <w:b/>
          <w:color w:val="auto"/>
          <w:sz w:val="24"/>
          <w:szCs w:val="24"/>
          <w:highlight w:val="none"/>
        </w:rPr>
        <w:t>各类</w:t>
      </w:r>
      <w:r>
        <w:rPr>
          <w:rFonts w:hint="eastAsia" w:ascii="宋体" w:hAnsi="宋体"/>
          <w:b/>
          <w:color w:val="auto"/>
          <w:sz w:val="24"/>
          <w:szCs w:val="24"/>
          <w:highlight w:val="none"/>
          <w:lang w:val="zh-CN"/>
        </w:rPr>
        <w:t>证明材料</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1.招标文件要求提供的其他资料。</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2.投标人认为需提供的其他资料。</w:t>
      </w:r>
    </w:p>
    <w:p>
      <w:pPr>
        <w:pStyle w:val="34"/>
        <w:spacing w:line="360" w:lineRule="auto"/>
        <w:ind w:firstLine="2650" w:firstLineChars="1100"/>
        <w:rPr>
          <w:rFonts w:ascii="宋体" w:hAnsi="宋体" w:eastAsia="宋体"/>
          <w:bCs w:val="0"/>
          <w:color w:val="auto"/>
          <w:sz w:val="24"/>
          <w:szCs w:val="24"/>
          <w:highlight w:val="none"/>
        </w:rPr>
      </w:pPr>
      <w:r>
        <w:rPr>
          <w:rFonts w:ascii="宋体" w:hAnsi="宋体" w:eastAsia="宋体"/>
          <w:bCs w:val="0"/>
          <w:color w:val="auto"/>
          <w:sz w:val="24"/>
          <w:szCs w:val="24"/>
          <w:highlight w:val="none"/>
        </w:rPr>
        <w:br w:type="page"/>
      </w:r>
    </w:p>
    <w:p>
      <w:pPr>
        <w:spacing w:line="360" w:lineRule="auto"/>
        <w:ind w:firstLine="4216" w:firstLineChars="1750"/>
        <w:outlineLvl w:val="0"/>
        <w:rPr>
          <w:rFonts w:ascii="宋体" w:hAnsi="宋体"/>
          <w:b/>
          <w:color w:val="auto"/>
          <w:sz w:val="24"/>
          <w:szCs w:val="24"/>
          <w:highlight w:val="none"/>
        </w:rPr>
      </w:pPr>
      <w:bookmarkStart w:id="39" w:name="_Toc497408664"/>
      <w:r>
        <w:rPr>
          <w:rFonts w:hint="eastAsia" w:ascii="宋体" w:hAnsi="宋体"/>
          <w:b/>
          <w:color w:val="auto"/>
          <w:sz w:val="24"/>
          <w:szCs w:val="24"/>
          <w:highlight w:val="none"/>
        </w:rPr>
        <w:t>温馨提示</w:t>
      </w:r>
      <w:bookmarkEnd w:id="39"/>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各位投标人:</w:t>
      </w:r>
    </w:p>
    <w:p>
      <w:pPr>
        <w:spacing w:line="360" w:lineRule="auto"/>
        <w:rPr>
          <w:rFonts w:ascii="宋体" w:hAnsi="宋体"/>
          <w:b/>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请在编制投标文件前请认真阅读并理解招标文件。现就容易导致废标或无效投标的条款特别提示如下：</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1. 及时查看投标项目的相关信息公告，如招标公告、变更公告、废标公告等。</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3. 注意投标文件的密封、装订及签署、盖章，如项目分包，投标文件务必分包、分别编制。</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4. 按照招标文件规定的时间、地点，提前到达并提交投标文件。</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5. 注意投标文件中相关证明材料的完整性及有效期限。（特别注意：财务审计报告或资信证明、社保、纳税的相关证明材料）</w:t>
      </w:r>
    </w:p>
    <w:p>
      <w:pPr>
        <w:spacing w:line="360" w:lineRule="auto"/>
        <w:ind w:firstLine="480" w:firstLineChars="200"/>
        <w:rPr>
          <w:color w:val="auto"/>
          <w:sz w:val="24"/>
          <w:szCs w:val="24"/>
          <w:highlight w:val="none"/>
        </w:rPr>
      </w:pPr>
      <w:r>
        <w:rPr>
          <w:rFonts w:hint="eastAsia" w:ascii="宋体" w:hAnsi="宋体"/>
          <w:color w:val="auto"/>
          <w:sz w:val="24"/>
          <w:szCs w:val="24"/>
          <w:highlight w:val="none"/>
        </w:rPr>
        <w:t>请各投标人严格遵守《中华人民共和国政府采购法》及其条例，如出现违法、违规行为，将承担相应法律责任</w:t>
      </w:r>
    </w:p>
    <w:p>
      <w:pPr>
        <w:ind w:firstLine="480" w:firstLineChars="200"/>
        <w:rPr>
          <w:color w:val="auto"/>
          <w:sz w:val="24"/>
          <w:szCs w:val="24"/>
          <w:highlight w:val="none"/>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微软雅黑"/>
    <w:panose1 w:val="00000000000000000000"/>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雅黑">
    <w:altName w:val="黑体"/>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118</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F4ABB"/>
    <w:multiLevelType w:val="singleLevel"/>
    <w:tmpl w:val="A4AF4ABB"/>
    <w:lvl w:ilvl="0" w:tentative="0">
      <w:start w:val="1"/>
      <w:numFmt w:val="lowerLetter"/>
      <w:lvlText w:val="%1."/>
      <w:lvlJc w:val="left"/>
      <w:pPr>
        <w:ind w:left="425" w:hanging="425"/>
      </w:pPr>
      <w:rPr>
        <w:rFonts w:hint="default"/>
      </w:rPr>
    </w:lvl>
  </w:abstractNum>
  <w:abstractNum w:abstractNumId="1">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lvlText w:val="%5)"/>
      <w:lvlJc w:val="left"/>
      <w:pPr>
        <w:tabs>
          <w:tab w:val="left" w:pos="2649"/>
        </w:tabs>
        <w:ind w:left="2649" w:hanging="420"/>
      </w:pPr>
    </w:lvl>
    <w:lvl w:ilvl="5" w:tentative="0">
      <w:start w:val="1"/>
      <w:numFmt w:val="lowerRoman"/>
      <w:lvlText w:val="%6."/>
      <w:lvlJc w:val="right"/>
      <w:pPr>
        <w:tabs>
          <w:tab w:val="left" w:pos="3069"/>
        </w:tabs>
        <w:ind w:left="3069" w:hanging="420"/>
      </w:pPr>
    </w:lvl>
    <w:lvl w:ilvl="6" w:tentative="0">
      <w:start w:val="1"/>
      <w:numFmt w:val="decimal"/>
      <w:lvlText w:val="%7."/>
      <w:lvlJc w:val="left"/>
      <w:pPr>
        <w:tabs>
          <w:tab w:val="left" w:pos="3489"/>
        </w:tabs>
        <w:ind w:left="3489" w:hanging="420"/>
      </w:pPr>
    </w:lvl>
    <w:lvl w:ilvl="7" w:tentative="0">
      <w:start w:val="1"/>
      <w:numFmt w:val="lowerLetter"/>
      <w:pStyle w:val="8"/>
      <w:lvlText w:val="%8)"/>
      <w:lvlJc w:val="left"/>
      <w:pPr>
        <w:tabs>
          <w:tab w:val="left" w:pos="3909"/>
        </w:tabs>
        <w:ind w:left="3909" w:hanging="420"/>
      </w:pPr>
    </w:lvl>
    <w:lvl w:ilvl="8" w:tentative="0">
      <w:start w:val="1"/>
      <w:numFmt w:val="lowerRoman"/>
      <w:pStyle w:val="9"/>
      <w:lvlText w:val="%9."/>
      <w:lvlJc w:val="right"/>
      <w:pPr>
        <w:tabs>
          <w:tab w:val="left" w:pos="4329"/>
        </w:tabs>
        <w:ind w:left="4329" w:hanging="420"/>
      </w:pPr>
    </w:lvl>
  </w:abstractNum>
  <w:abstractNum w:abstractNumId="2">
    <w:nsid w:val="1BA665BC"/>
    <w:multiLevelType w:val="multilevel"/>
    <w:tmpl w:val="1BA665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B6739F"/>
    <w:multiLevelType w:val="multilevel"/>
    <w:tmpl w:val="21B6739F"/>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25626943"/>
    <w:multiLevelType w:val="multilevel"/>
    <w:tmpl w:val="2562694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D91616"/>
    <w:multiLevelType w:val="multilevel"/>
    <w:tmpl w:val="31D91616"/>
    <w:lvl w:ilvl="0" w:tentative="0">
      <w:start w:val="1"/>
      <w:numFmt w:val="decimal"/>
      <w:lvlText w:val="%1、"/>
      <w:lvlJc w:val="left"/>
      <w:pPr>
        <w:ind w:left="1202" w:hanging="720"/>
      </w:pPr>
      <w:rPr>
        <w:rFonts w:hint="default"/>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3173D35"/>
    <w:multiLevelType w:val="multilevel"/>
    <w:tmpl w:val="33173D35"/>
    <w:lvl w:ilvl="0" w:tentative="0">
      <w:start w:val="4"/>
      <w:numFmt w:val="chineseCounting"/>
      <w:suff w:val="nothing"/>
      <w:lvlText w:val="第%1章 "/>
      <w:lvlJc w:val="left"/>
      <w:pPr>
        <w:tabs>
          <w:tab w:val="left" w:pos="420"/>
        </w:tabs>
        <w:ind w:left="425" w:hanging="425"/>
      </w:pPr>
      <w:rPr>
        <w:rFonts w:hint="eastAsia" w:ascii="宋体" w:hAnsi="宋体" w:eastAsia="宋体"/>
      </w:rPr>
    </w:lvl>
    <w:lvl w:ilvl="1" w:tentative="0">
      <w:start w:val="1"/>
      <w:numFmt w:val="decimal"/>
      <w:pStyle w:val="2"/>
      <w:isLgl/>
      <w:lvlText w:val="%1.%2."/>
      <w:lvlJc w:val="left"/>
      <w:pPr>
        <w:tabs>
          <w:tab w:val="left" w:pos="420"/>
        </w:tabs>
        <w:ind w:left="567" w:hanging="567"/>
      </w:pPr>
      <w:rPr>
        <w:rFonts w:hint="eastAsia" w:ascii="宋体" w:hAnsi="宋体" w:eastAsia="宋体"/>
      </w:rPr>
    </w:lvl>
    <w:lvl w:ilvl="2" w:tentative="0">
      <w:start w:val="1"/>
      <w:numFmt w:val="decimal"/>
      <w:pStyle w:val="3"/>
      <w:isLgl/>
      <w:lvlText w:val="%1.%2.%3."/>
      <w:lvlJc w:val="left"/>
      <w:pPr>
        <w:ind w:left="709" w:hanging="709"/>
      </w:pPr>
      <w:rPr>
        <w:rFonts w:hint="eastAsia" w:ascii="宋体" w:hAnsi="宋体" w:eastAsia="宋体"/>
      </w:rPr>
    </w:lvl>
    <w:lvl w:ilvl="3" w:tentative="0">
      <w:start w:val="1"/>
      <w:numFmt w:val="decimal"/>
      <w:pStyle w:val="4"/>
      <w:isLgl/>
      <w:lvlText w:val="%1.%2.%3.%4."/>
      <w:lvlJc w:val="left"/>
      <w:pPr>
        <w:ind w:left="850" w:hanging="850"/>
      </w:pPr>
      <w:rPr>
        <w:rFonts w:hint="eastAsia" w:ascii="宋体" w:hAnsi="宋体" w:eastAsia="宋体"/>
      </w:rPr>
    </w:lvl>
    <w:lvl w:ilvl="4" w:tentative="0">
      <w:start w:val="1"/>
      <w:numFmt w:val="decimal"/>
      <w:pStyle w:val="5"/>
      <w:isLgl/>
      <w:lvlText w:val="%1.%2.%3.%4.%5."/>
      <w:lvlJc w:val="left"/>
      <w:pPr>
        <w:ind w:left="991" w:hanging="991"/>
      </w:pPr>
      <w:rPr>
        <w:rFonts w:hint="eastAsia" w:ascii="宋体" w:hAnsi="宋体" w:eastAsia="宋体"/>
      </w:rPr>
    </w:lvl>
    <w:lvl w:ilvl="5" w:tentative="0">
      <w:start w:val="1"/>
      <w:numFmt w:val="decimal"/>
      <w:pStyle w:val="6"/>
      <w:isLgl/>
      <w:lvlText w:val="%1.%2.%3.%4.%5.%6."/>
      <w:lvlJc w:val="left"/>
      <w:pPr>
        <w:ind w:left="1276" w:hanging="1134"/>
      </w:pPr>
      <w:rPr>
        <w:rFonts w:hint="eastAsia" w:ascii="宋体" w:hAnsi="宋体" w:eastAsia="宋体"/>
      </w:rPr>
    </w:lvl>
    <w:lvl w:ilvl="6" w:tentative="0">
      <w:start w:val="1"/>
      <w:numFmt w:val="decimal"/>
      <w:pStyle w:val="7"/>
      <w:isLgl/>
      <w:lvlText w:val="%1.%2.%3.%4.%5.%6.%7."/>
      <w:lvlJc w:val="left"/>
      <w:pPr>
        <w:ind w:left="1275" w:hanging="1275"/>
      </w:pPr>
      <w:rPr>
        <w:rFonts w:hint="eastAsia" w:ascii="宋体" w:hAnsi="宋体" w:eastAsia="宋体"/>
      </w:rPr>
    </w:lvl>
    <w:lvl w:ilvl="7" w:tentative="0">
      <w:start w:val="1"/>
      <w:numFmt w:val="decimal"/>
      <w:isLgl/>
      <w:lvlText w:val="%1.%2.%3.%4.%5.%6.%7.%8."/>
      <w:lvlJc w:val="left"/>
      <w:pPr>
        <w:ind w:left="1418" w:hanging="1418"/>
      </w:pPr>
      <w:rPr>
        <w:rFonts w:hint="eastAsia" w:ascii="宋体" w:hAnsi="宋体" w:eastAsia="宋体"/>
      </w:rPr>
    </w:lvl>
    <w:lvl w:ilvl="8" w:tentative="0">
      <w:start w:val="1"/>
      <w:numFmt w:val="decimal"/>
      <w:isLgl/>
      <w:lvlText w:val="%1.%2.%3.%4.%5.%6.%7.%8.%9."/>
      <w:lvlJc w:val="left"/>
      <w:pPr>
        <w:ind w:left="1558" w:hanging="1558"/>
      </w:pPr>
      <w:rPr>
        <w:rFonts w:hint="eastAsia" w:ascii="宋体" w:hAnsi="宋体" w:eastAsia="宋体"/>
      </w:rPr>
    </w:lvl>
  </w:abstractNum>
  <w:abstractNum w:abstractNumId="7">
    <w:nsid w:val="4337552E"/>
    <w:multiLevelType w:val="singleLevel"/>
    <w:tmpl w:val="4337552E"/>
    <w:lvl w:ilvl="0" w:tentative="0">
      <w:start w:val="1"/>
      <w:numFmt w:val="lowerLetter"/>
      <w:lvlText w:val="%1."/>
      <w:lvlJc w:val="left"/>
      <w:pPr>
        <w:ind w:left="425" w:hanging="425"/>
      </w:pPr>
      <w:rPr>
        <w:rFonts w:hint="default"/>
      </w:rPr>
    </w:lvl>
  </w:abstractNum>
  <w:abstractNum w:abstractNumId="8">
    <w:nsid w:val="73BA3B51"/>
    <w:multiLevelType w:val="singleLevel"/>
    <w:tmpl w:val="73BA3B51"/>
    <w:lvl w:ilvl="0" w:tentative="0">
      <w:start w:val="1"/>
      <w:numFmt w:val="decimal"/>
      <w:lvlText w:val="%1."/>
      <w:lvlJc w:val="left"/>
      <w:pPr>
        <w:tabs>
          <w:tab w:val="left" w:pos="312"/>
        </w:tabs>
      </w:pPr>
    </w:lvl>
  </w:abstractNum>
  <w:abstractNum w:abstractNumId="9">
    <w:nsid w:val="7BEA1387"/>
    <w:multiLevelType w:val="singleLevel"/>
    <w:tmpl w:val="7BEA1387"/>
    <w:lvl w:ilvl="0" w:tentative="0">
      <w:start w:val="1"/>
      <w:numFmt w:val="lowerLetter"/>
      <w:lvlText w:val="%1."/>
      <w:lvlJc w:val="left"/>
      <w:pPr>
        <w:ind w:left="425" w:hanging="425"/>
      </w:pPr>
      <w:rPr>
        <w:rFonts w:hint="default"/>
      </w:rPr>
    </w:lvl>
  </w:abstractNum>
  <w:num w:numId="1">
    <w:abstractNumId w:val="6"/>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0059AC"/>
    <w:rsid w:val="000125C2"/>
    <w:rsid w:val="00016DA1"/>
    <w:rsid w:val="0002139B"/>
    <w:rsid w:val="0002645C"/>
    <w:rsid w:val="00032D39"/>
    <w:rsid w:val="000423F6"/>
    <w:rsid w:val="00045CD0"/>
    <w:rsid w:val="00046655"/>
    <w:rsid w:val="000533C8"/>
    <w:rsid w:val="00062F02"/>
    <w:rsid w:val="00063E93"/>
    <w:rsid w:val="00064461"/>
    <w:rsid w:val="00064F4B"/>
    <w:rsid w:val="00070AAB"/>
    <w:rsid w:val="00071EAF"/>
    <w:rsid w:val="00073002"/>
    <w:rsid w:val="000745D4"/>
    <w:rsid w:val="00075676"/>
    <w:rsid w:val="00080987"/>
    <w:rsid w:val="000820A2"/>
    <w:rsid w:val="0008221D"/>
    <w:rsid w:val="0008371C"/>
    <w:rsid w:val="0008443A"/>
    <w:rsid w:val="00094CA7"/>
    <w:rsid w:val="000A046B"/>
    <w:rsid w:val="000A25FB"/>
    <w:rsid w:val="000A53A7"/>
    <w:rsid w:val="000A61B7"/>
    <w:rsid w:val="000B017C"/>
    <w:rsid w:val="000B6FDD"/>
    <w:rsid w:val="000B7DCF"/>
    <w:rsid w:val="000C5B54"/>
    <w:rsid w:val="000D3B05"/>
    <w:rsid w:val="000D3FF4"/>
    <w:rsid w:val="000D43AC"/>
    <w:rsid w:val="000E540D"/>
    <w:rsid w:val="000E554E"/>
    <w:rsid w:val="000F2F96"/>
    <w:rsid w:val="000F6B24"/>
    <w:rsid w:val="000F786F"/>
    <w:rsid w:val="001008A6"/>
    <w:rsid w:val="00100DB8"/>
    <w:rsid w:val="00101BBD"/>
    <w:rsid w:val="00101ECB"/>
    <w:rsid w:val="00101FE5"/>
    <w:rsid w:val="00103573"/>
    <w:rsid w:val="001107A7"/>
    <w:rsid w:val="001117E7"/>
    <w:rsid w:val="001137CE"/>
    <w:rsid w:val="001241B4"/>
    <w:rsid w:val="0013017A"/>
    <w:rsid w:val="001301E7"/>
    <w:rsid w:val="0013045D"/>
    <w:rsid w:val="00134FE9"/>
    <w:rsid w:val="00135230"/>
    <w:rsid w:val="00137C8B"/>
    <w:rsid w:val="00140183"/>
    <w:rsid w:val="0014482D"/>
    <w:rsid w:val="00144BF9"/>
    <w:rsid w:val="001451B6"/>
    <w:rsid w:val="00147AC6"/>
    <w:rsid w:val="00151A1F"/>
    <w:rsid w:val="0015480A"/>
    <w:rsid w:val="001573D5"/>
    <w:rsid w:val="00161069"/>
    <w:rsid w:val="00162322"/>
    <w:rsid w:val="00163B4A"/>
    <w:rsid w:val="00163D17"/>
    <w:rsid w:val="00171152"/>
    <w:rsid w:val="00172195"/>
    <w:rsid w:val="00173635"/>
    <w:rsid w:val="0017454D"/>
    <w:rsid w:val="00175792"/>
    <w:rsid w:val="00177201"/>
    <w:rsid w:val="00177456"/>
    <w:rsid w:val="00183939"/>
    <w:rsid w:val="001854E6"/>
    <w:rsid w:val="001876F2"/>
    <w:rsid w:val="00192B64"/>
    <w:rsid w:val="00192E67"/>
    <w:rsid w:val="00196BDB"/>
    <w:rsid w:val="001A6963"/>
    <w:rsid w:val="001A6B84"/>
    <w:rsid w:val="001A7CDB"/>
    <w:rsid w:val="001B01A9"/>
    <w:rsid w:val="001B1A22"/>
    <w:rsid w:val="001B1C1D"/>
    <w:rsid w:val="001B37EF"/>
    <w:rsid w:val="001B4435"/>
    <w:rsid w:val="001B584A"/>
    <w:rsid w:val="001B62D6"/>
    <w:rsid w:val="001B7DE3"/>
    <w:rsid w:val="001C1B3B"/>
    <w:rsid w:val="001C1EF1"/>
    <w:rsid w:val="001C71B2"/>
    <w:rsid w:val="001C7896"/>
    <w:rsid w:val="001D2170"/>
    <w:rsid w:val="001D26A4"/>
    <w:rsid w:val="001E1D9A"/>
    <w:rsid w:val="001E2B59"/>
    <w:rsid w:val="001E349B"/>
    <w:rsid w:val="001E47CB"/>
    <w:rsid w:val="001F3D78"/>
    <w:rsid w:val="001F43A8"/>
    <w:rsid w:val="001F5316"/>
    <w:rsid w:val="00202217"/>
    <w:rsid w:val="0020446E"/>
    <w:rsid w:val="00206A7E"/>
    <w:rsid w:val="00206C46"/>
    <w:rsid w:val="00206F45"/>
    <w:rsid w:val="00211F97"/>
    <w:rsid w:val="00213000"/>
    <w:rsid w:val="002139E4"/>
    <w:rsid w:val="00215334"/>
    <w:rsid w:val="00216675"/>
    <w:rsid w:val="002179E5"/>
    <w:rsid w:val="00232780"/>
    <w:rsid w:val="0023723E"/>
    <w:rsid w:val="00240B3E"/>
    <w:rsid w:val="002446E7"/>
    <w:rsid w:val="00244C4D"/>
    <w:rsid w:val="00250285"/>
    <w:rsid w:val="002558E4"/>
    <w:rsid w:val="00256DB1"/>
    <w:rsid w:val="00261C9F"/>
    <w:rsid w:val="00265700"/>
    <w:rsid w:val="002666AE"/>
    <w:rsid w:val="0026727A"/>
    <w:rsid w:val="002727EB"/>
    <w:rsid w:val="00272C2E"/>
    <w:rsid w:val="00280641"/>
    <w:rsid w:val="00283BAB"/>
    <w:rsid w:val="0028573C"/>
    <w:rsid w:val="00286447"/>
    <w:rsid w:val="00286DBE"/>
    <w:rsid w:val="00287C57"/>
    <w:rsid w:val="00287D47"/>
    <w:rsid w:val="002926A9"/>
    <w:rsid w:val="0029508D"/>
    <w:rsid w:val="002A3168"/>
    <w:rsid w:val="002A68BC"/>
    <w:rsid w:val="002B0B0D"/>
    <w:rsid w:val="002B1FA1"/>
    <w:rsid w:val="002B7D07"/>
    <w:rsid w:val="002B7E85"/>
    <w:rsid w:val="002C042E"/>
    <w:rsid w:val="002C3454"/>
    <w:rsid w:val="002D6B00"/>
    <w:rsid w:val="002E3EEC"/>
    <w:rsid w:val="002E76DC"/>
    <w:rsid w:val="002F303D"/>
    <w:rsid w:val="002F4D29"/>
    <w:rsid w:val="002F5263"/>
    <w:rsid w:val="002F6E82"/>
    <w:rsid w:val="002F741F"/>
    <w:rsid w:val="00306964"/>
    <w:rsid w:val="003116B0"/>
    <w:rsid w:val="00311B3F"/>
    <w:rsid w:val="00313131"/>
    <w:rsid w:val="00315FDA"/>
    <w:rsid w:val="0032010D"/>
    <w:rsid w:val="00321F8C"/>
    <w:rsid w:val="00322F25"/>
    <w:rsid w:val="00323597"/>
    <w:rsid w:val="00323ADD"/>
    <w:rsid w:val="0032583E"/>
    <w:rsid w:val="00325CD4"/>
    <w:rsid w:val="0033300C"/>
    <w:rsid w:val="003332BA"/>
    <w:rsid w:val="00340037"/>
    <w:rsid w:val="00347005"/>
    <w:rsid w:val="0034777E"/>
    <w:rsid w:val="003519B1"/>
    <w:rsid w:val="0035281A"/>
    <w:rsid w:val="00353F18"/>
    <w:rsid w:val="00354821"/>
    <w:rsid w:val="00357D18"/>
    <w:rsid w:val="00360743"/>
    <w:rsid w:val="0036468F"/>
    <w:rsid w:val="0037316A"/>
    <w:rsid w:val="00374136"/>
    <w:rsid w:val="00375FAE"/>
    <w:rsid w:val="0037779E"/>
    <w:rsid w:val="0038182D"/>
    <w:rsid w:val="00382893"/>
    <w:rsid w:val="00384BE1"/>
    <w:rsid w:val="00391856"/>
    <w:rsid w:val="00394143"/>
    <w:rsid w:val="003941C1"/>
    <w:rsid w:val="00395283"/>
    <w:rsid w:val="00395D59"/>
    <w:rsid w:val="003975AD"/>
    <w:rsid w:val="003A1DC6"/>
    <w:rsid w:val="003A46B9"/>
    <w:rsid w:val="003A51BE"/>
    <w:rsid w:val="003A5B4D"/>
    <w:rsid w:val="003A6022"/>
    <w:rsid w:val="003B20BE"/>
    <w:rsid w:val="003B379C"/>
    <w:rsid w:val="003C0612"/>
    <w:rsid w:val="003C22CF"/>
    <w:rsid w:val="003C50F6"/>
    <w:rsid w:val="003D0EF7"/>
    <w:rsid w:val="003D0FFD"/>
    <w:rsid w:val="003D21ED"/>
    <w:rsid w:val="003D353A"/>
    <w:rsid w:val="003D74BA"/>
    <w:rsid w:val="003E057C"/>
    <w:rsid w:val="003E21C3"/>
    <w:rsid w:val="003E54EA"/>
    <w:rsid w:val="003E769F"/>
    <w:rsid w:val="003E7FE6"/>
    <w:rsid w:val="003F1123"/>
    <w:rsid w:val="003F374B"/>
    <w:rsid w:val="003F43CF"/>
    <w:rsid w:val="003F58D0"/>
    <w:rsid w:val="003F6FCA"/>
    <w:rsid w:val="00401769"/>
    <w:rsid w:val="0040340B"/>
    <w:rsid w:val="004039C4"/>
    <w:rsid w:val="004067D0"/>
    <w:rsid w:val="004123FA"/>
    <w:rsid w:val="00412EFE"/>
    <w:rsid w:val="00415C7E"/>
    <w:rsid w:val="004164D3"/>
    <w:rsid w:val="00417589"/>
    <w:rsid w:val="004225AB"/>
    <w:rsid w:val="00423E2D"/>
    <w:rsid w:val="00424EE1"/>
    <w:rsid w:val="00425455"/>
    <w:rsid w:val="0042688A"/>
    <w:rsid w:val="0043033A"/>
    <w:rsid w:val="00431172"/>
    <w:rsid w:val="004320FA"/>
    <w:rsid w:val="00432119"/>
    <w:rsid w:val="004328A0"/>
    <w:rsid w:val="00433CD6"/>
    <w:rsid w:val="00440267"/>
    <w:rsid w:val="00440DEB"/>
    <w:rsid w:val="00444B01"/>
    <w:rsid w:val="00445420"/>
    <w:rsid w:val="00445BFB"/>
    <w:rsid w:val="0044772B"/>
    <w:rsid w:val="00447E0F"/>
    <w:rsid w:val="00457839"/>
    <w:rsid w:val="00462D25"/>
    <w:rsid w:val="004661D1"/>
    <w:rsid w:val="0047069A"/>
    <w:rsid w:val="004726CA"/>
    <w:rsid w:val="0047600C"/>
    <w:rsid w:val="00480FA7"/>
    <w:rsid w:val="004816C5"/>
    <w:rsid w:val="00483F17"/>
    <w:rsid w:val="004866FB"/>
    <w:rsid w:val="004908C7"/>
    <w:rsid w:val="0049536B"/>
    <w:rsid w:val="0049665A"/>
    <w:rsid w:val="004A7C5D"/>
    <w:rsid w:val="004A7CA1"/>
    <w:rsid w:val="004B098B"/>
    <w:rsid w:val="004B0E56"/>
    <w:rsid w:val="004B7B9F"/>
    <w:rsid w:val="004C07B7"/>
    <w:rsid w:val="004C7E0A"/>
    <w:rsid w:val="004D28DB"/>
    <w:rsid w:val="004D2C5A"/>
    <w:rsid w:val="004D4DA3"/>
    <w:rsid w:val="004D4FC4"/>
    <w:rsid w:val="004E0D79"/>
    <w:rsid w:val="004E3B16"/>
    <w:rsid w:val="004E5EA7"/>
    <w:rsid w:val="004E7E6E"/>
    <w:rsid w:val="004F3537"/>
    <w:rsid w:val="004F3D70"/>
    <w:rsid w:val="004F4978"/>
    <w:rsid w:val="00502C31"/>
    <w:rsid w:val="00504864"/>
    <w:rsid w:val="0052673D"/>
    <w:rsid w:val="00532FA3"/>
    <w:rsid w:val="00534151"/>
    <w:rsid w:val="005377E5"/>
    <w:rsid w:val="00542520"/>
    <w:rsid w:val="0054386E"/>
    <w:rsid w:val="005443C7"/>
    <w:rsid w:val="00546C30"/>
    <w:rsid w:val="005475E9"/>
    <w:rsid w:val="00552A0B"/>
    <w:rsid w:val="00552F9E"/>
    <w:rsid w:val="00557229"/>
    <w:rsid w:val="00557939"/>
    <w:rsid w:val="0056108F"/>
    <w:rsid w:val="00562292"/>
    <w:rsid w:val="00562888"/>
    <w:rsid w:val="00563DD6"/>
    <w:rsid w:val="00567196"/>
    <w:rsid w:val="00570F2D"/>
    <w:rsid w:val="005728E8"/>
    <w:rsid w:val="0057394D"/>
    <w:rsid w:val="005740E9"/>
    <w:rsid w:val="0057478E"/>
    <w:rsid w:val="00583A49"/>
    <w:rsid w:val="00584B06"/>
    <w:rsid w:val="00584ED2"/>
    <w:rsid w:val="005860BE"/>
    <w:rsid w:val="00586C95"/>
    <w:rsid w:val="00587A20"/>
    <w:rsid w:val="005A14F3"/>
    <w:rsid w:val="005A397E"/>
    <w:rsid w:val="005A457F"/>
    <w:rsid w:val="005A4639"/>
    <w:rsid w:val="005A6D3B"/>
    <w:rsid w:val="005B0EB8"/>
    <w:rsid w:val="005B11EC"/>
    <w:rsid w:val="005C13B7"/>
    <w:rsid w:val="005C3406"/>
    <w:rsid w:val="005C6DBF"/>
    <w:rsid w:val="005C7711"/>
    <w:rsid w:val="005D58E3"/>
    <w:rsid w:val="005D5A95"/>
    <w:rsid w:val="005D6CA3"/>
    <w:rsid w:val="005E0F86"/>
    <w:rsid w:val="005E2CCD"/>
    <w:rsid w:val="005E459C"/>
    <w:rsid w:val="005F0287"/>
    <w:rsid w:val="005F1E0C"/>
    <w:rsid w:val="005F35EE"/>
    <w:rsid w:val="005F7B63"/>
    <w:rsid w:val="005F7D96"/>
    <w:rsid w:val="006008C8"/>
    <w:rsid w:val="0061113C"/>
    <w:rsid w:val="00614E4B"/>
    <w:rsid w:val="00617846"/>
    <w:rsid w:val="0062162A"/>
    <w:rsid w:val="00623A15"/>
    <w:rsid w:val="0062561E"/>
    <w:rsid w:val="00627464"/>
    <w:rsid w:val="006308A2"/>
    <w:rsid w:val="0063157A"/>
    <w:rsid w:val="00632319"/>
    <w:rsid w:val="00633CF8"/>
    <w:rsid w:val="006351AB"/>
    <w:rsid w:val="006356FC"/>
    <w:rsid w:val="00637CC5"/>
    <w:rsid w:val="006416FB"/>
    <w:rsid w:val="00644C0B"/>
    <w:rsid w:val="00645B3E"/>
    <w:rsid w:val="00657A2C"/>
    <w:rsid w:val="00660733"/>
    <w:rsid w:val="00663C09"/>
    <w:rsid w:val="00664B83"/>
    <w:rsid w:val="00671DCF"/>
    <w:rsid w:val="00671E58"/>
    <w:rsid w:val="00671E98"/>
    <w:rsid w:val="00672DD1"/>
    <w:rsid w:val="006814B9"/>
    <w:rsid w:val="006828FD"/>
    <w:rsid w:val="00682A78"/>
    <w:rsid w:val="00684CBA"/>
    <w:rsid w:val="00687A67"/>
    <w:rsid w:val="006963D5"/>
    <w:rsid w:val="006964D8"/>
    <w:rsid w:val="006A1133"/>
    <w:rsid w:val="006A43E5"/>
    <w:rsid w:val="006A7E38"/>
    <w:rsid w:val="006B5AEE"/>
    <w:rsid w:val="006B7EAD"/>
    <w:rsid w:val="006C32C2"/>
    <w:rsid w:val="006D05DA"/>
    <w:rsid w:val="006D22C2"/>
    <w:rsid w:val="006D50EE"/>
    <w:rsid w:val="006E2B21"/>
    <w:rsid w:val="006E5886"/>
    <w:rsid w:val="006F0C90"/>
    <w:rsid w:val="006F2642"/>
    <w:rsid w:val="006F33A6"/>
    <w:rsid w:val="006F3486"/>
    <w:rsid w:val="006F47E2"/>
    <w:rsid w:val="0070082B"/>
    <w:rsid w:val="00702863"/>
    <w:rsid w:val="00703178"/>
    <w:rsid w:val="0070353F"/>
    <w:rsid w:val="00707C0E"/>
    <w:rsid w:val="00711142"/>
    <w:rsid w:val="00711908"/>
    <w:rsid w:val="00714AC4"/>
    <w:rsid w:val="00714EA2"/>
    <w:rsid w:val="00717424"/>
    <w:rsid w:val="00724393"/>
    <w:rsid w:val="007267C5"/>
    <w:rsid w:val="007317C5"/>
    <w:rsid w:val="00732B24"/>
    <w:rsid w:val="00737517"/>
    <w:rsid w:val="0074131A"/>
    <w:rsid w:val="0074143F"/>
    <w:rsid w:val="0074332A"/>
    <w:rsid w:val="0074568B"/>
    <w:rsid w:val="0075068C"/>
    <w:rsid w:val="00752072"/>
    <w:rsid w:val="00752E9E"/>
    <w:rsid w:val="007542BE"/>
    <w:rsid w:val="007561DB"/>
    <w:rsid w:val="00756A41"/>
    <w:rsid w:val="00756E08"/>
    <w:rsid w:val="00763BC3"/>
    <w:rsid w:val="007640FE"/>
    <w:rsid w:val="00765968"/>
    <w:rsid w:val="00781979"/>
    <w:rsid w:val="00782754"/>
    <w:rsid w:val="00783670"/>
    <w:rsid w:val="0079305B"/>
    <w:rsid w:val="00795CCD"/>
    <w:rsid w:val="0079645D"/>
    <w:rsid w:val="007B0291"/>
    <w:rsid w:val="007B19F9"/>
    <w:rsid w:val="007B4191"/>
    <w:rsid w:val="007B73D2"/>
    <w:rsid w:val="007B74E6"/>
    <w:rsid w:val="007C273A"/>
    <w:rsid w:val="007C28FE"/>
    <w:rsid w:val="007C3181"/>
    <w:rsid w:val="007C43EB"/>
    <w:rsid w:val="007C7201"/>
    <w:rsid w:val="007D1CE0"/>
    <w:rsid w:val="007E1CFA"/>
    <w:rsid w:val="007E232F"/>
    <w:rsid w:val="007E6035"/>
    <w:rsid w:val="007F18E0"/>
    <w:rsid w:val="007F4999"/>
    <w:rsid w:val="007F4FD1"/>
    <w:rsid w:val="00800C79"/>
    <w:rsid w:val="008034A5"/>
    <w:rsid w:val="00807700"/>
    <w:rsid w:val="0081589E"/>
    <w:rsid w:val="008177F7"/>
    <w:rsid w:val="00820EFB"/>
    <w:rsid w:val="0082477D"/>
    <w:rsid w:val="00825B41"/>
    <w:rsid w:val="0082640E"/>
    <w:rsid w:val="008264C3"/>
    <w:rsid w:val="00831589"/>
    <w:rsid w:val="008334BD"/>
    <w:rsid w:val="0083412A"/>
    <w:rsid w:val="008500A1"/>
    <w:rsid w:val="00850981"/>
    <w:rsid w:val="00852A55"/>
    <w:rsid w:val="00853FF5"/>
    <w:rsid w:val="00862CC8"/>
    <w:rsid w:val="0086304D"/>
    <w:rsid w:val="008655F2"/>
    <w:rsid w:val="00866B40"/>
    <w:rsid w:val="00873A6B"/>
    <w:rsid w:val="00875C1E"/>
    <w:rsid w:val="0088191C"/>
    <w:rsid w:val="00882F29"/>
    <w:rsid w:val="0089057A"/>
    <w:rsid w:val="008966CF"/>
    <w:rsid w:val="008A0F02"/>
    <w:rsid w:val="008A2491"/>
    <w:rsid w:val="008A36B9"/>
    <w:rsid w:val="008A5AD3"/>
    <w:rsid w:val="008A5B16"/>
    <w:rsid w:val="008B4F83"/>
    <w:rsid w:val="008C2158"/>
    <w:rsid w:val="008C40C5"/>
    <w:rsid w:val="008C7753"/>
    <w:rsid w:val="008D0C9B"/>
    <w:rsid w:val="008D392B"/>
    <w:rsid w:val="008D4D64"/>
    <w:rsid w:val="008D627B"/>
    <w:rsid w:val="008D6C1E"/>
    <w:rsid w:val="008D6DE8"/>
    <w:rsid w:val="008E0E84"/>
    <w:rsid w:val="008E1389"/>
    <w:rsid w:val="008E1837"/>
    <w:rsid w:val="008E3DC8"/>
    <w:rsid w:val="008E541C"/>
    <w:rsid w:val="008E6D00"/>
    <w:rsid w:val="008F03F6"/>
    <w:rsid w:val="008F2629"/>
    <w:rsid w:val="008F2C50"/>
    <w:rsid w:val="008F2FC3"/>
    <w:rsid w:val="008F3030"/>
    <w:rsid w:val="00904B94"/>
    <w:rsid w:val="009061B2"/>
    <w:rsid w:val="00910929"/>
    <w:rsid w:val="00912BD2"/>
    <w:rsid w:val="00915EB2"/>
    <w:rsid w:val="00917353"/>
    <w:rsid w:val="00922E89"/>
    <w:rsid w:val="00926D29"/>
    <w:rsid w:val="00930249"/>
    <w:rsid w:val="00932482"/>
    <w:rsid w:val="009346DD"/>
    <w:rsid w:val="0093620B"/>
    <w:rsid w:val="00940126"/>
    <w:rsid w:val="009406A6"/>
    <w:rsid w:val="00940795"/>
    <w:rsid w:val="00940A09"/>
    <w:rsid w:val="00941764"/>
    <w:rsid w:val="00943E3D"/>
    <w:rsid w:val="0094435E"/>
    <w:rsid w:val="00945483"/>
    <w:rsid w:val="0094752E"/>
    <w:rsid w:val="00950372"/>
    <w:rsid w:val="0095108F"/>
    <w:rsid w:val="009550D3"/>
    <w:rsid w:val="0095594A"/>
    <w:rsid w:val="00955B48"/>
    <w:rsid w:val="00955F88"/>
    <w:rsid w:val="00957124"/>
    <w:rsid w:val="009575B1"/>
    <w:rsid w:val="009620A7"/>
    <w:rsid w:val="009621FA"/>
    <w:rsid w:val="009636B4"/>
    <w:rsid w:val="00963BD3"/>
    <w:rsid w:val="00965431"/>
    <w:rsid w:val="00977CCD"/>
    <w:rsid w:val="00982655"/>
    <w:rsid w:val="0098334A"/>
    <w:rsid w:val="00986DE1"/>
    <w:rsid w:val="00991ADB"/>
    <w:rsid w:val="009940B3"/>
    <w:rsid w:val="00994679"/>
    <w:rsid w:val="009A49EE"/>
    <w:rsid w:val="009A59C5"/>
    <w:rsid w:val="009A5D71"/>
    <w:rsid w:val="009A678A"/>
    <w:rsid w:val="009A7245"/>
    <w:rsid w:val="009B2C1F"/>
    <w:rsid w:val="009B44CE"/>
    <w:rsid w:val="009B49A1"/>
    <w:rsid w:val="009C1D92"/>
    <w:rsid w:val="009C2462"/>
    <w:rsid w:val="009C2AB9"/>
    <w:rsid w:val="009C6516"/>
    <w:rsid w:val="009D3AD9"/>
    <w:rsid w:val="009E049D"/>
    <w:rsid w:val="009E4D13"/>
    <w:rsid w:val="009F2ED6"/>
    <w:rsid w:val="009F35ED"/>
    <w:rsid w:val="009F68C6"/>
    <w:rsid w:val="009F69AA"/>
    <w:rsid w:val="00A112F5"/>
    <w:rsid w:val="00A138C8"/>
    <w:rsid w:val="00A139A3"/>
    <w:rsid w:val="00A16E5A"/>
    <w:rsid w:val="00A323CA"/>
    <w:rsid w:val="00A3257D"/>
    <w:rsid w:val="00A333FF"/>
    <w:rsid w:val="00A33D56"/>
    <w:rsid w:val="00A36D7E"/>
    <w:rsid w:val="00A3755F"/>
    <w:rsid w:val="00A37B3F"/>
    <w:rsid w:val="00A400E4"/>
    <w:rsid w:val="00A4256F"/>
    <w:rsid w:val="00A50B37"/>
    <w:rsid w:val="00A518AB"/>
    <w:rsid w:val="00A5207E"/>
    <w:rsid w:val="00A523F8"/>
    <w:rsid w:val="00A53985"/>
    <w:rsid w:val="00A54F3D"/>
    <w:rsid w:val="00A562FE"/>
    <w:rsid w:val="00A57B69"/>
    <w:rsid w:val="00A676FC"/>
    <w:rsid w:val="00A707DE"/>
    <w:rsid w:val="00A7409B"/>
    <w:rsid w:val="00A76EE2"/>
    <w:rsid w:val="00A7714E"/>
    <w:rsid w:val="00A77EFE"/>
    <w:rsid w:val="00A81986"/>
    <w:rsid w:val="00A83310"/>
    <w:rsid w:val="00A838C4"/>
    <w:rsid w:val="00A83A93"/>
    <w:rsid w:val="00A86563"/>
    <w:rsid w:val="00A95580"/>
    <w:rsid w:val="00A95BAE"/>
    <w:rsid w:val="00AA0D68"/>
    <w:rsid w:val="00AA337B"/>
    <w:rsid w:val="00AA5CC4"/>
    <w:rsid w:val="00AA646A"/>
    <w:rsid w:val="00AB4DC8"/>
    <w:rsid w:val="00AB6763"/>
    <w:rsid w:val="00AB720E"/>
    <w:rsid w:val="00AB72B9"/>
    <w:rsid w:val="00AC07FB"/>
    <w:rsid w:val="00AC4929"/>
    <w:rsid w:val="00AC4CA7"/>
    <w:rsid w:val="00AD198E"/>
    <w:rsid w:val="00AD51DC"/>
    <w:rsid w:val="00AE35D4"/>
    <w:rsid w:val="00AE42A2"/>
    <w:rsid w:val="00AF209A"/>
    <w:rsid w:val="00AF72B1"/>
    <w:rsid w:val="00AF7666"/>
    <w:rsid w:val="00B008A1"/>
    <w:rsid w:val="00B0386F"/>
    <w:rsid w:val="00B057FB"/>
    <w:rsid w:val="00B11077"/>
    <w:rsid w:val="00B112EA"/>
    <w:rsid w:val="00B12433"/>
    <w:rsid w:val="00B12D08"/>
    <w:rsid w:val="00B14C2E"/>
    <w:rsid w:val="00B14FE6"/>
    <w:rsid w:val="00B219D0"/>
    <w:rsid w:val="00B22B06"/>
    <w:rsid w:val="00B22E53"/>
    <w:rsid w:val="00B22FBB"/>
    <w:rsid w:val="00B23133"/>
    <w:rsid w:val="00B23B55"/>
    <w:rsid w:val="00B24061"/>
    <w:rsid w:val="00B24452"/>
    <w:rsid w:val="00B30FCE"/>
    <w:rsid w:val="00B3100F"/>
    <w:rsid w:val="00B4068E"/>
    <w:rsid w:val="00B420EE"/>
    <w:rsid w:val="00B43F92"/>
    <w:rsid w:val="00B471CE"/>
    <w:rsid w:val="00B52ED0"/>
    <w:rsid w:val="00B6191E"/>
    <w:rsid w:val="00B62B4B"/>
    <w:rsid w:val="00B63C3A"/>
    <w:rsid w:val="00B643A5"/>
    <w:rsid w:val="00B64AB1"/>
    <w:rsid w:val="00B65E46"/>
    <w:rsid w:val="00B703AB"/>
    <w:rsid w:val="00B72530"/>
    <w:rsid w:val="00B7483C"/>
    <w:rsid w:val="00B74DA0"/>
    <w:rsid w:val="00B74E25"/>
    <w:rsid w:val="00B75D0B"/>
    <w:rsid w:val="00B76A45"/>
    <w:rsid w:val="00B771F2"/>
    <w:rsid w:val="00B80846"/>
    <w:rsid w:val="00B86AD1"/>
    <w:rsid w:val="00B86B52"/>
    <w:rsid w:val="00B87FE1"/>
    <w:rsid w:val="00B914B4"/>
    <w:rsid w:val="00B957BB"/>
    <w:rsid w:val="00B96918"/>
    <w:rsid w:val="00BA41C4"/>
    <w:rsid w:val="00BA7372"/>
    <w:rsid w:val="00BB0F93"/>
    <w:rsid w:val="00BB2CFC"/>
    <w:rsid w:val="00BB41BB"/>
    <w:rsid w:val="00BB550C"/>
    <w:rsid w:val="00BB5A50"/>
    <w:rsid w:val="00BB6D3B"/>
    <w:rsid w:val="00BD28E9"/>
    <w:rsid w:val="00BD2E95"/>
    <w:rsid w:val="00BD4E9E"/>
    <w:rsid w:val="00BD7802"/>
    <w:rsid w:val="00BE5DFD"/>
    <w:rsid w:val="00BE666E"/>
    <w:rsid w:val="00BE6E64"/>
    <w:rsid w:val="00BF0E59"/>
    <w:rsid w:val="00BF2E0A"/>
    <w:rsid w:val="00BF348E"/>
    <w:rsid w:val="00BF782F"/>
    <w:rsid w:val="00C0003F"/>
    <w:rsid w:val="00C016C5"/>
    <w:rsid w:val="00C07739"/>
    <w:rsid w:val="00C10F07"/>
    <w:rsid w:val="00C13BE3"/>
    <w:rsid w:val="00C14BFB"/>
    <w:rsid w:val="00C17ECC"/>
    <w:rsid w:val="00C226C5"/>
    <w:rsid w:val="00C26A27"/>
    <w:rsid w:val="00C26EA8"/>
    <w:rsid w:val="00C33CEC"/>
    <w:rsid w:val="00C341F2"/>
    <w:rsid w:val="00C34316"/>
    <w:rsid w:val="00C365B6"/>
    <w:rsid w:val="00C37564"/>
    <w:rsid w:val="00C414EF"/>
    <w:rsid w:val="00C4219B"/>
    <w:rsid w:val="00C42EBD"/>
    <w:rsid w:val="00C436C9"/>
    <w:rsid w:val="00C452A6"/>
    <w:rsid w:val="00C47BAF"/>
    <w:rsid w:val="00C57589"/>
    <w:rsid w:val="00C627EC"/>
    <w:rsid w:val="00C63DB5"/>
    <w:rsid w:val="00C64088"/>
    <w:rsid w:val="00C64401"/>
    <w:rsid w:val="00C6442A"/>
    <w:rsid w:val="00C64CF2"/>
    <w:rsid w:val="00C7044E"/>
    <w:rsid w:val="00C70A25"/>
    <w:rsid w:val="00C70B4E"/>
    <w:rsid w:val="00C70BEA"/>
    <w:rsid w:val="00C70CBE"/>
    <w:rsid w:val="00C71E29"/>
    <w:rsid w:val="00C72C2F"/>
    <w:rsid w:val="00C733FD"/>
    <w:rsid w:val="00C7608E"/>
    <w:rsid w:val="00C85A0D"/>
    <w:rsid w:val="00C866A5"/>
    <w:rsid w:val="00C915BA"/>
    <w:rsid w:val="00C91EE7"/>
    <w:rsid w:val="00C932CA"/>
    <w:rsid w:val="00C943B6"/>
    <w:rsid w:val="00C94BEF"/>
    <w:rsid w:val="00C96930"/>
    <w:rsid w:val="00C9744F"/>
    <w:rsid w:val="00CA2987"/>
    <w:rsid w:val="00CB2CDF"/>
    <w:rsid w:val="00CB2EB3"/>
    <w:rsid w:val="00CB3AF7"/>
    <w:rsid w:val="00CB655C"/>
    <w:rsid w:val="00CC0E42"/>
    <w:rsid w:val="00CC62A0"/>
    <w:rsid w:val="00CD02DA"/>
    <w:rsid w:val="00CD271D"/>
    <w:rsid w:val="00CD4036"/>
    <w:rsid w:val="00CD4F9C"/>
    <w:rsid w:val="00CD67FB"/>
    <w:rsid w:val="00CD6CAE"/>
    <w:rsid w:val="00CD7573"/>
    <w:rsid w:val="00CD7ED7"/>
    <w:rsid w:val="00CE2609"/>
    <w:rsid w:val="00CE5160"/>
    <w:rsid w:val="00CE55BE"/>
    <w:rsid w:val="00CF595A"/>
    <w:rsid w:val="00CF6EFE"/>
    <w:rsid w:val="00D01E06"/>
    <w:rsid w:val="00D03BD1"/>
    <w:rsid w:val="00D03FA3"/>
    <w:rsid w:val="00D0434A"/>
    <w:rsid w:val="00D06257"/>
    <w:rsid w:val="00D122D6"/>
    <w:rsid w:val="00D20D0F"/>
    <w:rsid w:val="00D25BE3"/>
    <w:rsid w:val="00D25BEF"/>
    <w:rsid w:val="00D26EC3"/>
    <w:rsid w:val="00D27044"/>
    <w:rsid w:val="00D325C3"/>
    <w:rsid w:val="00D351CE"/>
    <w:rsid w:val="00D36B95"/>
    <w:rsid w:val="00D36FA2"/>
    <w:rsid w:val="00D37B56"/>
    <w:rsid w:val="00D47625"/>
    <w:rsid w:val="00D52A8E"/>
    <w:rsid w:val="00D55018"/>
    <w:rsid w:val="00D559FF"/>
    <w:rsid w:val="00D567B5"/>
    <w:rsid w:val="00D56964"/>
    <w:rsid w:val="00D57763"/>
    <w:rsid w:val="00D60D1A"/>
    <w:rsid w:val="00D60D90"/>
    <w:rsid w:val="00D62493"/>
    <w:rsid w:val="00D647B7"/>
    <w:rsid w:val="00D67CCA"/>
    <w:rsid w:val="00D71648"/>
    <w:rsid w:val="00D744EE"/>
    <w:rsid w:val="00D75531"/>
    <w:rsid w:val="00D82D7F"/>
    <w:rsid w:val="00D86D5E"/>
    <w:rsid w:val="00D92F59"/>
    <w:rsid w:val="00D93728"/>
    <w:rsid w:val="00DA14D1"/>
    <w:rsid w:val="00DA1770"/>
    <w:rsid w:val="00DA1BA2"/>
    <w:rsid w:val="00DA7C73"/>
    <w:rsid w:val="00DB0F84"/>
    <w:rsid w:val="00DB3C1F"/>
    <w:rsid w:val="00DB5792"/>
    <w:rsid w:val="00DB593A"/>
    <w:rsid w:val="00DB7A0B"/>
    <w:rsid w:val="00DC436E"/>
    <w:rsid w:val="00DC4DC8"/>
    <w:rsid w:val="00DC5566"/>
    <w:rsid w:val="00DC55EC"/>
    <w:rsid w:val="00DD2889"/>
    <w:rsid w:val="00DD5AC5"/>
    <w:rsid w:val="00DE3B58"/>
    <w:rsid w:val="00DE59AF"/>
    <w:rsid w:val="00DF1027"/>
    <w:rsid w:val="00DF14CA"/>
    <w:rsid w:val="00DF1E8B"/>
    <w:rsid w:val="00DF2EF7"/>
    <w:rsid w:val="00DF60CB"/>
    <w:rsid w:val="00E03506"/>
    <w:rsid w:val="00E042A9"/>
    <w:rsid w:val="00E06390"/>
    <w:rsid w:val="00E160EC"/>
    <w:rsid w:val="00E16545"/>
    <w:rsid w:val="00E2041D"/>
    <w:rsid w:val="00E21923"/>
    <w:rsid w:val="00E22A01"/>
    <w:rsid w:val="00E251DC"/>
    <w:rsid w:val="00E25226"/>
    <w:rsid w:val="00E2643B"/>
    <w:rsid w:val="00E2666C"/>
    <w:rsid w:val="00E30078"/>
    <w:rsid w:val="00E33278"/>
    <w:rsid w:val="00E34D64"/>
    <w:rsid w:val="00E40492"/>
    <w:rsid w:val="00E41D9E"/>
    <w:rsid w:val="00E4416E"/>
    <w:rsid w:val="00E44802"/>
    <w:rsid w:val="00E5074C"/>
    <w:rsid w:val="00E5584F"/>
    <w:rsid w:val="00E60F34"/>
    <w:rsid w:val="00E61630"/>
    <w:rsid w:val="00E62A37"/>
    <w:rsid w:val="00E63BBF"/>
    <w:rsid w:val="00E655B0"/>
    <w:rsid w:val="00E65EB1"/>
    <w:rsid w:val="00E6613F"/>
    <w:rsid w:val="00E72062"/>
    <w:rsid w:val="00E72D62"/>
    <w:rsid w:val="00E74302"/>
    <w:rsid w:val="00E74D32"/>
    <w:rsid w:val="00E7665A"/>
    <w:rsid w:val="00E81565"/>
    <w:rsid w:val="00E81F98"/>
    <w:rsid w:val="00E90846"/>
    <w:rsid w:val="00E91064"/>
    <w:rsid w:val="00E910B7"/>
    <w:rsid w:val="00E9162E"/>
    <w:rsid w:val="00E94D8C"/>
    <w:rsid w:val="00EA27B8"/>
    <w:rsid w:val="00EA3D18"/>
    <w:rsid w:val="00EA4F37"/>
    <w:rsid w:val="00EA5CDD"/>
    <w:rsid w:val="00EA7C65"/>
    <w:rsid w:val="00EB1EAA"/>
    <w:rsid w:val="00EB3CD3"/>
    <w:rsid w:val="00EB4893"/>
    <w:rsid w:val="00EC0290"/>
    <w:rsid w:val="00EC064B"/>
    <w:rsid w:val="00EC5A17"/>
    <w:rsid w:val="00ED29ED"/>
    <w:rsid w:val="00EE0D9B"/>
    <w:rsid w:val="00EE3731"/>
    <w:rsid w:val="00EE38C2"/>
    <w:rsid w:val="00EE3DD2"/>
    <w:rsid w:val="00EE6327"/>
    <w:rsid w:val="00EF2FB0"/>
    <w:rsid w:val="00EF41F5"/>
    <w:rsid w:val="00EF5AEF"/>
    <w:rsid w:val="00EF6CE8"/>
    <w:rsid w:val="00EF700B"/>
    <w:rsid w:val="00EF7E59"/>
    <w:rsid w:val="00F02A64"/>
    <w:rsid w:val="00F02FD8"/>
    <w:rsid w:val="00F04679"/>
    <w:rsid w:val="00F04C3B"/>
    <w:rsid w:val="00F06043"/>
    <w:rsid w:val="00F06A3C"/>
    <w:rsid w:val="00F115A3"/>
    <w:rsid w:val="00F1228D"/>
    <w:rsid w:val="00F130F2"/>
    <w:rsid w:val="00F136C4"/>
    <w:rsid w:val="00F141BF"/>
    <w:rsid w:val="00F15E16"/>
    <w:rsid w:val="00F16E1C"/>
    <w:rsid w:val="00F2000D"/>
    <w:rsid w:val="00F321A3"/>
    <w:rsid w:val="00F345D5"/>
    <w:rsid w:val="00F3570C"/>
    <w:rsid w:val="00F40918"/>
    <w:rsid w:val="00F42086"/>
    <w:rsid w:val="00F42099"/>
    <w:rsid w:val="00F50C1F"/>
    <w:rsid w:val="00F51B75"/>
    <w:rsid w:val="00F60BF2"/>
    <w:rsid w:val="00F6224E"/>
    <w:rsid w:val="00F640FF"/>
    <w:rsid w:val="00F71CDF"/>
    <w:rsid w:val="00F7319E"/>
    <w:rsid w:val="00F74B25"/>
    <w:rsid w:val="00F761D2"/>
    <w:rsid w:val="00F770D6"/>
    <w:rsid w:val="00F829F1"/>
    <w:rsid w:val="00F91C27"/>
    <w:rsid w:val="00F969E8"/>
    <w:rsid w:val="00F97631"/>
    <w:rsid w:val="00FA0CD3"/>
    <w:rsid w:val="00FA4139"/>
    <w:rsid w:val="00FA4E64"/>
    <w:rsid w:val="00FB1927"/>
    <w:rsid w:val="00FB28FA"/>
    <w:rsid w:val="00FB409C"/>
    <w:rsid w:val="00FB4ABB"/>
    <w:rsid w:val="00FC0625"/>
    <w:rsid w:val="00FC07D2"/>
    <w:rsid w:val="00FC198C"/>
    <w:rsid w:val="00FC342F"/>
    <w:rsid w:val="00FC38B4"/>
    <w:rsid w:val="00FC4191"/>
    <w:rsid w:val="00FC426A"/>
    <w:rsid w:val="00FD375D"/>
    <w:rsid w:val="00FD4169"/>
    <w:rsid w:val="00FD4488"/>
    <w:rsid w:val="00FD53BD"/>
    <w:rsid w:val="00FD5A91"/>
    <w:rsid w:val="00FE00D8"/>
    <w:rsid w:val="00FE123D"/>
    <w:rsid w:val="00FE214F"/>
    <w:rsid w:val="00FE3D5F"/>
    <w:rsid w:val="00FE6451"/>
    <w:rsid w:val="00FF07F4"/>
    <w:rsid w:val="00FF41C1"/>
    <w:rsid w:val="014F4022"/>
    <w:rsid w:val="01AA0F94"/>
    <w:rsid w:val="01D6652C"/>
    <w:rsid w:val="01E80664"/>
    <w:rsid w:val="02951DA1"/>
    <w:rsid w:val="03310B30"/>
    <w:rsid w:val="034C740D"/>
    <w:rsid w:val="037163E1"/>
    <w:rsid w:val="03A47FB4"/>
    <w:rsid w:val="0442738C"/>
    <w:rsid w:val="04B50642"/>
    <w:rsid w:val="04C932DF"/>
    <w:rsid w:val="050E5BF3"/>
    <w:rsid w:val="05AD53FB"/>
    <w:rsid w:val="05D437B9"/>
    <w:rsid w:val="05ED0D44"/>
    <w:rsid w:val="05EE7746"/>
    <w:rsid w:val="064E6301"/>
    <w:rsid w:val="08177D2E"/>
    <w:rsid w:val="087246E5"/>
    <w:rsid w:val="08F731EA"/>
    <w:rsid w:val="0905406C"/>
    <w:rsid w:val="09B72DB1"/>
    <w:rsid w:val="0A19286A"/>
    <w:rsid w:val="0A641477"/>
    <w:rsid w:val="0A760D1A"/>
    <w:rsid w:val="0A7C52AB"/>
    <w:rsid w:val="0AB74390"/>
    <w:rsid w:val="0B0D5FA3"/>
    <w:rsid w:val="0B2A4C80"/>
    <w:rsid w:val="0C083BBF"/>
    <w:rsid w:val="0D9917BE"/>
    <w:rsid w:val="0E21471B"/>
    <w:rsid w:val="0E4E4671"/>
    <w:rsid w:val="0EB15B98"/>
    <w:rsid w:val="0F2D384C"/>
    <w:rsid w:val="0F593CC5"/>
    <w:rsid w:val="1037203B"/>
    <w:rsid w:val="106B6C49"/>
    <w:rsid w:val="106E4A9A"/>
    <w:rsid w:val="116250AA"/>
    <w:rsid w:val="11770853"/>
    <w:rsid w:val="11817A07"/>
    <w:rsid w:val="12FB66F4"/>
    <w:rsid w:val="13567F4F"/>
    <w:rsid w:val="13A90D44"/>
    <w:rsid w:val="13A94D54"/>
    <w:rsid w:val="165E4FC8"/>
    <w:rsid w:val="16CE2512"/>
    <w:rsid w:val="16E4576D"/>
    <w:rsid w:val="171C1A05"/>
    <w:rsid w:val="172B0DB3"/>
    <w:rsid w:val="176604A4"/>
    <w:rsid w:val="17E45C5B"/>
    <w:rsid w:val="17F451E8"/>
    <w:rsid w:val="1821232D"/>
    <w:rsid w:val="18495F3A"/>
    <w:rsid w:val="18701ABF"/>
    <w:rsid w:val="190004A1"/>
    <w:rsid w:val="199E5F9D"/>
    <w:rsid w:val="1A0F1BA5"/>
    <w:rsid w:val="1A39133A"/>
    <w:rsid w:val="1A5309E1"/>
    <w:rsid w:val="1A952EAD"/>
    <w:rsid w:val="1AD355FB"/>
    <w:rsid w:val="1B334652"/>
    <w:rsid w:val="1BC8465E"/>
    <w:rsid w:val="1BE20485"/>
    <w:rsid w:val="1BEC283A"/>
    <w:rsid w:val="1C60609D"/>
    <w:rsid w:val="1CBA5631"/>
    <w:rsid w:val="1D130ACE"/>
    <w:rsid w:val="1D2C0ACD"/>
    <w:rsid w:val="1D385531"/>
    <w:rsid w:val="1E3466CC"/>
    <w:rsid w:val="1F1D5FE5"/>
    <w:rsid w:val="20283D06"/>
    <w:rsid w:val="210F5091"/>
    <w:rsid w:val="2150429A"/>
    <w:rsid w:val="217E4B56"/>
    <w:rsid w:val="21B875AB"/>
    <w:rsid w:val="226C2616"/>
    <w:rsid w:val="2279269B"/>
    <w:rsid w:val="22B05CC6"/>
    <w:rsid w:val="22DE37D1"/>
    <w:rsid w:val="2391444F"/>
    <w:rsid w:val="2397350A"/>
    <w:rsid w:val="23C150AA"/>
    <w:rsid w:val="24D17E02"/>
    <w:rsid w:val="24EF6419"/>
    <w:rsid w:val="258F043A"/>
    <w:rsid w:val="26157185"/>
    <w:rsid w:val="263A460D"/>
    <w:rsid w:val="26B84066"/>
    <w:rsid w:val="271E0E4B"/>
    <w:rsid w:val="278A3155"/>
    <w:rsid w:val="279E2E15"/>
    <w:rsid w:val="27E809FC"/>
    <w:rsid w:val="28804DB8"/>
    <w:rsid w:val="28895141"/>
    <w:rsid w:val="28937E20"/>
    <w:rsid w:val="28C47579"/>
    <w:rsid w:val="290754E5"/>
    <w:rsid w:val="29FD1C4F"/>
    <w:rsid w:val="2ABF1610"/>
    <w:rsid w:val="2B365F55"/>
    <w:rsid w:val="2B92392D"/>
    <w:rsid w:val="2BA96709"/>
    <w:rsid w:val="2CCF00C6"/>
    <w:rsid w:val="2CF83CFB"/>
    <w:rsid w:val="2D051E3C"/>
    <w:rsid w:val="2D2A6F66"/>
    <w:rsid w:val="2E293D25"/>
    <w:rsid w:val="2E2F2A17"/>
    <w:rsid w:val="2E81333D"/>
    <w:rsid w:val="2E895675"/>
    <w:rsid w:val="2ED14A49"/>
    <w:rsid w:val="2F1531D3"/>
    <w:rsid w:val="2FD137F3"/>
    <w:rsid w:val="3037112C"/>
    <w:rsid w:val="31445759"/>
    <w:rsid w:val="31835302"/>
    <w:rsid w:val="31D339D7"/>
    <w:rsid w:val="34686D20"/>
    <w:rsid w:val="34C073E5"/>
    <w:rsid w:val="34E267BE"/>
    <w:rsid w:val="34F01B37"/>
    <w:rsid w:val="355E51FA"/>
    <w:rsid w:val="3578237A"/>
    <w:rsid w:val="36E83D72"/>
    <w:rsid w:val="37370EC2"/>
    <w:rsid w:val="37B52074"/>
    <w:rsid w:val="37FC62EA"/>
    <w:rsid w:val="381E26F6"/>
    <w:rsid w:val="38F335BE"/>
    <w:rsid w:val="39212FD3"/>
    <w:rsid w:val="39267765"/>
    <w:rsid w:val="39CF7858"/>
    <w:rsid w:val="3A8B608D"/>
    <w:rsid w:val="3A9B79F7"/>
    <w:rsid w:val="3AC130DA"/>
    <w:rsid w:val="3ACD39C0"/>
    <w:rsid w:val="3B0B5CC8"/>
    <w:rsid w:val="3C092268"/>
    <w:rsid w:val="3C5F216B"/>
    <w:rsid w:val="3C6A631D"/>
    <w:rsid w:val="3C7826AE"/>
    <w:rsid w:val="3C79474C"/>
    <w:rsid w:val="3D3C6EDE"/>
    <w:rsid w:val="3DEA4255"/>
    <w:rsid w:val="3E1A70FC"/>
    <w:rsid w:val="3E5E0A92"/>
    <w:rsid w:val="3EB30B2C"/>
    <w:rsid w:val="3EC517AC"/>
    <w:rsid w:val="3ED43084"/>
    <w:rsid w:val="3F0C7E08"/>
    <w:rsid w:val="3F2B6BAB"/>
    <w:rsid w:val="3F5F41B0"/>
    <w:rsid w:val="3F647A4C"/>
    <w:rsid w:val="3F870FB7"/>
    <w:rsid w:val="401B45BB"/>
    <w:rsid w:val="40B94D22"/>
    <w:rsid w:val="412C22CE"/>
    <w:rsid w:val="41600349"/>
    <w:rsid w:val="42667269"/>
    <w:rsid w:val="43813A76"/>
    <w:rsid w:val="44607DA6"/>
    <w:rsid w:val="448226F7"/>
    <w:rsid w:val="450D5EF5"/>
    <w:rsid w:val="45505593"/>
    <w:rsid w:val="457C2DCA"/>
    <w:rsid w:val="45F9708D"/>
    <w:rsid w:val="461464D3"/>
    <w:rsid w:val="46447422"/>
    <w:rsid w:val="471B55B5"/>
    <w:rsid w:val="485D7099"/>
    <w:rsid w:val="4967163A"/>
    <w:rsid w:val="496E66D4"/>
    <w:rsid w:val="49BB1895"/>
    <w:rsid w:val="4B2A4493"/>
    <w:rsid w:val="4B9A6222"/>
    <w:rsid w:val="4C1B7BAC"/>
    <w:rsid w:val="4C51508D"/>
    <w:rsid w:val="4D2F13CA"/>
    <w:rsid w:val="4D4E1601"/>
    <w:rsid w:val="4D5E2111"/>
    <w:rsid w:val="4D7F0609"/>
    <w:rsid w:val="4E4B0E19"/>
    <w:rsid w:val="4E615775"/>
    <w:rsid w:val="4E67255A"/>
    <w:rsid w:val="4E796598"/>
    <w:rsid w:val="4EC932C9"/>
    <w:rsid w:val="4ECC76D6"/>
    <w:rsid w:val="4F1B4CDC"/>
    <w:rsid w:val="4F42158C"/>
    <w:rsid w:val="50CE1A60"/>
    <w:rsid w:val="50D6568C"/>
    <w:rsid w:val="51EB6216"/>
    <w:rsid w:val="524C6927"/>
    <w:rsid w:val="52541007"/>
    <w:rsid w:val="5263246F"/>
    <w:rsid w:val="537038B1"/>
    <w:rsid w:val="53760EF0"/>
    <w:rsid w:val="537E1D0A"/>
    <w:rsid w:val="53953CC8"/>
    <w:rsid w:val="553C53A7"/>
    <w:rsid w:val="55710BAC"/>
    <w:rsid w:val="564637D8"/>
    <w:rsid w:val="56B30930"/>
    <w:rsid w:val="56C93BED"/>
    <w:rsid w:val="56D26AE4"/>
    <w:rsid w:val="5746750B"/>
    <w:rsid w:val="57487F3F"/>
    <w:rsid w:val="5853522A"/>
    <w:rsid w:val="58F1676E"/>
    <w:rsid w:val="58F4578F"/>
    <w:rsid w:val="59C03424"/>
    <w:rsid w:val="59E503A1"/>
    <w:rsid w:val="5A0852B0"/>
    <w:rsid w:val="5A450AA5"/>
    <w:rsid w:val="5AA3694F"/>
    <w:rsid w:val="5AE16BDC"/>
    <w:rsid w:val="5BC511AA"/>
    <w:rsid w:val="5C1377FD"/>
    <w:rsid w:val="5CB66456"/>
    <w:rsid w:val="5D55084B"/>
    <w:rsid w:val="5D9848E8"/>
    <w:rsid w:val="5DA10AF9"/>
    <w:rsid w:val="5E2F7062"/>
    <w:rsid w:val="5E493078"/>
    <w:rsid w:val="5F1036D9"/>
    <w:rsid w:val="60533D83"/>
    <w:rsid w:val="611421AC"/>
    <w:rsid w:val="6232202C"/>
    <w:rsid w:val="625106E5"/>
    <w:rsid w:val="62525C49"/>
    <w:rsid w:val="63D94F39"/>
    <w:rsid w:val="64074D7C"/>
    <w:rsid w:val="65705988"/>
    <w:rsid w:val="657318E7"/>
    <w:rsid w:val="657C1403"/>
    <w:rsid w:val="6609166C"/>
    <w:rsid w:val="663B1B23"/>
    <w:rsid w:val="66FA7045"/>
    <w:rsid w:val="67547C68"/>
    <w:rsid w:val="67B9554F"/>
    <w:rsid w:val="69895314"/>
    <w:rsid w:val="69DD4563"/>
    <w:rsid w:val="6B01629A"/>
    <w:rsid w:val="6C9C4230"/>
    <w:rsid w:val="6CDD645E"/>
    <w:rsid w:val="6CEA0467"/>
    <w:rsid w:val="6CF12A52"/>
    <w:rsid w:val="6D8C099A"/>
    <w:rsid w:val="6DC73E08"/>
    <w:rsid w:val="6E7D6A28"/>
    <w:rsid w:val="6EA631FA"/>
    <w:rsid w:val="6EBE1A95"/>
    <w:rsid w:val="6F207DD5"/>
    <w:rsid w:val="6FA57FE8"/>
    <w:rsid w:val="6FEF5919"/>
    <w:rsid w:val="7057377B"/>
    <w:rsid w:val="70B50513"/>
    <w:rsid w:val="713219E6"/>
    <w:rsid w:val="71961659"/>
    <w:rsid w:val="72164AC6"/>
    <w:rsid w:val="733266FE"/>
    <w:rsid w:val="73FF049E"/>
    <w:rsid w:val="74276E00"/>
    <w:rsid w:val="74C139AC"/>
    <w:rsid w:val="759155E7"/>
    <w:rsid w:val="75E52669"/>
    <w:rsid w:val="768D2181"/>
    <w:rsid w:val="76B3099E"/>
    <w:rsid w:val="76FF47BA"/>
    <w:rsid w:val="770641A0"/>
    <w:rsid w:val="77326E2B"/>
    <w:rsid w:val="77661688"/>
    <w:rsid w:val="77BD2F94"/>
    <w:rsid w:val="77E6481A"/>
    <w:rsid w:val="78D548CD"/>
    <w:rsid w:val="78DD67C0"/>
    <w:rsid w:val="78F05D92"/>
    <w:rsid w:val="792278CF"/>
    <w:rsid w:val="79751AF7"/>
    <w:rsid w:val="799F7249"/>
    <w:rsid w:val="7A560450"/>
    <w:rsid w:val="7AA01CA5"/>
    <w:rsid w:val="7ABF6915"/>
    <w:rsid w:val="7AE01C8A"/>
    <w:rsid w:val="7B3B6826"/>
    <w:rsid w:val="7B424DEF"/>
    <w:rsid w:val="7BB57FB1"/>
    <w:rsid w:val="7C342D8B"/>
    <w:rsid w:val="7C575166"/>
    <w:rsid w:val="7D2374C2"/>
    <w:rsid w:val="7D3C311B"/>
    <w:rsid w:val="7E480CD6"/>
    <w:rsid w:val="7E5A7050"/>
    <w:rsid w:val="7EC700B0"/>
    <w:rsid w:val="7EEA0B69"/>
    <w:rsid w:val="7F7F15A4"/>
    <w:rsid w:val="7F9A53D9"/>
    <w:rsid w:val="7FB879FE"/>
    <w:rsid w:val="7FDD26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link w:val="71"/>
    <w:unhideWhenUsed/>
    <w:qFormat/>
    <w:uiPriority w:val="99"/>
    <w:pPr>
      <w:keepNext/>
      <w:keepLines/>
      <w:numPr>
        <w:ilvl w:val="1"/>
        <w:numId w:val="1"/>
      </w:numPr>
      <w:spacing w:line="412" w:lineRule="auto"/>
      <w:outlineLvl w:val="1"/>
    </w:pPr>
    <w:rPr>
      <w:rFonts w:ascii="黑体" w:hAnsi="黑体" w:eastAsia="黑体"/>
      <w:b/>
      <w:sz w:val="32"/>
    </w:rPr>
  </w:style>
  <w:style w:type="paragraph" w:styleId="3">
    <w:name w:val="heading 3"/>
    <w:basedOn w:val="1"/>
    <w:next w:val="1"/>
    <w:link w:val="72"/>
    <w:qFormat/>
    <w:uiPriority w:val="99"/>
    <w:pPr>
      <w:keepNext/>
      <w:keepLines/>
      <w:numPr>
        <w:ilvl w:val="2"/>
        <w:numId w:val="1"/>
      </w:numPr>
      <w:spacing w:before="160" w:after="160"/>
      <w:jc w:val="left"/>
      <w:outlineLvl w:val="2"/>
    </w:pPr>
    <w:rPr>
      <w:rFonts w:ascii="宋体" w:hAnsi="宋体"/>
      <w:b/>
      <w:bCs/>
      <w:sz w:val="32"/>
      <w:szCs w:val="30"/>
    </w:rPr>
  </w:style>
  <w:style w:type="paragraph" w:styleId="4">
    <w:name w:val="heading 4"/>
    <w:basedOn w:val="1"/>
    <w:next w:val="1"/>
    <w:link w:val="73"/>
    <w:qFormat/>
    <w:uiPriority w:val="99"/>
    <w:pPr>
      <w:keepNext/>
      <w:keepLines/>
      <w:numPr>
        <w:ilvl w:val="3"/>
        <w:numId w:val="1"/>
      </w:numPr>
      <w:tabs>
        <w:tab w:val="left" w:pos="420"/>
      </w:tabs>
      <w:spacing w:before="200" w:after="200"/>
      <w:outlineLvl w:val="3"/>
    </w:pPr>
    <w:rPr>
      <w:rFonts w:ascii="宋体" w:hAnsi="宋体"/>
      <w:b/>
      <w:bCs/>
      <w:szCs w:val="28"/>
    </w:rPr>
  </w:style>
  <w:style w:type="paragraph" w:styleId="5">
    <w:name w:val="heading 5"/>
    <w:basedOn w:val="4"/>
    <w:next w:val="1"/>
    <w:link w:val="53"/>
    <w:qFormat/>
    <w:uiPriority w:val="99"/>
    <w:pPr>
      <w:numPr>
        <w:ilvl w:val="4"/>
      </w:numPr>
      <w:tabs>
        <w:tab w:val="left" w:pos="1008"/>
        <w:tab w:val="left" w:pos="1674"/>
        <w:tab w:val="left" w:pos="2649"/>
        <w:tab w:val="clear" w:pos="420"/>
      </w:tabs>
      <w:suppressAutoHyphens/>
      <w:spacing w:before="280" w:after="290" w:line="372" w:lineRule="auto"/>
      <w:outlineLvl w:val="4"/>
    </w:pPr>
    <w:rPr>
      <w:kern w:val="21"/>
      <w:lang w:eastAsia="ar-SA"/>
    </w:rPr>
  </w:style>
  <w:style w:type="paragraph" w:styleId="6">
    <w:name w:val="heading 6"/>
    <w:basedOn w:val="5"/>
    <w:next w:val="1"/>
    <w:link w:val="54"/>
    <w:qFormat/>
    <w:uiPriority w:val="99"/>
    <w:pPr>
      <w:numPr>
        <w:ilvl w:val="5"/>
      </w:numPr>
      <w:tabs>
        <w:tab w:val="left" w:pos="1152"/>
        <w:tab w:val="clear" w:pos="1008"/>
        <w:tab w:val="clear" w:pos="2649"/>
      </w:tabs>
      <w:spacing w:before="240" w:after="64" w:line="317" w:lineRule="auto"/>
      <w:outlineLvl w:val="5"/>
    </w:pPr>
    <w:rPr>
      <w:rFonts w:ascii="Arial" w:hAnsi="Arial"/>
      <w:sz w:val="24"/>
    </w:rPr>
  </w:style>
  <w:style w:type="paragraph" w:styleId="7">
    <w:name w:val="heading 7"/>
    <w:basedOn w:val="6"/>
    <w:next w:val="1"/>
    <w:link w:val="55"/>
    <w:qFormat/>
    <w:uiPriority w:val="0"/>
    <w:pPr>
      <w:numPr>
        <w:ilvl w:val="6"/>
      </w:numPr>
      <w:tabs>
        <w:tab w:val="left" w:pos="1296"/>
        <w:tab w:val="clear" w:pos="1152"/>
      </w:tabs>
      <w:outlineLvl w:val="6"/>
    </w:pPr>
    <w:rPr>
      <w:rFonts w:ascii="宋体" w:hAnsi="宋体"/>
    </w:rPr>
  </w:style>
  <w:style w:type="paragraph" w:styleId="8">
    <w:name w:val="heading 8"/>
    <w:basedOn w:val="1"/>
    <w:next w:val="1"/>
    <w:link w:val="56"/>
    <w:qFormat/>
    <w:uiPriority w:val="0"/>
    <w:pPr>
      <w:keepNext/>
      <w:keepLines/>
      <w:numPr>
        <w:ilvl w:val="7"/>
        <w:numId w:val="2"/>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9">
    <w:name w:val="heading 9"/>
    <w:basedOn w:val="1"/>
    <w:next w:val="1"/>
    <w:link w:val="57"/>
    <w:qFormat/>
    <w:uiPriority w:val="0"/>
    <w:pPr>
      <w:keepNext/>
      <w:keepLines/>
      <w:numPr>
        <w:ilvl w:val="8"/>
        <w:numId w:val="2"/>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link w:val="69"/>
    <w:qFormat/>
    <w:uiPriority w:val="99"/>
    <w:pPr>
      <w:jc w:val="left"/>
    </w:pPr>
  </w:style>
  <w:style w:type="paragraph" w:styleId="11">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12">
    <w:name w:val="endnote text"/>
    <w:basedOn w:val="1"/>
    <w:link w:val="81"/>
    <w:qFormat/>
    <w:uiPriority w:val="0"/>
    <w:pPr>
      <w:snapToGrid w:val="0"/>
      <w:jc w:val="left"/>
    </w:pPr>
  </w:style>
  <w:style w:type="paragraph" w:styleId="13">
    <w:name w:val="Balloon Text"/>
    <w:basedOn w:val="1"/>
    <w:link w:val="65"/>
    <w:qFormat/>
    <w:uiPriority w:val="0"/>
    <w:rPr>
      <w:sz w:val="18"/>
      <w:szCs w:val="18"/>
    </w:rPr>
  </w:style>
  <w:style w:type="paragraph" w:styleId="14">
    <w:name w:val="footer"/>
    <w:basedOn w:val="1"/>
    <w:link w:val="58"/>
    <w:qFormat/>
    <w:uiPriority w:val="99"/>
    <w:pPr>
      <w:tabs>
        <w:tab w:val="center" w:pos="4153"/>
        <w:tab w:val="right" w:pos="8306"/>
      </w:tabs>
      <w:snapToGrid w:val="0"/>
      <w:jc w:val="left"/>
    </w:pPr>
    <w:rPr>
      <w:sz w:val="18"/>
      <w:szCs w:val="18"/>
    </w:rPr>
  </w:style>
  <w:style w:type="paragraph" w:styleId="15">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120" w:after="120"/>
      <w:jc w:val="left"/>
    </w:pPr>
    <w:rPr>
      <w:b/>
      <w:bCs/>
      <w:caps/>
    </w:rPr>
  </w:style>
  <w:style w:type="paragraph" w:styleId="17">
    <w:name w:val="Subtitle"/>
    <w:basedOn w:val="1"/>
    <w:next w:val="1"/>
    <w:link w:val="60"/>
    <w:qFormat/>
    <w:uiPriority w:val="0"/>
    <w:pPr>
      <w:spacing w:before="240" w:after="60" w:line="312" w:lineRule="auto"/>
      <w:jc w:val="center"/>
      <w:outlineLvl w:val="1"/>
    </w:pPr>
    <w:rPr>
      <w:rFonts w:ascii="Cambria" w:hAnsi="Cambria" w:eastAsia="方正楷体简体"/>
      <w:bCs/>
      <w:kern w:val="28"/>
      <w:szCs w:val="32"/>
    </w:rPr>
  </w:style>
  <w:style w:type="paragraph" w:styleId="18">
    <w:name w:val="toc 2"/>
    <w:basedOn w:val="1"/>
    <w:next w:val="1"/>
    <w:qFormat/>
    <w:uiPriority w:val="0"/>
    <w:pPr>
      <w:ind w:left="420" w:leftChars="200"/>
    </w:pPr>
    <w:rPr>
      <w:sz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link w:val="61"/>
    <w:qFormat/>
    <w:uiPriority w:val="0"/>
    <w:pPr>
      <w:spacing w:before="240" w:after="60"/>
      <w:jc w:val="center"/>
      <w:outlineLvl w:val="0"/>
    </w:pPr>
    <w:rPr>
      <w:rFonts w:ascii="Cambria" w:hAnsi="Cambria" w:eastAsia="方正小标宋简体"/>
      <w:b/>
      <w:bCs/>
      <w:sz w:val="44"/>
      <w:szCs w:val="32"/>
    </w:rPr>
  </w:style>
  <w:style w:type="paragraph" w:styleId="21">
    <w:name w:val="annotation subject"/>
    <w:basedOn w:val="10"/>
    <w:next w:val="10"/>
    <w:link w:val="70"/>
    <w:qFormat/>
    <w:uiPriority w:val="0"/>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endnote reference"/>
    <w:basedOn w:val="24"/>
    <w:qFormat/>
    <w:uiPriority w:val="0"/>
    <w:rPr>
      <w:vertAlign w:val="superscript"/>
    </w:rPr>
  </w:style>
  <w:style w:type="character" w:styleId="27">
    <w:name w:val="FollowedHyperlink"/>
    <w:basedOn w:val="24"/>
    <w:qFormat/>
    <w:uiPriority w:val="0"/>
    <w:rPr>
      <w:color w:val="333333"/>
      <w:u w:val="none"/>
    </w:rPr>
  </w:style>
  <w:style w:type="character" w:styleId="28">
    <w:name w:val="Emphasis"/>
    <w:qFormat/>
    <w:uiPriority w:val="0"/>
    <w:rPr>
      <w:rFonts w:hint="default" w:ascii="Times New Roman" w:hAnsi="Times New Roman" w:cs="Times New Roman"/>
    </w:rPr>
  </w:style>
  <w:style w:type="character" w:styleId="29">
    <w:name w:val="Hyperlink"/>
    <w:basedOn w:val="24"/>
    <w:qFormat/>
    <w:uiPriority w:val="0"/>
    <w:rPr>
      <w:color w:val="333333"/>
      <w:u w:val="none"/>
    </w:rPr>
  </w:style>
  <w:style w:type="character" w:styleId="30">
    <w:name w:val="annotation reference"/>
    <w:basedOn w:val="24"/>
    <w:qFormat/>
    <w:uiPriority w:val="0"/>
    <w:rPr>
      <w:sz w:val="21"/>
      <w:szCs w:val="21"/>
    </w:rPr>
  </w:style>
  <w:style w:type="character" w:customStyle="1" w:styleId="31">
    <w:name w:val="标题 1 Char"/>
    <w:link w:val="32"/>
    <w:semiHidden/>
    <w:qFormat/>
    <w:uiPriority w:val="0"/>
    <w:rPr>
      <w:rFonts w:ascii="Times New Roman" w:hAnsi="Times New Roman"/>
      <w:b/>
      <w:bCs/>
      <w:kern w:val="44"/>
      <w:sz w:val="36"/>
      <w:szCs w:val="44"/>
    </w:rPr>
  </w:style>
  <w:style w:type="paragraph" w:customStyle="1" w:styleId="32">
    <w:name w:val="标题 11"/>
    <w:basedOn w:val="1"/>
    <w:next w:val="1"/>
    <w:link w:val="31"/>
    <w:qFormat/>
    <w:uiPriority w:val="0"/>
    <w:pPr>
      <w:keepNext/>
      <w:keepLines/>
      <w:spacing w:before="340" w:after="330" w:line="576" w:lineRule="auto"/>
      <w:jc w:val="center"/>
      <w:outlineLvl w:val="0"/>
    </w:pPr>
    <w:rPr>
      <w:b/>
      <w:bCs/>
      <w:kern w:val="44"/>
      <w:sz w:val="36"/>
      <w:szCs w:val="44"/>
    </w:rPr>
  </w:style>
  <w:style w:type="character" w:customStyle="1" w:styleId="33">
    <w:name w:val="标题 2 Char"/>
    <w:link w:val="34"/>
    <w:semiHidden/>
    <w:qFormat/>
    <w:uiPriority w:val="0"/>
    <w:rPr>
      <w:rFonts w:ascii="Arial" w:hAnsi="Arial" w:eastAsia="黑体"/>
      <w:b/>
      <w:bCs/>
      <w:sz w:val="32"/>
      <w:szCs w:val="32"/>
    </w:rPr>
  </w:style>
  <w:style w:type="paragraph" w:customStyle="1" w:styleId="34">
    <w:name w:val="标题 21"/>
    <w:basedOn w:val="1"/>
    <w:next w:val="1"/>
    <w:link w:val="33"/>
    <w:qFormat/>
    <w:uiPriority w:val="0"/>
    <w:pPr>
      <w:keepNext/>
      <w:keepLines/>
      <w:spacing w:before="260" w:after="260" w:line="413" w:lineRule="auto"/>
      <w:outlineLvl w:val="1"/>
    </w:pPr>
    <w:rPr>
      <w:rFonts w:ascii="Arial" w:hAnsi="Arial" w:eastAsia="黑体"/>
      <w:b/>
      <w:bCs/>
      <w:sz w:val="32"/>
      <w:szCs w:val="32"/>
    </w:rPr>
  </w:style>
  <w:style w:type="character" w:customStyle="1" w:styleId="35">
    <w:name w:val="标题 3 Char"/>
    <w:link w:val="36"/>
    <w:semiHidden/>
    <w:qFormat/>
    <w:uiPriority w:val="0"/>
    <w:rPr>
      <w:rFonts w:ascii="Times New Roman" w:hAnsi="Times New Roman"/>
      <w:b/>
      <w:bCs/>
      <w:sz w:val="32"/>
      <w:szCs w:val="32"/>
    </w:rPr>
  </w:style>
  <w:style w:type="paragraph" w:customStyle="1" w:styleId="36">
    <w:name w:val="标题 31"/>
    <w:basedOn w:val="1"/>
    <w:next w:val="1"/>
    <w:link w:val="35"/>
    <w:qFormat/>
    <w:uiPriority w:val="0"/>
    <w:pPr>
      <w:keepNext/>
      <w:keepLines/>
      <w:spacing w:before="260" w:after="260" w:line="413" w:lineRule="auto"/>
      <w:outlineLvl w:val="2"/>
    </w:pPr>
    <w:rPr>
      <w:b/>
      <w:bCs/>
      <w:sz w:val="32"/>
      <w:szCs w:val="32"/>
    </w:rPr>
  </w:style>
  <w:style w:type="character" w:customStyle="1" w:styleId="37">
    <w:name w:val="标题 4 Char"/>
    <w:link w:val="38"/>
    <w:semiHidden/>
    <w:qFormat/>
    <w:uiPriority w:val="0"/>
    <w:rPr>
      <w:rFonts w:ascii="仿宋_GB2312" w:hAnsi="Times New Roman" w:eastAsia="仿宋_GB2312"/>
      <w:sz w:val="28"/>
      <w:szCs w:val="24"/>
    </w:rPr>
  </w:style>
  <w:style w:type="paragraph" w:customStyle="1" w:styleId="38">
    <w:name w:val="标题 41"/>
    <w:basedOn w:val="1"/>
    <w:next w:val="1"/>
    <w:link w:val="37"/>
    <w:qFormat/>
    <w:uiPriority w:val="0"/>
    <w:pPr>
      <w:keepNext/>
      <w:spacing w:line="440" w:lineRule="exact"/>
      <w:jc w:val="center"/>
      <w:outlineLvl w:val="3"/>
    </w:pPr>
    <w:rPr>
      <w:rFonts w:ascii="仿宋_GB2312" w:eastAsia="仿宋_GB2312"/>
      <w:szCs w:val="24"/>
    </w:rPr>
  </w:style>
  <w:style w:type="character" w:customStyle="1" w:styleId="39">
    <w:name w:val="正文文本 3 Char"/>
    <w:link w:val="40"/>
    <w:semiHidden/>
    <w:qFormat/>
    <w:uiPriority w:val="0"/>
    <w:rPr>
      <w:rFonts w:ascii="黑体" w:hAnsi="Arial" w:eastAsia="黑体"/>
      <w:b/>
      <w:sz w:val="28"/>
    </w:rPr>
  </w:style>
  <w:style w:type="paragraph" w:customStyle="1" w:styleId="40">
    <w:name w:val="正文文本 31"/>
    <w:basedOn w:val="1"/>
    <w:link w:val="39"/>
    <w:qFormat/>
    <w:uiPriority w:val="0"/>
    <w:rPr>
      <w:rFonts w:ascii="黑体" w:hAnsi="Arial" w:eastAsia="黑体"/>
      <w:b/>
    </w:rPr>
  </w:style>
  <w:style w:type="character" w:customStyle="1" w:styleId="41">
    <w:name w:val="正文文本缩进 Char"/>
    <w:basedOn w:val="24"/>
    <w:link w:val="42"/>
    <w:semiHidden/>
    <w:qFormat/>
    <w:uiPriority w:val="0"/>
    <w:rPr>
      <w:rFonts w:ascii="Times New Roman" w:hAnsi="Times New Roman"/>
      <w:kern w:val="2"/>
      <w:sz w:val="28"/>
    </w:rPr>
  </w:style>
  <w:style w:type="paragraph" w:customStyle="1" w:styleId="42">
    <w:name w:val="正文文本缩进1"/>
    <w:basedOn w:val="1"/>
    <w:link w:val="41"/>
    <w:qFormat/>
    <w:uiPriority w:val="0"/>
    <w:pPr>
      <w:spacing w:after="120"/>
      <w:ind w:left="420" w:leftChars="200"/>
    </w:pPr>
  </w:style>
  <w:style w:type="character" w:customStyle="1" w:styleId="43">
    <w:name w:val="纯文本 Char"/>
    <w:link w:val="44"/>
    <w:semiHidden/>
    <w:qFormat/>
    <w:uiPriority w:val="0"/>
    <w:rPr>
      <w:rFonts w:ascii="宋体" w:hAnsi="Courier New" w:cs="Courier New"/>
      <w:szCs w:val="21"/>
    </w:rPr>
  </w:style>
  <w:style w:type="paragraph" w:customStyle="1" w:styleId="44">
    <w:name w:val="纯文本1"/>
    <w:basedOn w:val="1"/>
    <w:link w:val="43"/>
    <w:qFormat/>
    <w:uiPriority w:val="0"/>
    <w:rPr>
      <w:rFonts w:ascii="宋体" w:hAnsi="Courier New" w:cs="Courier New"/>
      <w:szCs w:val="21"/>
    </w:rPr>
  </w:style>
  <w:style w:type="character" w:customStyle="1" w:styleId="45">
    <w:name w:val="批注框文本 Char"/>
    <w:basedOn w:val="24"/>
    <w:link w:val="46"/>
    <w:semiHidden/>
    <w:qFormat/>
    <w:uiPriority w:val="0"/>
    <w:rPr>
      <w:rFonts w:ascii="Times New Roman" w:hAnsi="Times New Roman"/>
      <w:kern w:val="2"/>
      <w:sz w:val="18"/>
      <w:szCs w:val="18"/>
    </w:rPr>
  </w:style>
  <w:style w:type="paragraph" w:customStyle="1" w:styleId="46">
    <w:name w:val="批注框文本1"/>
    <w:basedOn w:val="1"/>
    <w:link w:val="45"/>
    <w:qFormat/>
    <w:uiPriority w:val="0"/>
    <w:rPr>
      <w:sz w:val="18"/>
      <w:szCs w:val="18"/>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无间隔1"/>
    <w:link w:val="62"/>
    <w:qFormat/>
    <w:uiPriority w:val="0"/>
    <w:rPr>
      <w:rFonts w:ascii="Calibri" w:hAnsi="Calibri" w:eastAsia="宋体" w:cs="Calibri"/>
      <w:sz w:val="22"/>
      <w:lang w:val="en-US" w:eastAsia="zh-CN" w:bidi="ar-SA"/>
    </w:rPr>
  </w:style>
  <w:style w:type="paragraph" w:customStyle="1" w:styleId="49">
    <w:name w:val="列出段落2"/>
    <w:basedOn w:val="1"/>
    <w:qFormat/>
    <w:uiPriority w:val="0"/>
    <w:pPr>
      <w:ind w:firstLine="420" w:firstLineChars="200"/>
    </w:pPr>
    <w:rPr>
      <w:szCs w:val="21"/>
    </w:rPr>
  </w:style>
  <w:style w:type="paragraph" w:customStyle="1" w:styleId="50">
    <w:name w:val="TOC 标题1"/>
    <w:basedOn w:val="3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1">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2">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53">
    <w:name w:val="标题 5 字符"/>
    <w:link w:val="5"/>
    <w:qFormat/>
    <w:uiPriority w:val="99"/>
    <w:rPr>
      <w:rFonts w:ascii="宋体" w:hAnsi="宋体"/>
      <w:b/>
      <w:bCs/>
      <w:kern w:val="21"/>
      <w:sz w:val="28"/>
      <w:szCs w:val="28"/>
      <w:lang w:eastAsia="ar-SA"/>
    </w:rPr>
  </w:style>
  <w:style w:type="character" w:customStyle="1" w:styleId="54">
    <w:name w:val="标题 6 字符"/>
    <w:link w:val="6"/>
    <w:qFormat/>
    <w:uiPriority w:val="99"/>
    <w:rPr>
      <w:rFonts w:ascii="Arial" w:hAnsi="Arial"/>
      <w:b/>
      <w:bCs/>
      <w:kern w:val="21"/>
      <w:sz w:val="24"/>
      <w:szCs w:val="28"/>
      <w:lang w:eastAsia="ar-SA"/>
    </w:rPr>
  </w:style>
  <w:style w:type="character" w:customStyle="1" w:styleId="55">
    <w:name w:val="标题 7 字符"/>
    <w:link w:val="7"/>
    <w:qFormat/>
    <w:uiPriority w:val="0"/>
    <w:rPr>
      <w:rFonts w:ascii="宋体" w:hAnsi="宋体"/>
      <w:b/>
      <w:kern w:val="21"/>
      <w:sz w:val="24"/>
      <w:lang w:eastAsia="ar-SA"/>
    </w:rPr>
  </w:style>
  <w:style w:type="character" w:customStyle="1" w:styleId="56">
    <w:name w:val="标题 8 字符"/>
    <w:link w:val="8"/>
    <w:qFormat/>
    <w:uiPriority w:val="0"/>
    <w:rPr>
      <w:rFonts w:ascii="Arial" w:hAnsi="Arial" w:eastAsia="黑体"/>
      <w:kern w:val="21"/>
      <w:sz w:val="24"/>
      <w:lang w:eastAsia="ar-SA"/>
    </w:rPr>
  </w:style>
  <w:style w:type="character" w:customStyle="1" w:styleId="57">
    <w:name w:val="标题 9 字符"/>
    <w:link w:val="9"/>
    <w:qFormat/>
    <w:uiPriority w:val="0"/>
    <w:rPr>
      <w:rFonts w:ascii="Arial" w:hAnsi="Arial" w:eastAsia="黑体"/>
      <w:kern w:val="21"/>
      <w:sz w:val="21"/>
      <w:lang w:eastAsia="ar-SA"/>
    </w:rPr>
  </w:style>
  <w:style w:type="character" w:customStyle="1" w:styleId="58">
    <w:name w:val="页脚 字符"/>
    <w:basedOn w:val="24"/>
    <w:link w:val="14"/>
    <w:qFormat/>
    <w:uiPriority w:val="99"/>
    <w:rPr>
      <w:rFonts w:ascii="Times New Roman" w:hAnsi="Times New Roman"/>
      <w:kern w:val="2"/>
      <w:sz w:val="18"/>
      <w:szCs w:val="18"/>
    </w:rPr>
  </w:style>
  <w:style w:type="character" w:customStyle="1" w:styleId="59">
    <w:name w:val="页眉 字符"/>
    <w:basedOn w:val="24"/>
    <w:link w:val="15"/>
    <w:qFormat/>
    <w:uiPriority w:val="99"/>
    <w:rPr>
      <w:rFonts w:ascii="Times New Roman" w:hAnsi="Times New Roman"/>
      <w:kern w:val="2"/>
      <w:sz w:val="18"/>
      <w:szCs w:val="18"/>
    </w:rPr>
  </w:style>
  <w:style w:type="character" w:customStyle="1" w:styleId="60">
    <w:name w:val="副标题 字符"/>
    <w:link w:val="17"/>
    <w:qFormat/>
    <w:uiPriority w:val="0"/>
    <w:rPr>
      <w:rFonts w:ascii="Cambria" w:hAnsi="Cambria" w:eastAsia="方正楷体简体"/>
      <w:bCs/>
      <w:kern w:val="28"/>
      <w:szCs w:val="32"/>
    </w:rPr>
  </w:style>
  <w:style w:type="character" w:customStyle="1" w:styleId="61">
    <w:name w:val="标题 字符"/>
    <w:link w:val="20"/>
    <w:qFormat/>
    <w:uiPriority w:val="0"/>
    <w:rPr>
      <w:rFonts w:ascii="Cambria" w:hAnsi="Cambria" w:eastAsia="方正小标宋简体"/>
      <w:b/>
      <w:bCs/>
      <w:sz w:val="44"/>
      <w:szCs w:val="32"/>
    </w:rPr>
  </w:style>
  <w:style w:type="character" w:customStyle="1" w:styleId="62">
    <w:name w:val="无间隔 Char"/>
    <w:link w:val="48"/>
    <w:semiHidden/>
    <w:qFormat/>
    <w:uiPriority w:val="0"/>
    <w:rPr>
      <w:sz w:val="22"/>
    </w:rPr>
  </w:style>
  <w:style w:type="character" w:customStyle="1" w:styleId="63">
    <w:name w:val="正文文本 3 Char1"/>
    <w:basedOn w:val="24"/>
    <w:qFormat/>
    <w:uiPriority w:val="0"/>
    <w:rPr>
      <w:rFonts w:ascii="Times New Roman" w:hAnsi="Times New Roman"/>
      <w:kern w:val="2"/>
      <w:sz w:val="16"/>
      <w:szCs w:val="16"/>
    </w:rPr>
  </w:style>
  <w:style w:type="paragraph" w:styleId="64">
    <w:name w:val="List Paragraph"/>
    <w:basedOn w:val="1"/>
    <w:qFormat/>
    <w:uiPriority w:val="34"/>
    <w:pPr>
      <w:ind w:firstLine="420" w:firstLineChars="200"/>
    </w:pPr>
  </w:style>
  <w:style w:type="character" w:customStyle="1" w:styleId="65">
    <w:name w:val="批注框文本 字符"/>
    <w:basedOn w:val="24"/>
    <w:link w:val="13"/>
    <w:qFormat/>
    <w:uiPriority w:val="0"/>
    <w:rPr>
      <w:kern w:val="2"/>
      <w:sz w:val="18"/>
      <w:szCs w:val="18"/>
    </w:rPr>
  </w:style>
  <w:style w:type="paragraph" w:customStyle="1" w:styleId="66">
    <w:name w:val="表格"/>
    <w:basedOn w:val="1"/>
    <w:qFormat/>
    <w:uiPriority w:val="0"/>
    <w:rPr>
      <w:sz w:val="21"/>
      <w:szCs w:val="21"/>
    </w:rPr>
  </w:style>
  <w:style w:type="paragraph" w:customStyle="1" w:styleId="67">
    <w:name w:val="表"/>
    <w:basedOn w:val="1"/>
    <w:link w:val="68"/>
    <w:qFormat/>
    <w:uiPriority w:val="0"/>
    <w:pPr>
      <w:adjustRightInd w:val="0"/>
      <w:snapToGrid w:val="0"/>
      <w:spacing w:line="312" w:lineRule="auto"/>
    </w:pPr>
    <w:rPr>
      <w:rFonts w:ascii="Calibri" w:hAnsi="Calibri" w:cs="宋体"/>
      <w:kern w:val="0"/>
      <w:sz w:val="21"/>
      <w:szCs w:val="22"/>
    </w:rPr>
  </w:style>
  <w:style w:type="character" w:customStyle="1" w:styleId="68">
    <w:name w:val="表 Char"/>
    <w:link w:val="67"/>
    <w:qFormat/>
    <w:uiPriority w:val="0"/>
    <w:rPr>
      <w:rFonts w:ascii="Calibri" w:hAnsi="Calibri" w:cs="宋体"/>
      <w:sz w:val="21"/>
      <w:szCs w:val="22"/>
    </w:rPr>
  </w:style>
  <w:style w:type="character" w:customStyle="1" w:styleId="69">
    <w:name w:val="批注文字 字符"/>
    <w:basedOn w:val="24"/>
    <w:link w:val="10"/>
    <w:qFormat/>
    <w:uiPriority w:val="99"/>
    <w:rPr>
      <w:kern w:val="2"/>
      <w:sz w:val="28"/>
    </w:rPr>
  </w:style>
  <w:style w:type="character" w:customStyle="1" w:styleId="70">
    <w:name w:val="批注主题 字符"/>
    <w:basedOn w:val="69"/>
    <w:link w:val="21"/>
    <w:qFormat/>
    <w:uiPriority w:val="0"/>
    <w:rPr>
      <w:b/>
      <w:bCs/>
      <w:kern w:val="2"/>
      <w:sz w:val="28"/>
    </w:rPr>
  </w:style>
  <w:style w:type="character" w:customStyle="1" w:styleId="71">
    <w:name w:val="标题 2 字符"/>
    <w:basedOn w:val="24"/>
    <w:link w:val="2"/>
    <w:qFormat/>
    <w:uiPriority w:val="99"/>
    <w:rPr>
      <w:rFonts w:ascii="黑体" w:hAnsi="黑体" w:eastAsia="黑体"/>
      <w:b/>
      <w:kern w:val="2"/>
      <w:sz w:val="32"/>
    </w:rPr>
  </w:style>
  <w:style w:type="character" w:customStyle="1" w:styleId="72">
    <w:name w:val="标题 3 字符"/>
    <w:basedOn w:val="24"/>
    <w:link w:val="3"/>
    <w:qFormat/>
    <w:uiPriority w:val="99"/>
    <w:rPr>
      <w:rFonts w:ascii="宋体" w:hAnsi="宋体"/>
      <w:b/>
      <w:bCs/>
      <w:kern w:val="2"/>
      <w:sz w:val="32"/>
      <w:szCs w:val="30"/>
    </w:rPr>
  </w:style>
  <w:style w:type="character" w:customStyle="1" w:styleId="73">
    <w:name w:val="标题 4 字符"/>
    <w:basedOn w:val="24"/>
    <w:link w:val="4"/>
    <w:qFormat/>
    <w:uiPriority w:val="99"/>
    <w:rPr>
      <w:rFonts w:ascii="宋体" w:hAnsi="宋体"/>
      <w:b/>
      <w:bCs/>
      <w:kern w:val="2"/>
      <w:sz w:val="28"/>
      <w:szCs w:val="28"/>
    </w:rPr>
  </w:style>
  <w:style w:type="paragraph" w:customStyle="1" w:styleId="7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聚光8正文"/>
    <w:basedOn w:val="1"/>
    <w:qFormat/>
    <w:uiPriority w:val="0"/>
    <w:pPr>
      <w:ind w:firstLine="480"/>
    </w:pPr>
    <w:rPr>
      <w:szCs w:val="28"/>
    </w:rPr>
  </w:style>
  <w:style w:type="character" w:customStyle="1" w:styleId="76">
    <w:name w:val="15"/>
    <w:basedOn w:val="24"/>
    <w:qFormat/>
    <w:uiPriority w:val="0"/>
    <w:rPr>
      <w:rFonts w:hint="eastAsia" w:ascii="宋体" w:hAnsi="宋体" w:eastAsia="宋体"/>
      <w:color w:val="000000"/>
      <w:sz w:val="20"/>
      <w:szCs w:val="20"/>
    </w:rPr>
  </w:style>
  <w:style w:type="paragraph" w:customStyle="1" w:styleId="77">
    <w:name w:val="修订1"/>
    <w:hidden/>
    <w:semiHidden/>
    <w:qFormat/>
    <w:uiPriority w:val="99"/>
    <w:rPr>
      <w:rFonts w:ascii="Times New Roman" w:hAnsi="Times New Roman" w:eastAsia="宋体" w:cs="Times New Roman"/>
      <w:kern w:val="2"/>
      <w:sz w:val="28"/>
      <w:lang w:val="en-US" w:eastAsia="zh-CN" w:bidi="ar-SA"/>
    </w:rPr>
  </w:style>
  <w:style w:type="character" w:styleId="78">
    <w:name w:val="Placeholder Text"/>
    <w:basedOn w:val="24"/>
    <w:semiHidden/>
    <w:qFormat/>
    <w:uiPriority w:val="99"/>
    <w:rPr>
      <w:color w:val="808080"/>
    </w:rPr>
  </w:style>
  <w:style w:type="paragraph" w:customStyle="1" w:styleId="79">
    <w:name w:val="List Paragraph1"/>
    <w:basedOn w:val="1"/>
    <w:qFormat/>
    <w:uiPriority w:val="0"/>
    <w:pPr>
      <w:spacing w:line="360" w:lineRule="auto"/>
      <w:ind w:firstLine="420" w:firstLineChars="200"/>
    </w:pPr>
    <w:rPr>
      <w:rFonts w:ascii="等线" w:hAnsi="等线" w:eastAsia="等线"/>
      <w:sz w:val="21"/>
      <w:szCs w:val="21"/>
    </w:rPr>
  </w:style>
  <w:style w:type="paragraph" w:customStyle="1" w:styleId="8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81">
    <w:name w:val="尾注文本 字符"/>
    <w:basedOn w:val="24"/>
    <w:link w:val="12"/>
    <w:qFormat/>
    <w:uiPriority w:val="0"/>
    <w:rPr>
      <w:kern w:val="2"/>
      <w:sz w:val="28"/>
    </w:rPr>
  </w:style>
  <w:style w:type="paragraph" w:customStyle="1" w:styleId="82">
    <w:name w:val="wei正文序号"/>
    <w:basedOn w:val="1"/>
    <w:qFormat/>
    <w:uiPriority w:val="0"/>
    <w:pPr>
      <w:adjustRightInd w:val="0"/>
      <w:snapToGrid w:val="0"/>
      <w:spacing w:beforeLines="50" w:afterLines="50" w:line="360" w:lineRule="auto"/>
      <w:ind w:left="420" w:hanging="420"/>
      <w:jc w:val="left"/>
    </w:pPr>
    <w:rPr>
      <w:sz w:val="24"/>
      <w:szCs w:val="24"/>
    </w:rPr>
  </w:style>
  <w:style w:type="paragraph" w:customStyle="1" w:styleId="83">
    <w:name w:val="列表段落1"/>
    <w:basedOn w:val="1"/>
    <w:qFormat/>
    <w:uiPriority w:val="0"/>
    <w:pPr>
      <w:ind w:firstLine="420" w:firstLineChars="200"/>
    </w:pPr>
    <w:rPr>
      <w:rFonts w:ascii="Calibri" w:hAnsi="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2E898-B3D4-4489-953F-AFCCB8F6E1E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145</Pages>
  <Words>17023</Words>
  <Characters>97034</Characters>
  <Lines>808</Lines>
  <Paragraphs>227</Paragraphs>
  <TotalTime>38</TotalTime>
  <ScaleCrop>false</ScaleCrop>
  <LinksUpToDate>false</LinksUpToDate>
  <CharactersWithSpaces>113830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2020-05-12T08:04:00Z</dcterms:created>
  <dc:creator>Administrator</dc:creator>
  <cp:lastModifiedBy>dell</cp:lastModifiedBy>
  <cp:lastPrinted>2020-04-25T07:27:00Z</cp:lastPrinted>
  <dcterms:modified xsi:type="dcterms:W3CDTF">2020-05-18T07:41:27Z</dcterms:modified>
  <dc:title>Administrator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_DocHome">
    <vt:i4>1015465104</vt:i4>
  </property>
</Properties>
</file>