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询价通知书</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eastAsia="宋体"/>
          <w:color w:val="000000"/>
          <w:szCs w:val="28"/>
          <w:lang w:eastAsia="zh-CN"/>
        </w:rPr>
      </w:pPr>
      <w:r>
        <w:rPr>
          <w:rFonts w:hint="eastAsia" w:ascii="宋体" w:hAnsi="宋体"/>
          <w:b/>
          <w:color w:val="000000"/>
          <w:szCs w:val="28"/>
          <w:lang w:val="en-US" w:eastAsia="zh-CN"/>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9"/>
        <w:spacing w:line="360" w:lineRule="auto"/>
        <w:ind w:left="2476" w:leftChars="337" w:hanging="1532" w:hangingChars="545"/>
        <w:rPr>
          <w:rFonts w:hint="eastAsia" w:ascii="宋体" w:hAnsi="宋体" w:eastAsia="宋体"/>
          <w:color w:val="000000"/>
          <w:szCs w:val="28"/>
          <w:lang w:eastAsia="zh-CN"/>
        </w:rPr>
      </w:pPr>
      <w:r>
        <w:rPr>
          <w:rFonts w:hint="eastAsia" w:ascii="宋体" w:hAnsi="宋体" w:eastAsia="宋体"/>
          <w:color w:val="000000"/>
          <w:szCs w:val="28"/>
          <w:lang w:eastAsia="zh-CN"/>
        </w:rPr>
        <w:t>、</w:t>
      </w:r>
    </w:p>
    <w:p>
      <w:pPr>
        <w:pStyle w:val="19"/>
        <w:spacing w:line="360" w:lineRule="auto"/>
        <w:ind w:left="2476" w:leftChars="337" w:hanging="1532" w:hangingChars="545"/>
        <w:rPr>
          <w:rFonts w:hint="eastAsia" w:ascii="宋体" w:hAnsi="宋体" w:eastAsia="宋体"/>
          <w:color w:val="000000"/>
          <w:szCs w:val="28"/>
          <w:lang w:eastAsia="zh-CN"/>
        </w:rPr>
      </w:pPr>
    </w:p>
    <w:p>
      <w:pPr>
        <w:pStyle w:val="19"/>
        <w:spacing w:line="360" w:lineRule="auto"/>
        <w:ind w:left="2476" w:leftChars="337" w:hanging="1532" w:hangingChars="545"/>
        <w:rPr>
          <w:rFonts w:hint="eastAsia" w:ascii="宋体" w:hAnsi="宋体" w:eastAsia="宋体"/>
          <w:color w:val="000000"/>
          <w:szCs w:val="28"/>
          <w:lang w:eastAsia="zh-CN"/>
        </w:rPr>
      </w:pPr>
    </w:p>
    <w:p>
      <w:pPr>
        <w:pStyle w:val="19"/>
        <w:spacing w:line="360" w:lineRule="auto"/>
        <w:ind w:left="2476" w:leftChars="337" w:hanging="1532" w:hangingChars="545"/>
        <w:rPr>
          <w:rFonts w:hint="eastAsia" w:ascii="宋体" w:hAnsi="宋体" w:eastAsia="宋体"/>
          <w:color w:val="000000"/>
          <w:szCs w:val="28"/>
          <w:lang w:eastAsia="zh-CN"/>
        </w:rPr>
      </w:pPr>
    </w:p>
    <w:p>
      <w:pPr>
        <w:pStyle w:val="19"/>
        <w:spacing w:line="360" w:lineRule="auto"/>
        <w:ind w:left="2476" w:leftChars="337" w:hanging="1532" w:hangingChars="545"/>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准格尔旗中蒙医院采购角膜内皮镜项目</w:t>
      </w:r>
    </w:p>
    <w:p>
      <w:pPr>
        <w:pStyle w:val="19"/>
        <w:spacing w:line="360" w:lineRule="auto"/>
        <w:ind w:firstLine="843" w:firstLineChars="300"/>
        <w:rPr>
          <w:rFonts w:hint="eastAsia" w:ascii="宋体" w:hAnsi="宋体" w:eastAsia="宋体"/>
          <w:color w:val="000000"/>
          <w:szCs w:val="28"/>
          <w:lang w:val="en-US"/>
        </w:rPr>
      </w:pPr>
      <w:r>
        <w:rPr>
          <w:rFonts w:hint="eastAsia" w:ascii="宋体" w:hAnsi="宋体" w:eastAsia="宋体"/>
          <w:color w:val="000000"/>
          <w:szCs w:val="28"/>
        </w:rPr>
        <w:t>项目编号：</w:t>
      </w:r>
      <w:r>
        <w:rPr>
          <w:rFonts w:hint="eastAsia" w:ascii="宋体" w:hAnsi="宋体" w:eastAsia="宋体"/>
          <w:color w:val="000000"/>
          <w:szCs w:val="28"/>
          <w:lang w:val="en-US" w:eastAsia="zh-CN"/>
        </w:rPr>
        <w:t>CG2018HXJ1761-A</w:t>
      </w:r>
    </w:p>
    <w:p>
      <w:pPr>
        <w:pStyle w:val="19"/>
        <w:spacing w:line="360" w:lineRule="auto"/>
        <w:rPr>
          <w:rFonts w:ascii="宋体" w:hAnsi="宋体" w:eastAsia="宋体"/>
          <w:color w:val="000000"/>
          <w:szCs w:val="28"/>
        </w:rPr>
      </w:pPr>
    </w:p>
    <w:p>
      <w:pPr>
        <w:pStyle w:val="19"/>
        <w:spacing w:line="360" w:lineRule="auto"/>
        <w:rPr>
          <w:rFonts w:hint="eastAsia" w:ascii="宋体" w:hAnsi="宋体" w:eastAsia="宋体"/>
          <w:color w:val="000000"/>
          <w:szCs w:val="28"/>
        </w:rPr>
      </w:pPr>
      <w:r>
        <w:rPr>
          <w:rFonts w:hint="eastAsia" w:ascii="宋体" w:hAnsi="宋体" w:eastAsia="宋体"/>
          <w:color w:val="000000"/>
          <w:szCs w:val="28"/>
        </w:rPr>
        <w:t xml:space="preserve">                  </w:t>
      </w:r>
    </w:p>
    <w:p>
      <w:pPr>
        <w:pStyle w:val="19"/>
        <w:spacing w:line="360" w:lineRule="auto"/>
        <w:rPr>
          <w:rFonts w:hint="eastAsia" w:ascii="宋体" w:hAnsi="宋体" w:eastAsia="宋体"/>
          <w:color w:val="000000"/>
          <w:szCs w:val="28"/>
        </w:rPr>
      </w:pPr>
    </w:p>
    <w:p>
      <w:pPr>
        <w:pStyle w:val="19"/>
        <w:spacing w:line="360" w:lineRule="auto"/>
        <w:rPr>
          <w:rFonts w:hint="eastAsia" w:ascii="宋体" w:hAnsi="宋体" w:eastAsia="宋体"/>
          <w:color w:val="000000"/>
          <w:szCs w:val="28"/>
        </w:rPr>
      </w:pPr>
    </w:p>
    <w:p>
      <w:pPr>
        <w:pStyle w:val="19"/>
        <w:spacing w:line="360" w:lineRule="auto"/>
        <w:rPr>
          <w:rFonts w:hint="eastAsia" w:ascii="宋体" w:hAnsi="宋体" w:eastAsia="宋体"/>
          <w:color w:val="000000"/>
          <w:szCs w:val="28"/>
        </w:rPr>
      </w:pPr>
    </w:p>
    <w:p>
      <w:pPr>
        <w:pStyle w:val="19"/>
        <w:spacing w:line="360" w:lineRule="auto"/>
        <w:rPr>
          <w:rFonts w:hint="eastAsia" w:ascii="宋体" w:hAnsi="宋体" w:eastAsia="宋体"/>
          <w:color w:val="000000"/>
          <w:szCs w:val="28"/>
        </w:rPr>
      </w:pPr>
      <w:r>
        <w:rPr>
          <w:rFonts w:hint="eastAsia" w:ascii="宋体" w:hAnsi="宋体" w:eastAsia="宋体"/>
          <w:color w:val="000000"/>
          <w:szCs w:val="28"/>
        </w:rPr>
        <w:t xml:space="preserve"> </w:t>
      </w:r>
    </w:p>
    <w:p>
      <w:pPr>
        <w:pStyle w:val="19"/>
        <w:spacing w:line="360" w:lineRule="auto"/>
        <w:ind w:firstLine="5903" w:firstLineChars="2100"/>
        <w:rPr>
          <w:rFonts w:ascii="宋体" w:hAnsi="宋体" w:eastAsia="宋体"/>
          <w:color w:val="000000"/>
          <w:szCs w:val="28"/>
        </w:rPr>
      </w:pPr>
      <w:r>
        <w:rPr>
          <w:rFonts w:hint="eastAsia" w:ascii="宋体" w:hAnsi="宋体" w:eastAsia="宋体"/>
          <w:color w:val="000000"/>
          <w:szCs w:val="28"/>
        </w:rPr>
        <w:t>20</w:t>
      </w:r>
      <w:r>
        <w:rPr>
          <w:rFonts w:hint="eastAsia" w:ascii="宋体" w:hAnsi="宋体" w:eastAsia="宋体"/>
          <w:color w:val="000000"/>
          <w:szCs w:val="28"/>
          <w:lang w:val="en-US" w:eastAsia="zh-CN"/>
        </w:rPr>
        <w:t>18</w:t>
      </w:r>
      <w:r>
        <w:rPr>
          <w:rFonts w:hint="eastAsia" w:ascii="宋体" w:hAnsi="宋体" w:eastAsia="宋体"/>
          <w:color w:val="000000"/>
          <w:szCs w:val="28"/>
        </w:rPr>
        <w:t>年</w:t>
      </w:r>
      <w:r>
        <w:rPr>
          <w:rFonts w:hint="eastAsia" w:ascii="宋体" w:hAnsi="宋体" w:eastAsia="宋体"/>
          <w:color w:val="000000"/>
          <w:szCs w:val="28"/>
          <w:lang w:val="en-US" w:eastAsia="zh-CN"/>
        </w:rPr>
        <w:t>10</w:t>
      </w:r>
      <w:r>
        <w:rPr>
          <w:rFonts w:hint="eastAsia" w:ascii="宋体" w:hAnsi="宋体" w:eastAsia="宋体"/>
          <w:color w:val="000000"/>
          <w:szCs w:val="28"/>
        </w:rPr>
        <w:t>月</w:t>
      </w:r>
      <w:r>
        <w:rPr>
          <w:rFonts w:hint="eastAsia" w:ascii="宋体" w:hAnsi="宋体" w:eastAsia="宋体"/>
          <w:color w:val="000000"/>
          <w:szCs w:val="28"/>
          <w:lang w:val="en-US" w:eastAsia="zh-CN"/>
        </w:rPr>
        <w:t>31</w:t>
      </w:r>
      <w:r>
        <w:rPr>
          <w:rFonts w:hint="eastAsia" w:ascii="宋体" w:hAnsi="宋体" w:eastAsia="宋体"/>
          <w:color w:val="000000"/>
          <w:szCs w:val="28"/>
        </w:rPr>
        <w:t>日</w:t>
      </w:r>
      <w:bookmarkStart w:id="0" w:name="_Toc266431113"/>
      <w:bookmarkStart w:id="1" w:name="_Toc266431005"/>
    </w:p>
    <w:p>
      <w:pPr>
        <w:pStyle w:val="19"/>
        <w:spacing w:line="360" w:lineRule="auto"/>
        <w:rPr>
          <w:rFonts w:ascii="宋体" w:hAnsi="宋体" w:eastAsia="宋体"/>
          <w:color w:val="000000"/>
          <w:szCs w:val="28"/>
        </w:rPr>
      </w:pPr>
    </w:p>
    <w:p>
      <w:pPr>
        <w:pStyle w:val="67"/>
        <w:keepNext w:val="0"/>
        <w:keepLines w:val="0"/>
        <w:spacing w:before="0" w:line="360" w:lineRule="auto"/>
        <w:jc w:val="center"/>
        <w:rPr>
          <w:rFonts w:ascii="宋体" w:hAnsi="宋体"/>
          <w:color w:val="000000"/>
          <w:lang w:val="zh-CN" w:eastAsia="zh-CN"/>
        </w:rPr>
      </w:pPr>
    </w:p>
    <w:p>
      <w:pPr>
        <w:pStyle w:val="67"/>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31"/>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"_Toc497408478" </w:instrText>
      </w:r>
      <w:r>
        <w:fldChar w:fldCharType="separate"/>
      </w:r>
      <w:r>
        <w:rPr>
          <w:rStyle w:val="47"/>
          <w:rFonts w:hint="eastAsia" w:ascii="宋体" w:hAnsi="宋体"/>
        </w:rPr>
        <w:t>第一章</w:t>
      </w:r>
      <w:r>
        <w:rPr>
          <w:rStyle w:val="47"/>
          <w:rFonts w:ascii="宋体" w:hAnsi="宋体"/>
        </w:rPr>
        <w:t xml:space="preserve"> </w:t>
      </w:r>
      <w:r>
        <w:rPr>
          <w:rStyle w:val="47"/>
          <w:rFonts w:hint="eastAsia" w:ascii="宋体" w:hAnsi="宋体"/>
        </w:rPr>
        <w:t>采购公告</w:t>
      </w:r>
      <w:r>
        <w:tab/>
      </w:r>
      <w:r>
        <w:fldChar w:fldCharType="begin"/>
      </w:r>
      <w:r>
        <w:instrText xml:space="preserve"> PAGEREF _Toc497408478 \h </w:instrText>
      </w:r>
      <w:r>
        <w:fldChar w:fldCharType="separate"/>
      </w:r>
      <w:r>
        <w:t>3</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"_Toc497408479" </w:instrText>
      </w:r>
      <w:r>
        <w:fldChar w:fldCharType="separate"/>
      </w:r>
      <w:r>
        <w:rPr>
          <w:rStyle w:val="47"/>
          <w:rFonts w:hint="eastAsia" w:ascii="宋体" w:hAnsi="宋体"/>
        </w:rPr>
        <w:t>第二章</w:t>
      </w:r>
      <w:r>
        <w:rPr>
          <w:rStyle w:val="47"/>
          <w:rFonts w:ascii="宋体" w:hAnsi="宋体"/>
        </w:rPr>
        <w:t xml:space="preserve"> </w:t>
      </w:r>
      <w:r>
        <w:rPr>
          <w:rStyle w:val="47"/>
          <w:rFonts w:hint="eastAsia" w:ascii="宋体" w:hAnsi="宋体"/>
        </w:rPr>
        <w:t>供应商须知</w:t>
      </w:r>
      <w:r>
        <w:tab/>
      </w:r>
      <w:r>
        <w:fldChar w:fldCharType="begin"/>
      </w:r>
      <w:r>
        <w:instrText xml:space="preserve"> PAGEREF _Toc497408479 \h </w:instrText>
      </w:r>
      <w:r>
        <w:fldChar w:fldCharType="separate"/>
      </w:r>
      <w:r>
        <w:t>5</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"_Toc497408480" </w:instrText>
      </w:r>
      <w:r>
        <w:fldChar w:fldCharType="separate"/>
      </w:r>
      <w:r>
        <w:rPr>
          <w:rStyle w:val="47"/>
          <w:rFonts w:hint="eastAsia" w:ascii="宋体" w:hAnsi="宋体" w:cs="宋体"/>
        </w:rPr>
        <w:t>第三章</w:t>
      </w:r>
      <w:r>
        <w:rPr>
          <w:rStyle w:val="47"/>
          <w:rFonts w:ascii="宋体" w:hAnsi="宋体" w:cs="宋体"/>
        </w:rPr>
        <w:t xml:space="preserve"> </w:t>
      </w:r>
      <w:r>
        <w:rPr>
          <w:rStyle w:val="47"/>
          <w:rFonts w:hint="eastAsia" w:ascii="宋体" w:hAnsi="宋体" w:cs="宋体"/>
        </w:rPr>
        <w:t>合同与验收</w:t>
      </w:r>
      <w:r>
        <w:tab/>
      </w:r>
      <w:r>
        <w:fldChar w:fldCharType="begin"/>
      </w:r>
      <w:r>
        <w:instrText xml:space="preserve"> PAGEREF _Toc497408480 \h </w:instrText>
      </w:r>
      <w:r>
        <w:fldChar w:fldCharType="separate"/>
      </w:r>
      <w:r>
        <w:t>16</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"_Toc497408481" </w:instrText>
      </w:r>
      <w:r>
        <w:fldChar w:fldCharType="separate"/>
      </w:r>
      <w:r>
        <w:rPr>
          <w:rStyle w:val="47"/>
          <w:rFonts w:hint="eastAsia" w:ascii="宋体" w:hAnsi="宋体"/>
        </w:rPr>
        <w:t>第四章</w:t>
      </w:r>
      <w:r>
        <w:rPr>
          <w:rStyle w:val="47"/>
          <w:rFonts w:ascii="宋体" w:hAnsi="宋体"/>
        </w:rPr>
        <w:t xml:space="preserve"> </w:t>
      </w:r>
      <w:r>
        <w:rPr>
          <w:rStyle w:val="47"/>
          <w:rFonts w:hint="eastAsia" w:ascii="宋体" w:hAnsi="宋体"/>
        </w:rPr>
        <w:t>询价内容与技术要求</w:t>
      </w:r>
      <w:r>
        <w:tab/>
      </w:r>
      <w:r>
        <w:fldChar w:fldCharType="begin"/>
      </w:r>
      <w:r>
        <w:instrText xml:space="preserve"> PAGEREF _Toc497408481 \h </w:instrText>
      </w:r>
      <w:r>
        <w:fldChar w:fldCharType="separate"/>
      </w:r>
      <w:r>
        <w:t>19</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"_Toc497408482" </w:instrText>
      </w:r>
      <w:r>
        <w:fldChar w:fldCharType="separate"/>
      </w:r>
      <w:r>
        <w:rPr>
          <w:rStyle w:val="47"/>
          <w:rFonts w:hint="eastAsia" w:ascii="宋体" w:hAnsi="宋体"/>
        </w:rPr>
        <w:t>第五章</w:t>
      </w:r>
      <w:r>
        <w:rPr>
          <w:rStyle w:val="47"/>
          <w:rFonts w:ascii="宋体" w:hAnsi="宋体"/>
        </w:rPr>
        <w:t xml:space="preserve"> </w:t>
      </w:r>
      <w:r>
        <w:rPr>
          <w:rStyle w:val="47"/>
          <w:rFonts w:hint="eastAsia" w:ascii="宋体" w:hAnsi="宋体"/>
        </w:rPr>
        <w:t>供应商资格证明及相关文件要求</w:t>
      </w:r>
      <w:r>
        <w:tab/>
      </w:r>
      <w:r>
        <w:fldChar w:fldCharType="begin"/>
      </w:r>
      <w:r>
        <w:instrText xml:space="preserve"> PAGEREF _Toc497408482 \h </w:instrText>
      </w:r>
      <w:r>
        <w:fldChar w:fldCharType="separate"/>
      </w:r>
      <w:r>
        <w:t>20</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"_Toc497408483" </w:instrText>
      </w:r>
      <w:r>
        <w:fldChar w:fldCharType="separate"/>
      </w:r>
      <w:r>
        <w:rPr>
          <w:rStyle w:val="47"/>
          <w:rFonts w:hint="eastAsia" w:ascii="宋体" w:hAnsi="宋体"/>
        </w:rPr>
        <w:t>第六章</w:t>
      </w:r>
      <w:r>
        <w:rPr>
          <w:rStyle w:val="47"/>
          <w:rFonts w:ascii="宋体" w:hAnsi="宋体"/>
        </w:rPr>
        <w:t xml:space="preserve"> </w:t>
      </w:r>
      <w:r>
        <w:rPr>
          <w:rStyle w:val="47"/>
          <w:rFonts w:hint="eastAsia" w:ascii="宋体" w:hAnsi="宋体"/>
        </w:rPr>
        <w:t>询价程序及方法</w:t>
      </w:r>
      <w:r>
        <w:tab/>
      </w:r>
      <w:r>
        <w:fldChar w:fldCharType="begin"/>
      </w:r>
      <w:r>
        <w:instrText xml:space="preserve"> PAGEREF _Toc497408483 \h </w:instrText>
      </w:r>
      <w:r>
        <w:fldChar w:fldCharType="separate"/>
      </w:r>
      <w:r>
        <w:t>21</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"_Toc497408484" </w:instrText>
      </w:r>
      <w:r>
        <w:fldChar w:fldCharType="separate"/>
      </w:r>
      <w:r>
        <w:rPr>
          <w:rStyle w:val="47"/>
          <w:rFonts w:hint="eastAsia" w:ascii="宋体" w:hAnsi="宋体"/>
        </w:rPr>
        <w:t>第七章</w:t>
      </w:r>
      <w:r>
        <w:rPr>
          <w:rStyle w:val="47"/>
          <w:rFonts w:ascii="宋体" w:hAnsi="宋体"/>
        </w:rPr>
        <w:t xml:space="preserve"> </w:t>
      </w:r>
      <w:r>
        <w:rPr>
          <w:rStyle w:val="47"/>
          <w:rFonts w:hint="eastAsia" w:ascii="宋体" w:hAnsi="宋体"/>
        </w:rPr>
        <w:t>响应文件格式与要求</w:t>
      </w:r>
      <w:r>
        <w:tab/>
      </w:r>
      <w:r>
        <w:fldChar w:fldCharType="begin"/>
      </w:r>
      <w:r>
        <w:instrText xml:space="preserve"> PAGEREF _Toc497408484 \h </w:instrText>
      </w:r>
      <w:r>
        <w:fldChar w:fldCharType="separate"/>
      </w:r>
      <w:r>
        <w:t>24</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"_Toc497408485" </w:instrText>
      </w:r>
      <w:r>
        <w:fldChar w:fldCharType="separate"/>
      </w:r>
      <w:r>
        <w:rPr>
          <w:rStyle w:val="47"/>
          <w:rFonts w:hint="eastAsia" w:ascii="宋体" w:hAnsi="宋体"/>
        </w:rPr>
        <w:t>温馨提示</w:t>
      </w:r>
      <w:r>
        <w:tab/>
      </w:r>
      <w:r>
        <w:fldChar w:fldCharType="begin"/>
      </w:r>
      <w:r>
        <w:instrText xml:space="preserve"> PAGEREF _Toc497408485 \h </w:instrText>
      </w:r>
      <w:r>
        <w:fldChar w:fldCharType="separate"/>
      </w:r>
      <w:r>
        <w:t>50</w:t>
      </w:r>
      <w:r>
        <w:fldChar w:fldCharType="end"/>
      </w:r>
      <w:r>
        <w:fldChar w:fldCharType="end"/>
      </w:r>
    </w:p>
    <w:p>
      <w:pPr>
        <w:widowControl/>
        <w:ind w:firstLine="3233" w:firstLineChars="1150"/>
        <w:jc w:val="left"/>
        <w:outlineLvl w:val="0"/>
        <w:rPr>
          <w:rFonts w:ascii="宋体" w:hAnsi="宋体"/>
          <w:b/>
          <w:color w:val="000000"/>
          <w:szCs w:val="28"/>
        </w:rPr>
      </w:pPr>
      <w:r>
        <w:rPr>
          <w:rFonts w:ascii="宋体" w:hAnsi="宋体"/>
          <w:b/>
          <w:color w:val="000000"/>
          <w:szCs w:val="28"/>
        </w:rPr>
        <w:fldChar w:fldCharType="end"/>
      </w:r>
      <w:bookmarkEnd w:id="0"/>
      <w:bookmarkEnd w:id="1"/>
      <w:bookmarkStart w:id="2" w:name="_Toc266431116"/>
      <w:bookmarkStart w:id="3" w:name="_Toc253045125"/>
      <w:r>
        <w:rPr>
          <w:rFonts w:ascii="宋体" w:hAnsi="宋体"/>
          <w:b/>
          <w:color w:val="000000"/>
          <w:szCs w:val="28"/>
        </w:rPr>
        <w:br w:type="page"/>
      </w:r>
    </w:p>
    <w:p>
      <w:pPr>
        <w:widowControl/>
        <w:ind w:firstLine="3233" w:firstLineChars="1150"/>
        <w:jc w:val="left"/>
        <w:outlineLvl w:val="0"/>
        <w:rPr>
          <w:rFonts w:ascii="宋体" w:hAnsi="宋体"/>
          <w:b/>
          <w:color w:val="000000"/>
          <w:szCs w:val="28"/>
        </w:rPr>
      </w:pPr>
      <w:bookmarkStart w:id="4" w:name="_Toc497408478"/>
      <w:r>
        <w:rPr>
          <w:rFonts w:hint="eastAsia" w:ascii="宋体" w:hAnsi="宋体"/>
          <w:b/>
          <w:color w:val="000000"/>
          <w:szCs w:val="28"/>
        </w:rPr>
        <w:t>第一章 采购公告</w:t>
      </w:r>
      <w:bookmarkEnd w:id="4"/>
    </w:p>
    <w:p>
      <w:pPr>
        <w:widowControl/>
        <w:ind w:firstLine="2048" w:firstLineChars="850"/>
        <w:jc w:val="left"/>
        <w:rPr>
          <w:rFonts w:ascii="宋体" w:hAnsi="宋体"/>
          <w:bCs/>
          <w:color w:val="000000"/>
          <w:kern w:val="44"/>
          <w:szCs w:val="28"/>
          <w:lang w:val="zh-CN"/>
        </w:rPr>
      </w:pPr>
      <w:r>
        <w:rPr>
          <w:rFonts w:hint="eastAsia" w:ascii="宋体" w:hAnsi="宋体"/>
          <w:b/>
          <w:sz w:val="24"/>
          <w:szCs w:val="24"/>
          <w:lang w:eastAsia="zh-CN"/>
        </w:rPr>
        <w:t>准格尔旗中蒙医院采购角膜内皮镜项目</w:t>
      </w:r>
      <w:r>
        <w:rPr>
          <w:rFonts w:hint="eastAsia" w:ascii="宋体" w:hAnsi="宋体"/>
          <w:b/>
          <w:sz w:val="24"/>
          <w:szCs w:val="24"/>
        </w:rPr>
        <w:t>询价公告</w:t>
      </w:r>
    </w:p>
    <w:p>
      <w:pPr>
        <w:spacing w:line="360" w:lineRule="auto"/>
        <w:ind w:firstLine="480" w:firstLineChars="200"/>
        <w:rPr>
          <w:rFonts w:ascii="宋体" w:hAnsi="宋体"/>
          <w:color w:val="000000"/>
          <w:sz w:val="24"/>
          <w:szCs w:val="24"/>
        </w:rPr>
      </w:pPr>
      <w:r>
        <w:rPr>
          <w:rFonts w:hint="eastAsia" w:ascii="宋体" w:hAnsi="宋体"/>
          <w:sz w:val="24"/>
          <w:szCs w:val="24"/>
        </w:rPr>
        <w:t>鄂尔多斯市</w:t>
      </w:r>
      <w:r>
        <w:rPr>
          <w:rFonts w:hint="eastAsia" w:ascii="宋体" w:hAnsi="宋体"/>
          <w:sz w:val="24"/>
          <w:szCs w:val="24"/>
          <w:lang w:eastAsia="zh-CN"/>
        </w:rPr>
        <w:t>准格尔旗公共资源交易</w:t>
      </w:r>
      <w:r>
        <w:rPr>
          <w:rFonts w:hint="eastAsia" w:ascii="宋体" w:hAnsi="宋体"/>
          <w:sz w:val="24"/>
          <w:szCs w:val="24"/>
        </w:rPr>
        <w:t>中心受</w:t>
      </w:r>
      <w:r>
        <w:rPr>
          <w:rFonts w:hint="eastAsia" w:ascii="宋体" w:hAnsi="宋体"/>
          <w:sz w:val="24"/>
          <w:szCs w:val="24"/>
          <w:lang w:eastAsia="zh-CN"/>
        </w:rPr>
        <w:t>准格尔旗中蒙医院</w:t>
      </w:r>
      <w:r>
        <w:rPr>
          <w:rFonts w:hint="eastAsia" w:ascii="宋体" w:hAnsi="宋体"/>
          <w:sz w:val="24"/>
          <w:szCs w:val="24"/>
        </w:rPr>
        <w:t>委托，采用询价方式采购</w:t>
      </w:r>
      <w:r>
        <w:rPr>
          <w:rFonts w:hint="eastAsia" w:ascii="宋体" w:hAnsi="宋体"/>
          <w:sz w:val="24"/>
          <w:szCs w:val="24"/>
          <w:lang w:eastAsia="zh-CN"/>
        </w:rPr>
        <w:t>角膜内皮镜</w:t>
      </w:r>
      <w:r>
        <w:rPr>
          <w:rFonts w:hint="eastAsia" w:ascii="宋体" w:hAnsi="宋体"/>
          <w:color w:val="000000"/>
          <w:sz w:val="24"/>
          <w:szCs w:val="24"/>
        </w:rPr>
        <w:t>。欢迎符合资格条件的供应商前来报名参加。</w:t>
      </w:r>
    </w:p>
    <w:p>
      <w:pPr>
        <w:pStyle w:val="66"/>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6"/>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ascii="宋体" w:hAnsi="宋体"/>
          <w:color w:val="000000"/>
          <w:sz w:val="24"/>
          <w:szCs w:val="24"/>
        </w:rPr>
      </w:pPr>
      <w:r>
        <w:rPr>
          <w:rFonts w:hint="eastAsia" w:ascii="宋体" w:hAnsi="宋体"/>
          <w:sz w:val="24"/>
          <w:szCs w:val="24"/>
        </w:rPr>
        <w:t>项目名称：</w:t>
      </w:r>
      <w:r>
        <w:rPr>
          <w:rFonts w:hint="eastAsia" w:ascii="宋体" w:hAnsi="宋体"/>
          <w:b/>
          <w:sz w:val="24"/>
          <w:szCs w:val="24"/>
          <w:lang w:eastAsia="zh-CN"/>
        </w:rPr>
        <w:t>准格尔旗中蒙医院采购角膜内皮镜项目</w:t>
      </w:r>
    </w:p>
    <w:p>
      <w:pPr>
        <w:spacing w:line="360" w:lineRule="auto"/>
        <w:ind w:firstLine="480" w:firstLineChars="200"/>
        <w:jc w:val="left"/>
        <w:rPr>
          <w:rFonts w:hint="eastAsia" w:ascii="宋体" w:hAnsi="宋体"/>
          <w:color w:val="FF0000"/>
          <w:sz w:val="24"/>
          <w:szCs w:val="24"/>
          <w:lang w:val="en-US" w:eastAsia="zh-CN"/>
        </w:rPr>
      </w:pPr>
      <w:r>
        <w:rPr>
          <w:rFonts w:hint="eastAsia" w:ascii="宋体" w:hAnsi="宋体"/>
          <w:color w:val="000000"/>
          <w:sz w:val="24"/>
          <w:szCs w:val="24"/>
          <w:lang w:val="en-US" w:eastAsia="zh-CN"/>
        </w:rPr>
        <w:t xml:space="preserve"> </w:t>
      </w:r>
      <w:r>
        <w:rPr>
          <w:rFonts w:hint="eastAsia" w:ascii="宋体" w:hAnsi="宋体"/>
          <w:sz w:val="24"/>
          <w:szCs w:val="24"/>
        </w:rPr>
        <w:t>询价通知书编号：</w:t>
      </w:r>
      <w:r>
        <w:rPr>
          <w:rFonts w:hint="eastAsia" w:ascii="宋体" w:hAnsi="宋体"/>
          <w:sz w:val="24"/>
          <w:szCs w:val="24"/>
          <w:lang w:val="en-US" w:eastAsia="zh-CN"/>
        </w:rPr>
        <w:t>CG2018HXJ1761</w:t>
      </w:r>
      <w:r>
        <w:rPr>
          <w:rFonts w:hint="eastAsia" w:ascii="宋体" w:hAnsi="宋体"/>
          <w:color w:val="FF0000"/>
          <w:sz w:val="24"/>
          <w:szCs w:val="24"/>
          <w:lang w:val="en-US" w:eastAsia="zh-CN"/>
        </w:rPr>
        <w:t>-A</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角膜内皮镜</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详见询价通知书</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300000</w:t>
            </w:r>
          </w:p>
        </w:tc>
      </w:tr>
    </w:tbl>
    <w:p>
      <w:pPr>
        <w:pStyle w:val="66"/>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600" w:firstLineChars="25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ascii="宋体" w:hAnsi="宋体"/>
          <w:b/>
          <w:color w:val="000000"/>
          <w:sz w:val="24"/>
          <w:szCs w:val="24"/>
        </w:rPr>
      </w:pPr>
      <w:r>
        <w:rPr>
          <w:rFonts w:hint="eastAsia" w:ascii="宋体" w:hAnsi="宋体"/>
          <w:sz w:val="24"/>
          <w:szCs w:val="24"/>
          <w:lang w:val="en-US" w:eastAsia="zh-CN"/>
        </w:rPr>
        <w:t xml:space="preserve"> </w:t>
      </w:r>
      <w:r>
        <w:rPr>
          <w:rFonts w:hint="eastAsia" w:ascii="宋体" w:hAnsi="宋体"/>
          <w:b/>
          <w:color w:val="000000"/>
          <w:sz w:val="24"/>
          <w:szCs w:val="24"/>
        </w:rPr>
        <w:t>三.获取询价通知书的时间、地点、方式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日起登录内蒙古自治区政府采购网、内蒙古自治区公共资源交易网、鄂尔多斯市政府采购网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eastAsia="zh-CN"/>
        </w:rPr>
        <w:t>或</w:t>
      </w:r>
      <w:r>
        <w:rPr>
          <w:rFonts w:hint="eastAsia" w:ascii="宋体" w:hAnsi="宋体"/>
          <w:sz w:val="24"/>
          <w:szCs w:val="24"/>
          <w:lang w:val="en-US" w:eastAsia="zh-CN"/>
        </w:rPr>
        <w:t>准格尔旗公共资源交易中心</w:t>
      </w:r>
      <w:r>
        <w:rPr>
          <w:rFonts w:hint="eastAsia" w:ascii="宋体" w:hAnsi="宋体"/>
          <w:sz w:val="24"/>
          <w:szCs w:val="24"/>
        </w:rPr>
        <w:t>站获取询价通知书。</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1.内蒙古自治区政府采购网（http://www.nmgp.gov.cn）。登录网站页面，在“盟市旗县采购公告”中查询采购信息，点击信息公告页面下方的“相关附件”即可浏览、下载询价通知书。</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3.鄂尔多斯市政府采购网（http://www.ordoscg.gov.cn）。登陆网站页面，点击“政府采购公告”，查询采购信息，点击信息公告页面中“下载询价通知书”可浏览、下载询价通知书。</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w:t>
      </w:r>
      <w:r>
        <w:rPr>
          <w:rFonts w:hint="eastAsia" w:ascii="宋体" w:hAnsi="宋体"/>
          <w:sz w:val="24"/>
          <w:szCs w:val="24"/>
          <w:lang w:val="en-US" w:eastAsia="zh-CN"/>
        </w:rPr>
        <w:t>org.cn</w:t>
      </w:r>
      <w:r>
        <w:rPr>
          <w:rFonts w:hint="eastAsia" w:ascii="宋体" w:hAnsi="宋体"/>
          <w:sz w:val="24"/>
          <w:szCs w:val="24"/>
        </w:rPr>
        <w:t>）。登陆网站页面，点击“政府采购”中的“信息公告”栏，查询采购信息，点击信息公告页面左下角“附件”即可浏览、下载询价通知书。</w:t>
      </w:r>
    </w:p>
    <w:p>
      <w:pPr>
        <w:spacing w:line="360" w:lineRule="auto"/>
        <w:ind w:firstLine="480" w:firstLineChars="200"/>
        <w:textAlignment w:val="baseline"/>
        <w:rPr>
          <w:rFonts w:hint="eastAsia" w:ascii="宋体" w:hAnsi="宋体"/>
          <w:sz w:val="24"/>
          <w:szCs w:val="24"/>
          <w:lang w:val="en-US" w:eastAsia="zh-CN"/>
        </w:rPr>
      </w:pPr>
      <w:r>
        <w:rPr>
          <w:rFonts w:hint="eastAsia" w:ascii="宋体" w:hAnsi="宋体"/>
          <w:sz w:val="24"/>
          <w:szCs w:val="24"/>
          <w:lang w:val="en-US" w:eastAsia="zh-CN"/>
        </w:rPr>
        <w:t>5. 准格尔旗公共资源交易中心</w:t>
      </w:r>
    </w:p>
    <w:p>
      <w:pPr>
        <w:spacing w:line="360" w:lineRule="auto"/>
        <w:ind w:firstLine="480" w:firstLineChars="200"/>
        <w:textAlignment w:val="baseline"/>
        <w:rPr>
          <w:rFonts w:hint="eastAsia" w:ascii="宋体" w:hAnsi="宋体" w:eastAsia="宋体"/>
          <w:sz w:val="24"/>
          <w:szCs w:val="24"/>
          <w:lang w:val="en-US" w:eastAsia="zh-CN"/>
        </w:rPr>
      </w:pPr>
      <w:r>
        <w:rPr>
          <w:rFonts w:hint="eastAsia" w:ascii="宋体" w:hAnsi="宋体"/>
          <w:sz w:val="24"/>
          <w:szCs w:val="24"/>
          <w:lang w:val="en-US" w:eastAsia="zh-CN"/>
        </w:rPr>
        <w:t>（</w:t>
      </w:r>
      <w:r>
        <w:rPr>
          <w:rFonts w:hint="eastAsia" w:ascii="宋体" w:hAnsi="宋体"/>
          <w:sz w:val="24"/>
          <w:szCs w:val="24"/>
        </w:rPr>
        <w:t>http://www.ordosggzyjy.org.cn/TPFront_zgeq/zgeq/</w:t>
      </w:r>
      <w:r>
        <w:rPr>
          <w:rFonts w:hint="eastAsia" w:ascii="宋体" w:hAnsi="宋体"/>
          <w:sz w:val="24"/>
          <w:szCs w:val="24"/>
          <w:lang w:val="en-US" w:eastAsia="zh-CN"/>
        </w:rPr>
        <w:t>）</w:t>
      </w:r>
      <w:r>
        <w:rPr>
          <w:rFonts w:hint="eastAsia" w:ascii="宋体" w:hAnsi="宋体"/>
          <w:sz w:val="24"/>
          <w:szCs w:val="24"/>
        </w:rPr>
        <w:t>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w:t>
      </w:r>
      <w:r>
        <w:rPr>
          <w:rFonts w:hint="eastAsia" w:ascii="宋体" w:hAnsi="宋体"/>
          <w:sz w:val="24"/>
          <w:szCs w:val="24"/>
          <w:lang w:eastAsia="zh-CN"/>
        </w:rPr>
        <w:t>鄂尔多斯市准格尔旗公共资源交易中心二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分整</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鄂尔多斯市准格尔旗公共资源交易中心二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sz w:val="24"/>
          <w:szCs w:val="24"/>
          <w:lang w:eastAsia="zh-CN"/>
        </w:rPr>
        <w:t>鄂尔多斯市准格尔旗公共资源交易中心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val="en-US" w:eastAsia="zh-CN"/>
        </w:rPr>
        <w:t>204</w:t>
      </w:r>
      <w:r>
        <w:rPr>
          <w:rFonts w:hint="eastAsia" w:ascii="宋体" w:hAnsi="宋体"/>
          <w:color w:val="000000"/>
          <w:sz w:val="24"/>
          <w:szCs w:val="24"/>
        </w:rPr>
        <w:t>室（</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ascii="宋体" w:hAnsi="宋体"/>
          <w:color w:val="000000"/>
          <w:sz w:val="24"/>
          <w:szCs w:val="24"/>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准格尔旗中蒙医院</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准格尔旗薛家湾镇</w:t>
      </w:r>
      <w:r>
        <w:rPr>
          <w:rFonts w:ascii="宋体" w:hAnsi="宋体"/>
          <w:sz w:val="24"/>
          <w:szCs w:val="24"/>
        </w:rPr>
        <w:t xml:space="preserve"> </w:t>
      </w:r>
      <w:r>
        <w:rPr>
          <w:rFonts w:hint="eastAsia" w:ascii="宋体" w:hAnsi="宋体"/>
          <w:sz w:val="24"/>
          <w:szCs w:val="24"/>
          <w:lang w:val="en-US" w:eastAsia="zh-CN"/>
        </w:rPr>
        <w:t xml:space="preserve">                   </w:t>
      </w:r>
    </w:p>
    <w:p>
      <w:pPr>
        <w:spacing w:line="360" w:lineRule="auto"/>
        <w:ind w:firstLine="480" w:firstLineChars="200"/>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eastAsia="zh-CN"/>
        </w:rPr>
        <w:t>白莎</w:t>
      </w:r>
      <w:r>
        <w:rPr>
          <w:rFonts w:hint="eastAsia" w:ascii="宋体" w:hAnsi="宋体"/>
          <w:sz w:val="24"/>
          <w:szCs w:val="24"/>
          <w:lang w:val="en-US" w:eastAsia="zh-CN"/>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联系电话：</w:t>
      </w:r>
      <w:r>
        <w:rPr>
          <w:rFonts w:hint="eastAsia" w:ascii="宋体" w:hAnsi="宋体"/>
          <w:sz w:val="24"/>
          <w:szCs w:val="24"/>
          <w:lang w:val="en-US" w:eastAsia="zh-CN"/>
        </w:rPr>
        <w:t>18847767778</w:t>
      </w: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lang w:val="en-US" w:eastAsia="zh-CN"/>
        </w:rPr>
      </w:pPr>
      <w:r>
        <w:rPr>
          <w:rFonts w:hint="eastAsia" w:ascii="宋体" w:hAnsi="宋体"/>
          <w:sz w:val="24"/>
          <w:szCs w:val="24"/>
          <w:lang w:val="en-US" w:eastAsia="zh-CN"/>
        </w:rPr>
        <w:t xml:space="preserve">                           </w:t>
      </w: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spacing w:line="360" w:lineRule="auto"/>
        <w:ind w:firstLine="600" w:firstLineChars="250"/>
        <w:rPr>
          <w:rFonts w:hint="eastAsia" w:ascii="宋体" w:hAnsi="宋体"/>
          <w:sz w:val="24"/>
          <w:szCs w:val="24"/>
          <w:lang w:val="en-US" w:eastAsia="zh-CN"/>
        </w:rPr>
      </w:pPr>
    </w:p>
    <w:p>
      <w:pPr>
        <w:spacing w:line="360" w:lineRule="auto"/>
        <w:ind w:firstLine="4200" w:firstLineChars="1750"/>
        <w:rPr>
          <w:rFonts w:hint="eastAsia" w:ascii="宋体" w:hAnsi="宋体"/>
          <w:sz w:val="24"/>
          <w:szCs w:val="24"/>
          <w:lang w:eastAsia="zh-CN"/>
        </w:rPr>
      </w:pPr>
      <w:r>
        <w:rPr>
          <w:rFonts w:hint="eastAsia" w:ascii="宋体" w:hAnsi="宋体"/>
          <w:sz w:val="24"/>
          <w:szCs w:val="24"/>
        </w:rPr>
        <w:t xml:space="preserve"> </w:t>
      </w:r>
      <w:r>
        <w:rPr>
          <w:rFonts w:hint="eastAsia" w:ascii="宋体" w:hAnsi="宋体"/>
          <w:sz w:val="24"/>
          <w:szCs w:val="24"/>
          <w:lang w:eastAsia="zh-CN"/>
        </w:rPr>
        <w:t>鄂尔多斯市准格尔旗公共资源交易中心</w:t>
      </w:r>
    </w:p>
    <w:p>
      <w:pPr>
        <w:spacing w:line="360" w:lineRule="auto"/>
        <w:ind w:firstLine="5640" w:firstLineChars="2350"/>
        <w:rPr>
          <w:rFonts w:hint="eastAsia"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w:t>
      </w:r>
    </w:p>
    <w:p>
      <w:pPr>
        <w:spacing w:line="360" w:lineRule="auto"/>
        <w:textAlignment w:val="baseline"/>
        <w:rPr>
          <w:rFonts w:hint="eastAsia" w:ascii="宋体" w:hAnsi="宋体"/>
          <w:sz w:val="24"/>
          <w:szCs w:val="24"/>
        </w:rPr>
      </w:pPr>
    </w:p>
    <w:p>
      <w:pPr>
        <w:pStyle w:val="41"/>
        <w:spacing w:line="360" w:lineRule="auto"/>
        <w:rPr>
          <w:rFonts w:ascii="宋体" w:hAnsi="宋体" w:eastAsia="宋体"/>
          <w:color w:val="000000"/>
          <w:sz w:val="24"/>
          <w:szCs w:val="24"/>
        </w:rPr>
      </w:pPr>
      <w:bookmarkStart w:id="5" w:name="_Toc497408479"/>
      <w:r>
        <w:rPr>
          <w:rFonts w:hint="eastAsia" w:ascii="宋体" w:hAnsi="宋体" w:eastAsia="宋体"/>
          <w:sz w:val="24"/>
          <w:szCs w:val="24"/>
          <w:lang w:val="en-US" w:eastAsia="zh-CN"/>
        </w:rPr>
        <w:t xml:space="preserve"> </w:t>
      </w:r>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9"/>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42"/>
        <w:gridCol w:w="2367"/>
        <w:gridCol w:w="98"/>
        <w:gridCol w:w="6401"/>
        <w:gridCol w:w="2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sz w:val="24"/>
                <w:szCs w:val="24"/>
                <w:lang w:eastAsia="zh-CN"/>
              </w:rPr>
            </w:pPr>
            <w:r>
              <w:rPr>
                <w:rFonts w:hint="eastAsia" w:ascii="宋体" w:hAnsi="宋体"/>
                <w:sz w:val="24"/>
                <w:szCs w:val="24"/>
                <w:lang w:eastAsia="zh-CN"/>
              </w:rPr>
              <w:t>准格尔旗中蒙医院</w:t>
            </w:r>
          </w:p>
          <w:p>
            <w:pPr>
              <w:spacing w:line="360" w:lineRule="auto"/>
              <w:ind w:right="-140" w:rightChars="-50"/>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白莎</w:t>
            </w:r>
            <w:r>
              <w:rPr>
                <w:rFonts w:hint="eastAsia" w:ascii="宋体" w:hAnsi="宋体"/>
                <w:sz w:val="24"/>
                <w:szCs w:val="24"/>
              </w:rPr>
              <w:t xml:space="preserve">            联系电话：</w:t>
            </w:r>
            <w:r>
              <w:rPr>
                <w:rFonts w:hint="eastAsia" w:ascii="宋体" w:hAnsi="宋体"/>
                <w:sz w:val="24"/>
                <w:szCs w:val="24"/>
                <w:lang w:val="en-US" w:eastAsia="zh-CN"/>
              </w:rPr>
              <w:t>18847767778</w:t>
            </w:r>
          </w:p>
          <w:p>
            <w:pPr>
              <w:spacing w:line="360" w:lineRule="auto"/>
              <w:ind w:right="-140" w:rightChars="-50"/>
              <w:rPr>
                <w:rFonts w:hint="eastAsia" w:ascii="宋体" w:hAnsi="宋体" w:eastAsia="宋体"/>
                <w:sz w:val="24"/>
                <w:szCs w:val="24"/>
                <w:lang w:eastAsia="zh-CN"/>
              </w:rPr>
            </w:pPr>
            <w:r>
              <w:rPr>
                <w:rFonts w:hint="eastAsia" w:ascii="宋体" w:hAnsi="宋体"/>
                <w:sz w:val="24"/>
                <w:szCs w:val="24"/>
              </w:rPr>
              <w:t>地址：</w:t>
            </w:r>
            <w:r>
              <w:rPr>
                <w:rFonts w:hint="eastAsia" w:ascii="宋体" w:hAnsi="宋体"/>
                <w:sz w:val="24"/>
                <w:szCs w:val="24"/>
                <w:lang w:eastAsia="zh-CN"/>
              </w:rPr>
              <w:t>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鄂尔多斯市</w:t>
            </w:r>
            <w:r>
              <w:rPr>
                <w:rFonts w:hint="eastAsia" w:ascii="宋体" w:hAnsi="宋体"/>
                <w:sz w:val="24"/>
                <w:szCs w:val="24"/>
                <w:lang w:eastAsia="zh-CN"/>
              </w:rPr>
              <w:t>准格尔旗公共资源交易</w:t>
            </w:r>
            <w:r>
              <w:rPr>
                <w:rFonts w:hint="eastAsia" w:ascii="宋体" w:hAnsi="宋体"/>
                <w:sz w:val="24"/>
                <w:szCs w:val="24"/>
              </w:rPr>
              <w:t xml:space="preserve">中心 </w:t>
            </w:r>
          </w:p>
          <w:p>
            <w:pPr>
              <w:spacing w:line="360" w:lineRule="auto"/>
              <w:ind w:right="-140" w:rightChars="-50"/>
              <w:rPr>
                <w:rFonts w:hint="eastAsia"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right="-140" w:rightChars="-50"/>
              <w:rPr>
                <w:rFonts w:hint="eastAsia" w:ascii="宋体" w:hAnsi="宋体" w:eastAsia="宋体"/>
                <w:sz w:val="24"/>
                <w:szCs w:val="24"/>
                <w:lang w:eastAsia="zh-CN"/>
              </w:rPr>
            </w:pPr>
            <w:r>
              <w:rPr>
                <w:rFonts w:hint="eastAsia" w:ascii="宋体" w:hAnsi="宋体"/>
                <w:sz w:val="24"/>
                <w:szCs w:val="24"/>
              </w:rPr>
              <w:t xml:space="preserve">地址： </w:t>
            </w:r>
            <w:r>
              <w:rPr>
                <w:rFonts w:hint="eastAsia" w:ascii="宋体" w:hAnsi="宋体"/>
                <w:sz w:val="24"/>
                <w:szCs w:val="24"/>
                <w:lang w:eastAsia="zh-CN"/>
              </w:rPr>
              <w:t>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sz w:val="24"/>
                <w:szCs w:val="24"/>
              </w:rPr>
            </w:pPr>
            <w:r>
              <w:rPr>
                <w:rFonts w:hint="eastAsia" w:ascii="宋体" w:hAnsi="宋体"/>
                <w:sz w:val="24"/>
                <w:szCs w:val="24"/>
              </w:rPr>
              <w:t>详见询价通知书第四章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300000</w:t>
            </w:r>
            <w:r>
              <w:rPr>
                <w:rFonts w:hint="eastAsia" w:ascii="宋体" w:hAnsi="宋体"/>
                <w:sz w:val="24"/>
                <w:szCs w:val="24"/>
                <w:u w:val="single"/>
              </w:rPr>
              <w:t xml:space="preserve">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4"/>
                <w:szCs w:val="24"/>
                <w:lang w:eastAsia="zh-CN"/>
              </w:rPr>
            </w:pPr>
            <w:r>
              <w:rPr>
                <w:rFonts w:hint="eastAsia" w:ascii="宋体" w:hAnsi="宋体"/>
                <w:sz w:val="24"/>
                <w:szCs w:val="24"/>
                <w:lang w:val="en-US" w:eastAsia="zh-CN"/>
              </w:rPr>
              <w:t xml:space="preserve"> </w:t>
            </w:r>
            <w:r>
              <w:rPr>
                <w:rFonts w:hint="eastAsia" w:ascii="宋体" w:hAnsi="宋体"/>
                <w:sz w:val="24"/>
                <w:szCs w:val="24"/>
              </w:rPr>
              <w:t>一整包、</w:t>
            </w:r>
            <w:r>
              <w:rPr>
                <w:rFonts w:hint="eastAsia" w:ascii="宋体" w:hAns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4"/>
                <w:szCs w:val="24"/>
                <w:lang w:eastAsia="zh-CN"/>
              </w:rPr>
            </w:pPr>
            <w:r>
              <w:rPr>
                <w:rFonts w:hint="eastAsia" w:ascii="宋体" w:hAnsi="宋体"/>
                <w:sz w:val="24"/>
                <w:szCs w:val="24"/>
                <w:lang w:val="en-US" w:eastAsia="zh-CN"/>
              </w:rPr>
              <w:t xml:space="preserve"> </w:t>
            </w:r>
            <w:r>
              <w:rPr>
                <w:rFonts w:hint="eastAsia" w:ascii="宋体" w:hAnsi="宋体"/>
                <w:sz w:val="24"/>
                <w:szCs w:val="24"/>
              </w:rPr>
              <w:t>国库集中支付</w:t>
            </w:r>
            <w:r>
              <w:rPr>
                <w:rFonts w:hint="eastAsia" w:ascii="宋体" w:hAns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询价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询价小组数量</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sz w:val="24"/>
                <w:szCs w:val="24"/>
                <w:lang w:eastAsia="zh-CN"/>
              </w:rPr>
            </w:pPr>
            <w:r>
              <w:rPr>
                <w:rFonts w:hint="eastAsia" w:ascii="宋体" w:hAnsi="宋体"/>
                <w:sz w:val="24"/>
                <w:szCs w:val="24"/>
              </w:rPr>
              <w:t>询价小组依法组建，由采购人代表和评审专家组成共</w:t>
            </w:r>
            <w:r>
              <w:rPr>
                <w:rFonts w:hint="eastAsia" w:ascii="宋体" w:hAnsi="宋体"/>
                <w:sz w:val="24"/>
                <w:szCs w:val="24"/>
                <w:u w:val="single"/>
              </w:rPr>
              <w:t xml:space="preserve"> </w:t>
            </w:r>
            <w:r>
              <w:rPr>
                <w:rFonts w:hint="eastAsia" w:ascii="宋体" w:hAnsi="宋体"/>
                <w:sz w:val="24"/>
                <w:szCs w:val="24"/>
                <w:u w:val="single"/>
                <w:lang w:val="en-US" w:eastAsia="zh-CN"/>
              </w:rPr>
              <w:t>3</w:t>
            </w:r>
            <w:r>
              <w:rPr>
                <w:rFonts w:hint="eastAsia" w:ascii="宋体" w:hAnsi="宋体"/>
                <w:sz w:val="24"/>
                <w:szCs w:val="24"/>
                <w:u w:val="single"/>
              </w:rPr>
              <w:t xml:space="preserve"> </w:t>
            </w:r>
            <w:r>
              <w:rPr>
                <w:rFonts w:hint="eastAsia" w:ascii="宋体" w:hAnsi="宋体"/>
                <w:sz w:val="24"/>
                <w:szCs w:val="24"/>
              </w:rPr>
              <w:t>人</w:t>
            </w:r>
            <w:r>
              <w:rPr>
                <w:rFonts w:hint="eastAsia" w:ascii="宋体" w:hAnsi="宋体"/>
                <w:sz w:val="24"/>
                <w:szCs w:val="24"/>
                <w:lang w:eastAsia="zh-CN"/>
              </w:rPr>
              <w:t>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采购人从询价小组提出的成交候选人中确定成交供应商。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响应文件递交时间</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开标地点（响应文件递交地点）</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sz w:val="24"/>
                <w:szCs w:val="24"/>
                <w:lang w:eastAsia="zh-CN"/>
              </w:rPr>
            </w:pPr>
            <w:r>
              <w:rPr>
                <w:rFonts w:hint="eastAsia" w:ascii="宋体" w:hAnsi="宋体"/>
                <w:sz w:val="24"/>
                <w:szCs w:val="24"/>
              </w:rPr>
              <w:t>鄂尔多斯市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eastAsia="zh-CN"/>
              </w:rPr>
              <w:t>二</w:t>
            </w:r>
            <w:r>
              <w:rPr>
                <w:rFonts w:hint="eastAsia" w:ascii="宋体" w:hAnsi="宋体"/>
                <w:sz w:val="24"/>
                <w:szCs w:val="24"/>
              </w:rPr>
              <w:t>楼开标会议室</w:t>
            </w:r>
            <w:r>
              <w:rPr>
                <w:rFonts w:hint="eastAsia" w:ascii="宋体" w:hAns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实物样品（演示）</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77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79" w:type="dxa"/>
          <w:trHeight w:val="4400" w:hRule="atLeast"/>
          <w:jc w:val="center"/>
        </w:trPr>
        <w:tc>
          <w:tcPr>
            <w:tcW w:w="7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lang w:eastAsia="zh-CN"/>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lang w:val="en-US" w:eastAsia="zh-CN"/>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w:t>
            </w:r>
            <w:r>
              <w:rPr>
                <w:rFonts w:hint="eastAsia" w:ascii="宋体" w:hAnsi="宋体"/>
                <w:b/>
                <w:color w:val="000000"/>
                <w:sz w:val="24"/>
                <w:szCs w:val="24"/>
                <w:u w:val="single"/>
                <w:lang w:eastAsia="zh-CN"/>
              </w:rPr>
              <w:t>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hint="eastAsia" w:ascii="宋体" w:hAnsi="宋体" w:eastAsia="宋体"/>
                <w:color w:val="000000"/>
                <w:sz w:val="24"/>
                <w:szCs w:val="24"/>
                <w:lang w:val="en-US" w:eastAsia="zh-CN"/>
              </w:rPr>
            </w:pPr>
            <w:r>
              <w:rPr>
                <w:rFonts w:hint="eastAsia" w:ascii="宋体" w:hAnsi="宋体"/>
                <w:color w:val="000000"/>
                <w:sz w:val="24"/>
                <w:szCs w:val="24"/>
              </w:rPr>
              <w:t>投标保证金缴纳</w:t>
            </w:r>
            <w:r>
              <w:rPr>
                <w:rFonts w:hint="eastAsia" w:ascii="宋体" w:hAnsi="宋体"/>
                <w:color w:val="000000"/>
                <w:sz w:val="24"/>
                <w:szCs w:val="24"/>
                <w:lang w:eastAsia="zh-CN"/>
              </w:rPr>
              <w:t>确认</w:t>
            </w:r>
            <w:r>
              <w:rPr>
                <w:rFonts w:hint="eastAsia" w:ascii="宋体" w:hAnsi="宋体"/>
                <w:color w:val="000000"/>
                <w:sz w:val="24"/>
                <w:szCs w:val="24"/>
              </w:rPr>
              <w:t>、退还联系人：</w:t>
            </w:r>
            <w:r>
              <w:rPr>
                <w:rFonts w:hint="eastAsia" w:ascii="宋体" w:hAnsi="宋体"/>
                <w:color w:val="000000"/>
                <w:sz w:val="24"/>
                <w:szCs w:val="24"/>
                <w:lang w:eastAsia="zh-CN"/>
              </w:rPr>
              <w:t>赵先生</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0477-</w:t>
            </w:r>
            <w:r>
              <w:rPr>
                <w:rFonts w:hint="eastAsia" w:ascii="宋体" w:hAnsi="宋体"/>
                <w:color w:val="000000"/>
                <w:sz w:val="24"/>
                <w:szCs w:val="24"/>
                <w:lang w:val="en-US" w:eastAsia="zh-CN"/>
              </w:rPr>
              <w:t>3864230</w:t>
            </w:r>
          </w:p>
          <w:p>
            <w:pPr>
              <w:spacing w:line="360" w:lineRule="auto"/>
              <w:rPr>
                <w:rFonts w:ascii="宋体" w:hAnsi="宋体"/>
                <w:color w:val="000000"/>
                <w:sz w:val="24"/>
                <w:szCs w:val="24"/>
              </w:rPr>
            </w:pPr>
            <w:r>
              <w:rPr>
                <w:rFonts w:hint="eastAsia" w:ascii="宋体" w:hAnsi="宋体"/>
                <w:color w:val="000000"/>
                <w:sz w:val="24"/>
                <w:szCs w:val="24"/>
                <w:lang w:eastAsia="zh-CN"/>
              </w:rPr>
              <w:t>准格尔煤田信用联社中山分社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10</w:t>
      </w:r>
      <w:r>
        <w:rPr>
          <w:rFonts w:hint="eastAsia" w:ascii="宋体" w:hAnsi="宋体" w:cs="宋体"/>
          <w:kern w:val="0"/>
          <w:sz w:val="24"/>
          <w:szCs w:val="24"/>
        </w:rPr>
        <w:t>月</w:t>
      </w:r>
      <w:r>
        <w:rPr>
          <w:rFonts w:hint="eastAsia" w:ascii="宋体" w:hAnsi="宋体" w:cs="宋体"/>
          <w:kern w:val="0"/>
          <w:sz w:val="24"/>
          <w:szCs w:val="24"/>
          <w:lang w:val="en-US" w:eastAsia="zh-CN"/>
        </w:rPr>
        <w:t>31</w:t>
      </w:r>
      <w:r>
        <w:rPr>
          <w:rFonts w:hint="eastAsia" w:ascii="宋体" w:hAnsi="宋体" w:cs="宋体"/>
          <w:kern w:val="0"/>
          <w:sz w:val="24"/>
          <w:szCs w:val="24"/>
        </w:rPr>
        <w:t>日至</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09</w:t>
      </w:r>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ascii="宋体" w:hAnsi="宋体" w:cs="宋体"/>
          <w:kern w:val="0"/>
          <w:sz w:val="24"/>
          <w:szCs w:val="24"/>
          <w:lang w:val="en-US"/>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11</w:t>
      </w:r>
      <w:bookmarkStart w:id="69" w:name="_GoBack"/>
      <w:bookmarkEnd w:id="69"/>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hint="eastAsia" w:ascii="宋体" w:hAnsi="宋体" w:cs="宋体"/>
          <w:kern w:val="0"/>
          <w:sz w:val="24"/>
          <w:szCs w:val="24"/>
        </w:rPr>
        <w:t>日</w:t>
      </w:r>
      <w:r>
        <w:rPr>
          <w:rFonts w:hint="eastAsia" w:ascii="宋体" w:hAnsi="宋体" w:cs="宋体"/>
          <w:kern w:val="0"/>
          <w:sz w:val="24"/>
          <w:szCs w:val="24"/>
          <w:lang w:val="en-US" w:eastAsia="zh-CN"/>
        </w:rPr>
        <w:t>10时00分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hint="eastAsia" w:ascii="宋体" w:hAnsi="宋体"/>
          <w:sz w:val="24"/>
          <w:szCs w:val="24"/>
        </w:rPr>
      </w:pPr>
      <w:r>
        <w:rPr>
          <w:rFonts w:hint="eastAsia" w:ascii="宋体" w:hAnsi="宋体"/>
          <w:sz w:val="24"/>
          <w:szCs w:val="24"/>
        </w:rPr>
        <w:t>3.4网上报名成功而放弃参加投标的投标人，请在提交投标文件前</w:t>
      </w:r>
      <w:r>
        <w:rPr>
          <w:rFonts w:hint="eastAsia" w:ascii="宋体" w:hAnsi="宋体"/>
          <w:sz w:val="24"/>
          <w:szCs w:val="24"/>
          <w:lang w:val="en-US" w:eastAsia="zh-CN"/>
        </w:rPr>
        <w:t>3个工作日</w:t>
      </w:r>
      <w:r>
        <w:rPr>
          <w:rFonts w:hint="eastAsia" w:ascii="宋体" w:hAnsi="宋体"/>
          <w:sz w:val="24"/>
          <w:szCs w:val="24"/>
        </w:rPr>
        <w:t>以书面形式并加盖单位公章（扫描件发送至</w:t>
      </w:r>
      <w:r>
        <w:fldChar w:fldCharType="begin"/>
      </w:r>
      <w:r>
        <w:instrText xml:space="preserve"> HYPERLINK "javascript:;" </w:instrText>
      </w:r>
      <w:r>
        <w:fldChar w:fldCharType="separate"/>
      </w:r>
      <w:r>
        <w:rPr>
          <w:rStyle w:val="47"/>
          <w:rFonts w:hint="eastAsia" w:ascii="宋体" w:hAnsi="宋体" w:cs="宋体"/>
          <w:kern w:val="0"/>
          <w:sz w:val="24"/>
          <w:szCs w:val="24"/>
          <w:lang w:val="en-US" w:eastAsia="zh-CN"/>
        </w:rPr>
        <w:t>zqjycg</w:t>
      </w:r>
      <w:r>
        <w:rPr>
          <w:rStyle w:val="47"/>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准格尔旗公共资源交易</w:t>
      </w:r>
      <w:r>
        <w:rPr>
          <w:rFonts w:hint="eastAsia" w:ascii="宋体" w:hAnsi="宋体"/>
          <w:sz w:val="24"/>
          <w:szCs w:val="24"/>
        </w:rPr>
        <w:t>中心，并在网上报名页面中撤销报名。放弃投标未予告知的，鄂尔多斯市</w:t>
      </w:r>
      <w:r>
        <w:rPr>
          <w:rFonts w:hint="eastAsia" w:ascii="宋体" w:hAnsi="宋体"/>
          <w:sz w:val="24"/>
          <w:szCs w:val="24"/>
          <w:lang w:eastAsia="zh-CN"/>
        </w:rPr>
        <w:t>准格尔旗公共资源交易</w:t>
      </w:r>
      <w:r>
        <w:rPr>
          <w:rFonts w:hint="eastAsia" w:ascii="宋体" w:hAnsi="宋体"/>
          <w:sz w:val="24"/>
          <w:szCs w:val="24"/>
        </w:rPr>
        <w:t>中心将给予不诚信行为记录并在鄂尔多斯市公共资源交易网上公开通报。</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本询价通知书依据《中华人民共和国政府采购法》、《中华人民共和国政府采购法实施条例》和《政府采购非招标采购方式管理办法》（财政部令第74号）及国家和自治区有关法律、法规、规章制度编制。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供应商应仔细阅读本询价通知书的所有内容（包括答疑、补充、澄清以及修改等），按照询价通知书要求以及格式编制响应文件，并保证其真实性，否则一切后果自负。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询价，指采购人或者采购代理机构以询价公告的方式邀请不特定的法人或其他组织参加投标，以能够最大限度地满足询价通知书中规定的各项综合评价标准、满足询价通知书的实质性要求，按照本询价通知书的询价办法确定成交供应商的采购方式。</w:t>
      </w:r>
    </w:p>
    <w:p>
      <w:pPr>
        <w:pStyle w:val="24"/>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本询价通知书仅适用于本次询价公告中所涉及的项目和内容。</w:t>
      </w:r>
    </w:p>
    <w:p>
      <w:pPr>
        <w:pStyle w:val="24"/>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供应商应承担所有与准备和参加投标有关的费用。不论投标结果如何，政</w:t>
      </w:r>
      <w:r>
        <w:rPr>
          <w:rFonts w:hint="eastAsia" w:hAnsi="宋体" w:cs="Arial"/>
          <w:color w:val="000000"/>
          <w:kern w:val="2"/>
          <w:sz w:val="24"/>
          <w:szCs w:val="24"/>
        </w:rPr>
        <w:t>府采购中心和采购人均无义务和责任承担相关费用。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依法进行政府采购的国家机关、事业单位、团体组织。本询价通知书的采购人特指（</w:t>
      </w:r>
      <w:r>
        <w:rPr>
          <w:rFonts w:hint="eastAsia" w:ascii="宋体" w:hAnsi="宋体" w:cs="Arial"/>
          <w:color w:val="000000"/>
          <w:sz w:val="24"/>
          <w:szCs w:val="24"/>
          <w:lang w:eastAsia="zh-CN"/>
        </w:rPr>
        <w:t>准格尔旗中蒙医院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4.2“集中采购机构”是指人民政府依法设立的代理集中采购项目的执行机构。本询价通知书的集中采购机构特指鄂尔多斯市</w:t>
      </w:r>
      <w:r>
        <w:rPr>
          <w:rFonts w:hint="eastAsia" w:ascii="宋体" w:hAnsi="宋体"/>
          <w:color w:val="000000"/>
          <w:sz w:val="24"/>
          <w:szCs w:val="24"/>
          <w:lang w:eastAsia="zh-CN"/>
        </w:rPr>
        <w:t>准格尔旗公共资源交易</w:t>
      </w:r>
      <w:r>
        <w:rPr>
          <w:rFonts w:hint="eastAsia" w:ascii="宋体" w:hAnsi="宋体"/>
          <w:color w:val="000000"/>
          <w:sz w:val="24"/>
          <w:szCs w:val="24"/>
        </w:rPr>
        <w:t>中心（以下简称</w:t>
      </w:r>
      <w:r>
        <w:rPr>
          <w:rFonts w:hint="eastAsia" w:ascii="宋体" w:hAnsi="宋体"/>
          <w:color w:val="000000"/>
          <w:sz w:val="24"/>
          <w:szCs w:val="24"/>
          <w:lang w:eastAsia="zh-CN"/>
        </w:rPr>
        <w:t>交易</w:t>
      </w:r>
      <w:r>
        <w:rPr>
          <w:rFonts w:hint="eastAsia" w:ascii="宋体" w:hAnsi="宋体"/>
          <w:color w:val="000000"/>
          <w:sz w:val="24"/>
          <w:szCs w:val="24"/>
        </w:rPr>
        <w:t>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4.4“询价小组”是指根据《中华人民共和国政府采购法》等法律法规规定，由采购人代表和有关专家组成以确定成交供应商的临时组织。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4.5“成交供应商”是指经询价小组评审确定的对询价通知书做出实质性响应，取得与采购人签订合同资格的供应商。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 符合本询价通知书规定的资格要求，并按照要求提供相关证明材料。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5.5由于法人分支机构不能独立承担民事责任，不能以分支机构的身份参加政府采购，只能以法人身份参加。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6.以联合体形式投标的，应符合以下规定：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color w:val="000000"/>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8.1询价通知书规定组织踏勘现场的，采购人按询价通知书规定的时间、地点组织供应商踏勘项目现场。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四.询价通知书</w:t>
      </w:r>
    </w:p>
    <w:p>
      <w:pPr>
        <w:spacing w:line="360" w:lineRule="auto"/>
        <w:ind w:firstLine="482" w:firstLineChars="200"/>
        <w:rPr>
          <w:rFonts w:ascii="宋体" w:hAnsi="宋体"/>
          <w:b/>
          <w:sz w:val="24"/>
          <w:szCs w:val="24"/>
        </w:rPr>
      </w:pPr>
      <w:r>
        <w:rPr>
          <w:rFonts w:hint="eastAsia" w:ascii="宋体" w:hAnsi="宋体"/>
          <w:b/>
          <w:sz w:val="24"/>
          <w:szCs w:val="24"/>
        </w:rPr>
        <w:t>1.询价通知书的构成</w:t>
      </w:r>
    </w:p>
    <w:p>
      <w:pPr>
        <w:spacing w:line="360" w:lineRule="auto"/>
        <w:ind w:firstLine="480" w:firstLineChars="200"/>
        <w:rPr>
          <w:rFonts w:ascii="宋体" w:hAnsi="宋体"/>
          <w:b/>
          <w:sz w:val="24"/>
          <w:szCs w:val="24"/>
        </w:rPr>
      </w:pPr>
      <w:r>
        <w:rPr>
          <w:rFonts w:hint="eastAsia" w:ascii="宋体" w:hAnsi="宋体"/>
          <w:sz w:val="24"/>
          <w:szCs w:val="24"/>
        </w:rPr>
        <w:t>（1）询价公告；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（4）询价内容和技术要求；</w:t>
      </w:r>
    </w:p>
    <w:p>
      <w:pPr>
        <w:spacing w:line="360" w:lineRule="auto"/>
        <w:ind w:firstLine="480" w:firstLineChars="200"/>
        <w:rPr>
          <w:rFonts w:ascii="宋体" w:hAnsi="宋体"/>
          <w:sz w:val="24"/>
          <w:szCs w:val="24"/>
        </w:rPr>
      </w:pPr>
      <w:r>
        <w:rPr>
          <w:rFonts w:hint="eastAsia" w:ascii="宋体" w:hAnsi="宋体"/>
          <w:sz w:val="24"/>
          <w:szCs w:val="24"/>
        </w:rPr>
        <w:t>（5）询价程序及方法；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2.询价通知书的澄清或者修改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采购人或采购代理机构需对询价通知书作实质性变动的，应当在规定的截止时间前3个工作日以公告形式告知所有参加询价的供应商，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和“鄂尔多斯市公共资源交易网”上发布澄清或者变更公告。澄清或者变更公告的内容为询价通知书的组成部分，供应商应自行上网查询，采购人或政府采购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响应文件应按照询价通知书第七章“响应文件格式”进行编写（可以增加附页），作为响应文件的组成部分。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供应商应按照“第四章询价内容与要求”的供货内容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。投标总价中不得包含询价通知书要求以外的内容，否则，在评审时不予核减。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3.3响应文件的密封。供应商</w:t>
      </w:r>
      <w:r>
        <w:rPr>
          <w:rFonts w:ascii="宋体" w:hAnsi="宋体"/>
          <w:sz w:val="24"/>
          <w:szCs w:val="24"/>
        </w:rPr>
        <w:t>应使用密封袋将</w:t>
      </w:r>
      <w:r>
        <w:rPr>
          <w:rFonts w:hint="eastAsia" w:ascii="宋体" w:hAnsi="宋体"/>
          <w:sz w:val="24"/>
          <w:szCs w:val="24"/>
        </w:rPr>
        <w:t>响应文件</w:t>
      </w:r>
      <w:r>
        <w:rPr>
          <w:rFonts w:ascii="宋体" w:hAnsi="宋体"/>
          <w:sz w:val="24"/>
          <w:szCs w:val="24"/>
        </w:rPr>
        <w:t>密封</w:t>
      </w:r>
      <w:r>
        <w:rPr>
          <w:rFonts w:hint="eastAsia" w:ascii="宋体" w:hAnsi="宋体"/>
          <w:sz w:val="24"/>
          <w:szCs w:val="24"/>
        </w:rPr>
        <w:t>，电子文档可密封至响应文件中也可单独密封。密封封面上需注明“项目名称”、“项目编号”、“分包号”、“供应商全称”和《询价通知书》或《电子版》字样，并在密封包装上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供应商按上述规定进行密封和标记后，将响应文件按照询价通知书的要求送达指定地点。如果未按上述规定进行密封和标记，政府采购中心对误投或提前启封概不负责。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4.1投标有效期从提交响应文件的截止之日起算。响应文件中承诺的投标有效期应当不少于询价通知书中载明的投标有效期。投标有效期内供应商撤销响应文件的，采购人或者采购代理机构可以不退还投标保证金。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供应商在提交响应文件的同时，应按供应商须知前附表规定的金额、开户银行、行号、开户单位、账号和询价通知书本章“报名须知”规定的投标保证金缴纳要求递交投标保证金，并作为其响应文件的组成部分。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（4）不按照询价通知书要求提交履约保证金；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（6）要求更改询价通知书和成交结果公告的实质性内容；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（8）法律法规和询价通知书规定的其他情形。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询价通知书要求签署、盖章，并作为响应文件的组成部分；补充、修改的内容与响应文件不一致的，以补充、修改的内容为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在递交响应文件截止时间后到询价通知书规定的投标有效期终止之前，供应商不得补充、修改、替代或者撤回其响应文件。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在询价通知书要求提交响应文件的截止时间之后送达的响应文件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为无效响应文件，采购单位或政府采购中心拒收。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询价通知书规定供应商提交样品的，样品属于响应文件的组成部分。样品的生产、运输、安装、保全等一切费用由供应商自理。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开标时间与投标截止时间为同一时间；开标地点为询价通知书规定的地点。邀请所有供应商的法定代表人或其授权委托人准时参加。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（7）开标结束，响应文件移交询价小组。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1.询价小组</w:t>
      </w:r>
    </w:p>
    <w:p>
      <w:pPr>
        <w:spacing w:line="360" w:lineRule="auto"/>
        <w:ind w:firstLine="480" w:firstLineChars="200"/>
        <w:rPr>
          <w:rFonts w:ascii="宋体" w:hAnsi="宋体"/>
          <w:sz w:val="24"/>
          <w:szCs w:val="24"/>
        </w:rPr>
      </w:pPr>
      <w:r>
        <w:rPr>
          <w:rFonts w:hint="eastAsia" w:ascii="宋体" w:hAnsi="宋体"/>
          <w:sz w:val="24"/>
          <w:szCs w:val="24"/>
        </w:rPr>
        <w:t>1.1询价小组由采购人代表和评审专家共3人及以上单数组成，其中评审专家人数不得少于询价小组成员总数的2/3。达到公开招标数额标准的，询价小组应当由5人及以上单数组成。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1.2询价小组成员有下列情形之一的，应当回避：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2.询价原则</w:t>
      </w:r>
    </w:p>
    <w:p>
      <w:pPr>
        <w:spacing w:line="360" w:lineRule="auto"/>
        <w:ind w:firstLine="480" w:firstLineChars="200"/>
        <w:rPr>
          <w:rFonts w:ascii="宋体" w:hAnsi="宋体"/>
          <w:sz w:val="24"/>
          <w:szCs w:val="24"/>
        </w:rPr>
      </w:pPr>
      <w:r>
        <w:rPr>
          <w:rFonts w:hint="eastAsia" w:ascii="宋体" w:hAnsi="宋体"/>
          <w:sz w:val="24"/>
          <w:szCs w:val="24"/>
        </w:rPr>
        <w:t>2.1询价活动遵循公平、公正、科学和择优的原则，以询价通知书和响应文件为询价的基本依据，并按照询价通知书规定的询价方法和询价标准进行询价。</w:t>
      </w:r>
    </w:p>
    <w:p>
      <w:pPr>
        <w:spacing w:line="360" w:lineRule="auto"/>
        <w:ind w:firstLine="480" w:firstLineChars="200"/>
        <w:rPr>
          <w:rFonts w:ascii="宋体" w:hAnsi="宋体"/>
          <w:sz w:val="24"/>
          <w:szCs w:val="24"/>
        </w:rPr>
      </w:pPr>
      <w:r>
        <w:rPr>
          <w:rFonts w:hint="eastAsia" w:ascii="宋体" w:hAnsi="宋体"/>
          <w:sz w:val="24"/>
          <w:szCs w:val="24"/>
        </w:rPr>
        <w:t>2.2询价由采购人依法组建的询价小组负责，并按询价通知书的规定确定成交供应商或者推荐成交候选人。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详见第六章评审表。经评审委员会认定，凡其中有一项不合格的，按无效投标处理。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（1）符合专业条件的供应商或者对询价通知书作实质响应的供应商不足3家；</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（5）法律、法规以及询价通知书规定其他情形。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询价小组按照询价通知书确定的询价方法、步骤、标准，对响应文件进行评审。询价结束后，对供应商的评审名次进行排序，确定成交供应商。</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w:t>
      </w:r>
      <w:r>
        <w:rPr>
          <w:rFonts w:hint="eastAsia" w:ascii="宋体" w:hAnsi="宋体"/>
          <w:sz w:val="24"/>
          <w:szCs w:val="24"/>
          <w:lang w:eastAsia="zh-CN"/>
        </w:rPr>
        <w:t>及准格尔旗公共资源交易网</w:t>
      </w:r>
      <w:r>
        <w:rPr>
          <w:rFonts w:hint="eastAsia" w:ascii="宋体" w:hAnsi="宋体"/>
          <w:sz w:val="24"/>
          <w:szCs w:val="24"/>
        </w:rPr>
        <w:t>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政府采购相关范本）（包括货物名称、生产厂家、品牌、规格、型号、数量、单位、单价及总价等）于询价结束后当天发送在政府采购中心工作人员邮箱内（</w:t>
      </w:r>
      <w:r>
        <w:fldChar w:fldCharType="begin"/>
      </w:r>
      <w:r>
        <w:instrText xml:space="preserve"> HYPERLINK "mailto:youj_0722@163.com" </w:instrText>
      </w:r>
      <w:r>
        <w:fldChar w:fldCharType="separate"/>
      </w:r>
      <w:r>
        <w:rPr>
          <w:rStyle w:val="47"/>
          <w:rFonts w:hint="eastAsia" w:ascii="宋体" w:hAnsi="宋体"/>
          <w:sz w:val="24"/>
          <w:szCs w:val="24"/>
          <w:lang w:val="en-US" w:eastAsia="zh-CN"/>
        </w:rPr>
        <w:t>1017617001@qq.</w:t>
      </w:r>
      <w:r>
        <w:rPr>
          <w:rStyle w:val="47"/>
          <w:rFonts w:hint="eastAsia" w:ascii="宋体" w:hAnsi="宋体"/>
          <w:sz w:val="24"/>
          <w:szCs w:val="24"/>
        </w:rPr>
        <w:t>com</w:t>
      </w:r>
      <w:r>
        <w:rPr>
          <w:rStyle w:val="47"/>
          <w:rFonts w:hint="eastAsia" w:ascii="宋体" w:hAnsi="宋体"/>
          <w:sz w:val="24"/>
          <w:szCs w:val="24"/>
        </w:rPr>
        <w:fldChar w:fldCharType="end"/>
      </w:r>
      <w:r>
        <w:rPr>
          <w:rFonts w:hint="eastAsia" w:ascii="宋体" w:hAnsi="宋体"/>
          <w:sz w:val="24"/>
          <w:szCs w:val="24"/>
        </w:rPr>
        <w:t>，</w:t>
      </w:r>
      <w:r>
        <w:rPr>
          <w:rFonts w:hint="eastAsia" w:ascii="宋体" w:hAnsi="宋体"/>
          <w:sz w:val="24"/>
          <w:szCs w:val="24"/>
          <w:lang w:val="en-US" w:eastAsia="zh-CN"/>
        </w:rPr>
        <w:t xml:space="preserve"> </w:t>
      </w:r>
      <w:r>
        <w:rPr>
          <w:rFonts w:hint="eastAsia" w:ascii="宋体" w:hAnsi="宋体"/>
          <w:sz w:val="24"/>
          <w:szCs w:val="24"/>
        </w:rPr>
        <w:t>，联系电话0477-</w:t>
      </w:r>
      <w:r>
        <w:rPr>
          <w:rFonts w:hint="eastAsia" w:ascii="宋体" w:hAnsi="宋体"/>
          <w:sz w:val="24"/>
          <w:szCs w:val="24"/>
          <w:lang w:val="en-US" w:eastAsia="zh-CN"/>
        </w:rPr>
        <w:t>3864233</w:t>
      </w:r>
      <w:r>
        <w:rPr>
          <w:rFonts w:hint="eastAsia" w:ascii="宋体" w:hAnsi="宋体"/>
          <w:sz w:val="24"/>
          <w:szCs w:val="24"/>
        </w:rPr>
        <w:t>），并在邮件标题注明项目名称及成交单位名称。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w:t>
      </w:r>
      <w:r>
        <w:rPr>
          <w:rFonts w:hint="eastAsia" w:ascii="宋体" w:hAnsi="宋体"/>
          <w:sz w:val="24"/>
          <w:szCs w:val="24"/>
          <w:lang w:eastAsia="zh-CN"/>
        </w:rPr>
        <w:t>准格尔旗公共资源交易</w:t>
      </w:r>
      <w:r>
        <w:rPr>
          <w:rFonts w:hint="eastAsia" w:ascii="宋体" w:hAnsi="宋体"/>
          <w:sz w:val="24"/>
          <w:szCs w:val="24"/>
        </w:rPr>
        <w:t>中心</w:t>
      </w:r>
      <w:r>
        <w:rPr>
          <w:rFonts w:hint="eastAsia" w:ascii="宋体" w:hAnsi="宋体"/>
          <w:sz w:val="24"/>
          <w:szCs w:val="24"/>
          <w:lang w:val="en-US" w:eastAsia="zh-CN"/>
        </w:rPr>
        <w:t>204室</w:t>
      </w:r>
      <w:r>
        <w:rPr>
          <w:rFonts w:hint="eastAsia" w:ascii="宋体" w:hAnsi="宋体"/>
          <w:sz w:val="24"/>
          <w:szCs w:val="24"/>
        </w:rPr>
        <w:t>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询问内容以书面材料的形式亲自递交到政府采购中心，正式受理后方可生效，否则，为无效询问。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pStyle w:val="24"/>
        <w:adjustRightInd w:val="0"/>
        <w:snapToGrid w:val="0"/>
        <w:spacing w:line="360" w:lineRule="auto"/>
        <w:ind w:firstLine="480" w:firstLineChars="200"/>
        <w:rPr>
          <w:rFonts w:hAnsi="宋体"/>
          <w:sz w:val="24"/>
          <w:szCs w:val="24"/>
        </w:rPr>
      </w:pPr>
      <w:r>
        <w:rPr>
          <w:rFonts w:hint="eastAsia" w:hAnsi="宋体"/>
          <w:sz w:val="24"/>
          <w:szCs w:val="24"/>
        </w:rPr>
        <w:t>2.1供应商认为采购文件使自己的权益受到损害的，应当在询价通知书公告期满之日前提出书面质疑，采购人或采购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cs="宋体"/>
          <w:sz w:val="24"/>
          <w:szCs w:val="24"/>
          <w:lang w:val="zh-CN"/>
        </w:rPr>
        <w:t>2.2</w:t>
      </w:r>
      <w:r>
        <w:rPr>
          <w:rFonts w:hint="eastAsia" w:ascii="宋体" w:hAnsi="宋体" w:cs="宋体"/>
          <w:sz w:val="24"/>
          <w:szCs w:val="24"/>
        </w:rPr>
        <w:t>供应商对采购过程提出质疑的，可以在各采购程序环节结束之日，以书面形式向采购人或采购中心提出质疑。采购人或采购中心应当在收到供应商的书面质疑后</w:t>
      </w:r>
      <w:r>
        <w:rPr>
          <w:rFonts w:ascii="宋体" w:hAnsi="宋体" w:cs="宋体"/>
          <w:sz w:val="24"/>
          <w:szCs w:val="24"/>
        </w:rPr>
        <w:t>7</w:t>
      </w:r>
      <w:r>
        <w:rPr>
          <w:rFonts w:hint="eastAsia" w:ascii="宋体" w:hAnsi="宋体" w:cs="宋体"/>
          <w:sz w:val="24"/>
          <w:szCs w:val="24"/>
        </w:rPr>
        <w:t>个工作日内做出书面答复，但答复的内容不得涉及商业秘密。</w:t>
      </w:r>
    </w:p>
    <w:p>
      <w:pPr>
        <w:spacing w:line="360" w:lineRule="auto"/>
        <w:ind w:firstLine="480" w:firstLineChars="200"/>
        <w:rPr>
          <w:rFonts w:ascii="宋体" w:hAnsi="宋体" w:cs="宋体"/>
          <w:sz w:val="24"/>
          <w:szCs w:val="24"/>
        </w:rPr>
      </w:pPr>
      <w:r>
        <w:rPr>
          <w:rFonts w:hint="eastAsia" w:ascii="宋体" w:hAnsi="宋体" w:cs="宋体"/>
          <w:sz w:val="24"/>
          <w:szCs w:val="24"/>
        </w:rPr>
        <w:t>2.3供应商认为成交结果使自己的权益受到损害的，应当在成交结果公告期满之日前提出质疑，采购人或采购中心应当在收到供应商的书面质疑后7个工作日内做出书面答复，但答复的内容不得涉及商业秘密。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2.4供应商提出的质疑超出采购人对采购中心委托授权范围的，采购中心应当告知其向采购人提出。</w:t>
      </w:r>
    </w:p>
    <w:p>
      <w:pPr>
        <w:spacing w:line="360" w:lineRule="auto"/>
        <w:ind w:firstLine="480" w:firstLineChars="200"/>
        <w:rPr>
          <w:rFonts w:ascii="宋体" w:hAnsi="宋体"/>
          <w:sz w:val="24"/>
          <w:szCs w:val="24"/>
        </w:rPr>
      </w:pPr>
      <w:r>
        <w:rPr>
          <w:rFonts w:hint="eastAsia" w:ascii="宋体" w:hAnsi="宋体"/>
          <w:sz w:val="24"/>
          <w:szCs w:val="24"/>
        </w:rPr>
        <w:t>2.5询问或者质疑事项可能影响成交结果的，采购人应当暂停签订合同，已经签订合同的，应当中止履行合同。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2.6为了使提出的质疑事项在规定时间内得到有效答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2.7递交的质疑函务必提供以下信息和内容：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（3）具体的质疑事项和理由及合法有效的证明材料；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（4）质疑人的签章及提出质疑的日期。</w:t>
      </w:r>
    </w:p>
    <w:p>
      <w:pPr>
        <w:spacing w:line="360" w:lineRule="auto"/>
        <w:ind w:firstLine="480" w:firstLineChars="200"/>
        <w:rPr>
          <w:rFonts w:ascii="宋体" w:hAnsi="宋体"/>
          <w:sz w:val="24"/>
          <w:szCs w:val="24"/>
        </w:rPr>
      </w:pPr>
      <w:r>
        <w:rPr>
          <w:rFonts w:hint="eastAsia" w:ascii="宋体" w:hAnsi="宋体"/>
          <w:sz w:val="24"/>
          <w:szCs w:val="24"/>
        </w:rPr>
        <w:t>注：除亲自送达书面质疑书式外，其他任何方式的质疑，采购人或政府采购中心均不予受理。供应商询问、质疑应当有明确的请求和必要的证明材料。</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r>
        <w:rPr>
          <w:rFonts w:ascii="宋体" w:hAnsi="宋体"/>
          <w:sz w:val="24"/>
          <w:szCs w:val="24"/>
        </w:rPr>
        <w:br w:type="page"/>
      </w:r>
    </w:p>
    <w:bookmarkEnd w:id="2"/>
    <w:bookmarkEnd w:id="3"/>
    <w:p>
      <w:pPr>
        <w:pStyle w:val="41"/>
        <w:spacing w:line="360" w:lineRule="auto"/>
        <w:rPr>
          <w:rFonts w:ascii="宋体" w:hAnsi="宋体" w:eastAsia="宋体" w:cs="宋体"/>
          <w:sz w:val="24"/>
          <w:szCs w:val="24"/>
        </w:rPr>
      </w:pPr>
      <w:bookmarkStart w:id="6" w:name="_Toc494546020"/>
      <w:bookmarkStart w:id="7" w:name="_Toc497408480"/>
      <w:r>
        <w:rPr>
          <w:rFonts w:hint="eastAsia" w:ascii="宋体" w:hAnsi="宋体" w:eastAsia="宋体" w:cs="宋体"/>
          <w:bCs w:val="0"/>
          <w:sz w:val="24"/>
          <w:szCs w:val="24"/>
        </w:rPr>
        <w:t>第三章 合同与验收</w:t>
      </w:r>
      <w:bookmarkEnd w:id="6"/>
      <w:bookmarkEnd w:id="7"/>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1.1采购人应当自中标通知书发出之日起30日内，按照询价通知书和中标人响应文件的规定，与中标人签订书面合同。所签订的合同不得对询价通知书确定的事项和中标人响应文件作实质性修改。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w:t>
      </w:r>
      <w:r>
        <w:rPr>
          <w:rFonts w:hint="eastAsia" w:ascii="宋体" w:hAnsi="宋体"/>
          <w:sz w:val="24"/>
          <w:szCs w:val="24"/>
          <w:lang w:val="en-US" w:eastAsia="zh-CN"/>
        </w:rPr>
        <w:t xml:space="preserve"> </w:t>
      </w:r>
      <w:r>
        <w:rPr>
          <w:rFonts w:hint="eastAsia" w:ascii="宋体" w:hAnsi="宋体"/>
          <w:sz w:val="24"/>
          <w:szCs w:val="24"/>
        </w:rPr>
        <w:t>联系电话：0477-</w:t>
      </w:r>
      <w:r>
        <w:rPr>
          <w:rFonts w:hint="eastAsia" w:ascii="宋体" w:hAnsi="宋体"/>
          <w:sz w:val="24"/>
          <w:szCs w:val="24"/>
          <w:lang w:val="en-US" w:eastAsia="zh-CN"/>
        </w:rPr>
        <w:t>3864233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2.1具体格式见本询价通知书后附拟签订的《合同文本》（部分合同条款），响应文件中可以不提供《合同文本》。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中标人在供货、工程竣工或服务结束后，采购人应及时组织验收，并按照询价通知书、响应文件及合同约定填写验收单（下载地址：鄂尔多斯市公共资源交易网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w:t>
      </w:r>
      <w:r>
        <w:rPr>
          <w:rFonts w:hint="eastAsia" w:ascii="宋体" w:hAnsi="宋体"/>
          <w:sz w:val="24"/>
          <w:szCs w:val="24"/>
          <w:lang w:val="en-US" w:eastAsia="zh-CN"/>
        </w:rPr>
        <w:t xml:space="preserve"> </w:t>
      </w:r>
      <w:r>
        <w:rPr>
          <w:rFonts w:hint="eastAsia" w:ascii="宋体" w:hAnsi="宋体"/>
          <w:sz w:val="24"/>
          <w:szCs w:val="24"/>
        </w:rPr>
        <w:t>联系电话：0477-</w:t>
      </w:r>
      <w:r>
        <w:rPr>
          <w:rFonts w:hint="eastAsia" w:ascii="宋体" w:hAnsi="宋体"/>
          <w:sz w:val="24"/>
          <w:szCs w:val="24"/>
          <w:lang w:val="en-US" w:eastAsia="zh-CN"/>
        </w:rPr>
        <w:t>3864233</w:t>
      </w:r>
      <w:r>
        <w:rPr>
          <w:rFonts w:hint="eastAsia" w:ascii="宋体" w:hAnsi="宋体"/>
          <w:sz w:val="24"/>
          <w:szCs w:val="24"/>
        </w:rPr>
        <w:t xml:space="preserve"> ）存档。逾期未验收或未按时交回验收单，将按照相关法律法规做出相应处罚。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3、询价通知书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***（见询价通知书第四章）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日内负责处理。甲方逾期提出的，对所交标的物视为符合合同的规定。如果乙方在响应文件及询价过程中做出的书面说明及承诺中，有明确质量保证期的，适用质量保证期。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（一）乙方应按询价通知书、响应文件及乙方在询价过程中做出的书面说明或承诺提供及时、快速、优质的售后服务。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准格尔旗公共资源交易</w:t>
      </w:r>
      <w:r>
        <w:rPr>
          <w:rFonts w:hint="eastAsia" w:asciiTheme="minorEastAsia" w:hAnsiTheme="minorEastAsia" w:eastAsiaTheme="minorEastAsia"/>
          <w:sz w:val="24"/>
          <w:szCs w:val="24"/>
        </w:rPr>
        <w:t>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24"/>
        <w:spacing w:line="360" w:lineRule="auto"/>
        <w:ind w:left="56" w:leftChars="20" w:right="57" w:firstLine="6076" w:firstLineChars="2532"/>
        <w:rPr>
          <w:rFonts w:hAnsi="宋体"/>
          <w:sz w:val="24"/>
          <w:szCs w:val="24"/>
        </w:rPr>
      </w:pPr>
    </w:p>
    <w:p>
      <w:pPr>
        <w:widowControl/>
        <w:jc w:val="left"/>
        <w:rPr>
          <w:rFonts w:ascii="宋体" w:hAnsi="宋体"/>
          <w:sz w:val="24"/>
          <w:szCs w:val="24"/>
          <w:lang w:val="zh-CN"/>
        </w:rPr>
      </w:pPr>
      <w:r>
        <w:rPr>
          <w:rFonts w:ascii="宋体" w:hAnsi="宋体"/>
          <w:sz w:val="24"/>
          <w:szCs w:val="24"/>
          <w:lang w:val="zh-CN"/>
        </w:rPr>
        <w:br w:type="page"/>
      </w:r>
    </w:p>
    <w:p>
      <w:pPr>
        <w:pStyle w:val="2"/>
        <w:spacing w:before="120" w:beforeLines="50" w:after="120" w:afterLines="50" w:line="440" w:lineRule="exact"/>
        <w:rPr>
          <w:color w:val="000000"/>
        </w:rPr>
      </w:pPr>
      <w:bookmarkStart w:id="8" w:name="_Toc422403368"/>
      <w:bookmarkStart w:id="9" w:name="_Toc17482"/>
      <w:bookmarkStart w:id="10" w:name="_Toc397088603"/>
      <w:bookmarkStart w:id="11" w:name="_Toc303801500"/>
      <w:r>
        <w:rPr>
          <w:rFonts w:hint="eastAsia"/>
          <w:color w:val="000000"/>
        </w:rPr>
        <w:t>第四章 招标内容与技术要求</w:t>
      </w:r>
      <w:bookmarkEnd w:id="8"/>
      <w:bookmarkEnd w:id="9"/>
    </w:p>
    <w:p>
      <w:pPr>
        <w:pStyle w:val="3"/>
        <w:spacing w:before="120" w:beforeLines="50" w:after="120" w:afterLines="50" w:line="440" w:lineRule="exact"/>
        <w:rPr>
          <w:rFonts w:ascii="宋体" w:hAnsi="宋体" w:eastAsia="宋体"/>
          <w:color w:val="000000"/>
          <w:sz w:val="28"/>
          <w:szCs w:val="28"/>
        </w:rPr>
      </w:pPr>
      <w:bookmarkStart w:id="12" w:name="_Toc422403369"/>
      <w:bookmarkStart w:id="13" w:name="_Toc26269"/>
      <w:r>
        <w:rPr>
          <w:rFonts w:hint="eastAsia" w:ascii="宋体" w:hAnsi="宋体" w:eastAsia="宋体"/>
          <w:color w:val="000000"/>
          <w:sz w:val="30"/>
          <w:szCs w:val="30"/>
        </w:rPr>
        <w:t>一、项目说明</w:t>
      </w:r>
      <w:bookmarkEnd w:id="12"/>
      <w:bookmarkEnd w:id="13"/>
    </w:p>
    <w:p>
      <w:pPr>
        <w:spacing w:line="440" w:lineRule="exact"/>
        <w:ind w:firstLine="360" w:firstLineChars="150"/>
        <w:rPr>
          <w:rFonts w:ascii="宋体" w:hAnsi="宋体"/>
          <w:color w:val="000000"/>
          <w:sz w:val="24"/>
          <w:szCs w:val="24"/>
        </w:rPr>
      </w:pPr>
      <w:r>
        <w:rPr>
          <w:rFonts w:hint="eastAsia" w:ascii="宋体" w:hAnsi="宋体"/>
          <w:color w:val="000000"/>
          <w:sz w:val="24"/>
          <w:szCs w:val="24"/>
        </w:rPr>
        <w:t>（一）项目基本情况：本项目分为一整包。</w:t>
      </w:r>
    </w:p>
    <w:p>
      <w:pPr>
        <w:pStyle w:val="40"/>
        <w:snapToGrid w:val="0"/>
        <w:spacing w:before="0" w:beforeAutospacing="0" w:after="0" w:afterAutospacing="0" w:line="440" w:lineRule="exact"/>
        <w:ind w:firstLine="360" w:firstLineChars="150"/>
        <w:rPr>
          <w:rFonts w:hint="eastAsia" w:eastAsia="宋体"/>
          <w:color w:val="000000"/>
          <w:kern w:val="2"/>
          <w:lang w:eastAsia="zh-CN"/>
        </w:rPr>
      </w:pPr>
      <w:r>
        <w:rPr>
          <w:rFonts w:hint="eastAsia"/>
          <w:color w:val="0000FF"/>
          <w:kern w:val="2"/>
        </w:rPr>
        <w:t>（</w:t>
      </w:r>
      <w:r>
        <w:rPr>
          <w:rFonts w:hint="eastAsia"/>
          <w:color w:val="000000"/>
          <w:kern w:val="2"/>
        </w:rPr>
        <w:t>二）交货期：合同签订后30日内供货</w:t>
      </w:r>
      <w:r>
        <w:rPr>
          <w:rFonts w:hint="eastAsia"/>
          <w:color w:val="000000"/>
          <w:kern w:val="2"/>
          <w:lang w:val="en-US" w:eastAsia="zh-CN"/>
        </w:rPr>
        <w:t xml:space="preserve"> </w:t>
      </w:r>
    </w:p>
    <w:p>
      <w:pPr>
        <w:pStyle w:val="40"/>
        <w:snapToGrid w:val="0"/>
        <w:spacing w:before="0" w:beforeAutospacing="0" w:after="0" w:afterAutospacing="0" w:line="440" w:lineRule="exact"/>
        <w:ind w:firstLine="360" w:firstLineChars="150"/>
        <w:rPr>
          <w:color w:val="000000"/>
          <w:kern w:val="2"/>
        </w:rPr>
      </w:pPr>
      <w:r>
        <w:rPr>
          <w:rFonts w:hint="eastAsia"/>
          <w:color w:val="000000"/>
          <w:kern w:val="2"/>
        </w:rPr>
        <w:t>（三）交货地点：采购人指定的地点；</w:t>
      </w:r>
    </w:p>
    <w:p>
      <w:pPr>
        <w:spacing w:line="440" w:lineRule="exact"/>
        <w:ind w:firstLine="360" w:firstLineChars="150"/>
        <w:jc w:val="left"/>
        <w:rPr>
          <w:rFonts w:ascii="宋体" w:hAnsi="宋体"/>
          <w:color w:val="000000"/>
          <w:sz w:val="24"/>
          <w:szCs w:val="24"/>
        </w:rPr>
      </w:pPr>
      <w:r>
        <w:rPr>
          <w:rFonts w:hint="eastAsia" w:ascii="宋体" w:hAnsi="宋体"/>
          <w:color w:val="000000"/>
          <w:sz w:val="24"/>
          <w:szCs w:val="24"/>
        </w:rPr>
        <w:t>（四）付款方式：货到安装调试完毕验收合格后付合同的</w:t>
      </w:r>
      <w:r>
        <w:rPr>
          <w:rFonts w:hint="eastAsia" w:ascii="宋体" w:hAnsi="宋体"/>
          <w:color w:val="000000"/>
          <w:sz w:val="24"/>
          <w:szCs w:val="24"/>
          <w:lang w:val="en-US" w:eastAsia="zh-CN"/>
        </w:rPr>
        <w:t>60</w:t>
      </w:r>
      <w:r>
        <w:rPr>
          <w:rFonts w:hint="eastAsia" w:ascii="宋体" w:hAnsi="宋体"/>
          <w:color w:val="000000"/>
          <w:sz w:val="24"/>
          <w:szCs w:val="24"/>
        </w:rPr>
        <w:t>%；三月内付</w:t>
      </w:r>
      <w:r>
        <w:rPr>
          <w:rFonts w:hint="eastAsia" w:ascii="宋体" w:hAnsi="宋体"/>
          <w:color w:val="000000"/>
          <w:sz w:val="24"/>
          <w:szCs w:val="24"/>
          <w:lang w:val="en-US" w:eastAsia="zh-CN"/>
        </w:rPr>
        <w:t xml:space="preserve"> 30</w:t>
      </w:r>
      <w:r>
        <w:rPr>
          <w:rFonts w:hint="eastAsia" w:ascii="宋体" w:hAnsi="宋体"/>
          <w:color w:val="000000"/>
          <w:sz w:val="24"/>
          <w:szCs w:val="24"/>
        </w:rPr>
        <w:t>%</w:t>
      </w:r>
      <w:r>
        <w:rPr>
          <w:rFonts w:hint="eastAsia" w:ascii="宋体" w:hAnsi="宋体"/>
          <w:color w:val="000000"/>
          <w:sz w:val="24"/>
          <w:szCs w:val="24"/>
          <w:lang w:val="en-US" w:eastAsia="zh-CN"/>
        </w:rPr>
        <w:t xml:space="preserve"> ，剩余10%质保期满后付清</w:t>
      </w:r>
      <w:r>
        <w:rPr>
          <w:rFonts w:hint="eastAsia" w:ascii="宋体" w:hAnsi="宋体"/>
          <w:color w:val="000000"/>
          <w:sz w:val="24"/>
          <w:szCs w:val="24"/>
        </w:rPr>
        <w:t>。</w:t>
      </w:r>
    </w:p>
    <w:p>
      <w:pPr>
        <w:spacing w:line="440" w:lineRule="exact"/>
        <w:ind w:firstLine="360" w:firstLineChars="150"/>
        <w:jc w:val="left"/>
        <w:rPr>
          <w:rFonts w:ascii="宋体" w:hAnsi="宋体"/>
          <w:color w:val="000000"/>
          <w:sz w:val="30"/>
          <w:szCs w:val="30"/>
        </w:rPr>
      </w:pPr>
      <w:r>
        <w:rPr>
          <w:rFonts w:hint="eastAsia" w:ascii="宋体" w:hAnsi="宋体"/>
          <w:color w:val="000000"/>
          <w:sz w:val="24"/>
          <w:szCs w:val="24"/>
        </w:rPr>
        <w:t>（五）质保期：</w:t>
      </w:r>
      <w:bookmarkStart w:id="14" w:name="_Toc422403370"/>
      <w:bookmarkStart w:id="15" w:name="_Toc12434"/>
      <w:r>
        <w:rPr>
          <w:rFonts w:hint="eastAsia" w:ascii="宋体" w:hAnsi="宋体"/>
          <w:color w:val="000000"/>
          <w:sz w:val="24"/>
          <w:szCs w:val="24"/>
        </w:rPr>
        <w:t>产品质保期要求为</w:t>
      </w:r>
      <w:r>
        <w:rPr>
          <w:rFonts w:ascii="宋体" w:hAnsi="宋体"/>
          <w:color w:val="000000"/>
          <w:sz w:val="24"/>
          <w:szCs w:val="24"/>
        </w:rPr>
        <w:t>1</w:t>
      </w:r>
      <w:r>
        <w:rPr>
          <w:rFonts w:hint="eastAsia" w:ascii="宋体" w:hAnsi="宋体"/>
          <w:color w:val="000000"/>
          <w:sz w:val="24"/>
          <w:szCs w:val="24"/>
        </w:rPr>
        <w:t>年。</w:t>
      </w:r>
    </w:p>
    <w:p>
      <w:pPr>
        <w:pStyle w:val="3"/>
        <w:spacing w:before="10" w:after="10" w:line="440" w:lineRule="exact"/>
        <w:rPr>
          <w:rFonts w:ascii="宋体" w:hAnsi="宋体" w:eastAsia="宋体"/>
          <w:color w:val="000000"/>
          <w:sz w:val="30"/>
          <w:szCs w:val="30"/>
        </w:rPr>
      </w:pPr>
      <w:r>
        <w:rPr>
          <w:rFonts w:hint="eastAsia" w:ascii="宋体" w:hAnsi="宋体" w:eastAsia="宋体"/>
          <w:color w:val="000000"/>
          <w:sz w:val="30"/>
          <w:szCs w:val="30"/>
        </w:rPr>
        <w:t>二</w:t>
      </w:r>
      <w:bookmarkEnd w:id="14"/>
      <w:r>
        <w:rPr>
          <w:rFonts w:hint="eastAsia" w:ascii="宋体" w:hAnsi="宋体" w:eastAsia="宋体"/>
          <w:color w:val="000000"/>
          <w:sz w:val="30"/>
          <w:szCs w:val="30"/>
        </w:rPr>
        <w:t>、技术参数与配置要求</w:t>
      </w:r>
      <w:bookmarkEnd w:id="15"/>
    </w:p>
    <w:tbl>
      <w:tblPr>
        <w:tblStyle w:val="49"/>
        <w:tblW w:w="9090"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vAlign w:val="top"/>
          </w:tcPr>
          <w:p>
            <w:pPr>
              <w:tabs>
                <w:tab w:val="left" w:pos="7920"/>
                <w:tab w:val="left" w:pos="8280"/>
              </w:tabs>
              <w:jc w:val="center"/>
              <w:rPr>
                <w:rFonts w:hint="eastAsia"/>
              </w:rPr>
            </w:pPr>
            <w:r>
              <w:rPr>
                <w:rFonts w:hint="eastAsia"/>
              </w:rPr>
              <w:t>序号</w:t>
            </w:r>
          </w:p>
        </w:tc>
        <w:tc>
          <w:tcPr>
            <w:tcW w:w="7938" w:type="dxa"/>
            <w:vAlign w:val="top"/>
          </w:tcPr>
          <w:p>
            <w:pPr>
              <w:tabs>
                <w:tab w:val="left" w:pos="7920"/>
                <w:tab w:val="left" w:pos="8280"/>
              </w:tabs>
              <w:jc w:val="center"/>
              <w:rPr>
                <w:rFonts w:hint="eastAsia"/>
              </w:rPr>
            </w:pPr>
            <w:r>
              <w:rPr>
                <w:rFonts w:hint="eastAsia"/>
              </w:rPr>
              <w:t>技术响应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vAlign w:val="top"/>
          </w:tcPr>
          <w:p>
            <w:pPr>
              <w:tabs>
                <w:tab w:val="left" w:pos="7920"/>
                <w:tab w:val="left" w:pos="8280"/>
              </w:tabs>
              <w:rPr>
                <w:rFonts w:hint="eastAsia"/>
              </w:rPr>
            </w:pPr>
            <w:r>
              <w:rPr>
                <w:rFonts w:hint="eastAsia"/>
              </w:rPr>
              <w:t>1.1</w:t>
            </w:r>
          </w:p>
          <w:p>
            <w:pPr>
              <w:tabs>
                <w:tab w:val="left" w:pos="7920"/>
                <w:tab w:val="left" w:pos="8280"/>
              </w:tabs>
              <w:rPr>
                <w:rFonts w:hint="eastAsia"/>
              </w:rPr>
            </w:pPr>
          </w:p>
          <w:p>
            <w:pPr>
              <w:tabs>
                <w:tab w:val="left" w:pos="7920"/>
                <w:tab w:val="left" w:pos="8280"/>
              </w:tabs>
              <w:rPr>
                <w:rFonts w:hint="eastAsia"/>
              </w:rPr>
            </w:pPr>
            <w:r>
              <w:rPr>
                <w:rFonts w:hint="eastAsia"/>
              </w:rPr>
              <w:t>1.2</w:t>
            </w:r>
          </w:p>
          <w:p>
            <w:pPr>
              <w:tabs>
                <w:tab w:val="left" w:pos="7920"/>
                <w:tab w:val="left" w:pos="8280"/>
              </w:tabs>
              <w:rPr>
                <w:rFonts w:hint="eastAsia"/>
              </w:rPr>
            </w:pPr>
          </w:p>
          <w:p>
            <w:pPr>
              <w:tabs>
                <w:tab w:val="left" w:pos="7920"/>
                <w:tab w:val="left" w:pos="8280"/>
              </w:tabs>
              <w:rPr>
                <w:rFonts w:hint="eastAsia"/>
              </w:rPr>
            </w:pPr>
            <w:r>
              <w:rPr>
                <w:rFonts w:hint="eastAsia"/>
              </w:rPr>
              <w:t>1.3</w:t>
            </w:r>
          </w:p>
          <w:p>
            <w:pPr>
              <w:tabs>
                <w:tab w:val="left" w:pos="7920"/>
                <w:tab w:val="left" w:pos="8280"/>
              </w:tabs>
              <w:rPr>
                <w:rFonts w:hint="eastAsia"/>
              </w:rPr>
            </w:pPr>
          </w:p>
          <w:p>
            <w:pPr>
              <w:tabs>
                <w:tab w:val="left" w:pos="7920"/>
                <w:tab w:val="left" w:pos="8280"/>
              </w:tabs>
              <w:rPr>
                <w:rFonts w:hint="eastAsia"/>
              </w:rPr>
            </w:pPr>
            <w:r>
              <w:rPr>
                <w:rFonts w:hint="eastAsia"/>
              </w:rPr>
              <w:t>1.4</w:t>
            </w:r>
          </w:p>
          <w:p>
            <w:pPr>
              <w:tabs>
                <w:tab w:val="left" w:pos="7920"/>
                <w:tab w:val="left" w:pos="8280"/>
              </w:tabs>
              <w:rPr>
                <w:rFonts w:hint="eastAsia"/>
              </w:rPr>
            </w:pPr>
          </w:p>
          <w:p>
            <w:pPr>
              <w:tabs>
                <w:tab w:val="left" w:pos="7920"/>
                <w:tab w:val="left" w:pos="8280"/>
              </w:tabs>
              <w:rPr>
                <w:rFonts w:hint="eastAsia"/>
              </w:rPr>
            </w:pPr>
            <w:r>
              <w:rPr>
                <w:rFonts w:hint="eastAsia"/>
              </w:rPr>
              <w:t>1.5</w:t>
            </w:r>
          </w:p>
          <w:p>
            <w:pPr>
              <w:tabs>
                <w:tab w:val="left" w:pos="7920"/>
                <w:tab w:val="left" w:pos="8280"/>
              </w:tabs>
              <w:rPr>
                <w:rFonts w:hint="eastAsia"/>
              </w:rPr>
            </w:pPr>
          </w:p>
          <w:p>
            <w:pPr>
              <w:tabs>
                <w:tab w:val="left" w:pos="7920"/>
                <w:tab w:val="left" w:pos="8280"/>
              </w:tabs>
              <w:rPr>
                <w:rFonts w:hint="eastAsia"/>
              </w:rPr>
            </w:pPr>
            <w:r>
              <w:rPr>
                <w:rFonts w:hint="eastAsia"/>
              </w:rPr>
              <w:t>1.6</w:t>
            </w:r>
          </w:p>
          <w:p>
            <w:pPr>
              <w:tabs>
                <w:tab w:val="left" w:pos="7920"/>
                <w:tab w:val="left" w:pos="8280"/>
              </w:tabs>
              <w:rPr>
                <w:rFonts w:hint="eastAsia"/>
              </w:rPr>
            </w:pPr>
          </w:p>
          <w:p>
            <w:pPr>
              <w:tabs>
                <w:tab w:val="left" w:pos="7920"/>
                <w:tab w:val="left" w:pos="8280"/>
              </w:tabs>
              <w:rPr>
                <w:rFonts w:hint="eastAsia"/>
              </w:rPr>
            </w:pPr>
            <w:r>
              <w:rPr>
                <w:rFonts w:hint="eastAsia"/>
              </w:rPr>
              <w:t>1.7</w:t>
            </w: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r>
              <w:rPr>
                <w:rFonts w:hint="eastAsia"/>
              </w:rPr>
              <w:t>1.8</w:t>
            </w: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r>
              <w:rPr>
                <w:rFonts w:hint="eastAsia"/>
              </w:rPr>
              <w:t>1.9</w:t>
            </w:r>
          </w:p>
          <w:p>
            <w:pPr>
              <w:tabs>
                <w:tab w:val="left" w:pos="7920"/>
                <w:tab w:val="left" w:pos="8280"/>
              </w:tabs>
              <w:rPr>
                <w:rFonts w:hint="eastAsia"/>
              </w:rPr>
            </w:pPr>
          </w:p>
          <w:p>
            <w:pPr>
              <w:tabs>
                <w:tab w:val="left" w:pos="7920"/>
                <w:tab w:val="left" w:pos="8280"/>
              </w:tabs>
              <w:rPr>
                <w:rFonts w:hint="eastAsia"/>
              </w:rPr>
            </w:pPr>
            <w:r>
              <w:rPr>
                <w:rFonts w:hint="eastAsia"/>
              </w:rPr>
              <w:t>1.10</w:t>
            </w:r>
          </w:p>
          <w:p>
            <w:pPr>
              <w:tabs>
                <w:tab w:val="left" w:pos="7920"/>
                <w:tab w:val="left" w:pos="8280"/>
              </w:tabs>
              <w:rPr>
                <w:rFonts w:hint="eastAsia"/>
              </w:rPr>
            </w:pPr>
            <w:r>
              <w:rPr>
                <w:rFonts w:hint="eastAsia"/>
              </w:rPr>
              <w:t>1.11</w:t>
            </w: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r>
              <w:rPr>
                <w:rFonts w:hint="eastAsia"/>
              </w:rPr>
              <w:t>1.12</w:t>
            </w:r>
          </w:p>
          <w:p>
            <w:pPr>
              <w:tabs>
                <w:tab w:val="left" w:pos="7920"/>
                <w:tab w:val="left" w:pos="8280"/>
              </w:tabs>
              <w:rPr>
                <w:rFonts w:hint="eastAsia"/>
              </w:rPr>
            </w:pPr>
          </w:p>
          <w:p>
            <w:pPr>
              <w:tabs>
                <w:tab w:val="left" w:pos="7920"/>
                <w:tab w:val="left" w:pos="8280"/>
              </w:tabs>
              <w:rPr>
                <w:rFonts w:hint="eastAsia"/>
              </w:rPr>
            </w:pPr>
          </w:p>
          <w:p>
            <w:pPr>
              <w:tabs>
                <w:tab w:val="left" w:pos="7920"/>
                <w:tab w:val="left" w:pos="8280"/>
              </w:tabs>
              <w:rPr>
                <w:rFonts w:hint="eastAsia"/>
              </w:rPr>
            </w:pPr>
            <w:r>
              <w:rPr>
                <w:rFonts w:hint="eastAsia"/>
              </w:rPr>
              <w:t>1.13</w:t>
            </w:r>
          </w:p>
          <w:p>
            <w:pPr>
              <w:tabs>
                <w:tab w:val="left" w:pos="7920"/>
                <w:tab w:val="left" w:pos="8280"/>
              </w:tabs>
              <w:rPr>
                <w:rFonts w:hint="eastAsia"/>
              </w:rPr>
            </w:pPr>
          </w:p>
          <w:p>
            <w:pPr>
              <w:tabs>
                <w:tab w:val="left" w:pos="7920"/>
                <w:tab w:val="left" w:pos="8280"/>
              </w:tabs>
              <w:rPr>
                <w:rFonts w:hint="eastAsia"/>
              </w:rPr>
            </w:pPr>
          </w:p>
        </w:tc>
        <w:tc>
          <w:tcPr>
            <w:tcW w:w="7938" w:type="dxa"/>
            <w:vAlign w:val="top"/>
          </w:tcPr>
          <w:p>
            <w:pPr>
              <w:tabs>
                <w:tab w:val="left" w:pos="7920"/>
                <w:tab w:val="left" w:pos="8280"/>
              </w:tabs>
              <w:rPr>
                <w:rFonts w:hint="eastAsia"/>
              </w:rPr>
            </w:pPr>
            <w:r>
              <w:rPr>
                <w:rFonts w:hint="eastAsia"/>
              </w:rPr>
              <w:t>摄影方式：包括自动摄影和手动摄影</w:t>
            </w:r>
          </w:p>
          <w:p>
            <w:pPr>
              <w:tabs>
                <w:tab w:val="left" w:pos="7920"/>
                <w:tab w:val="left" w:pos="8280"/>
              </w:tabs>
              <w:rPr>
                <w:rFonts w:hint="eastAsia"/>
              </w:rPr>
            </w:pPr>
          </w:p>
          <w:p>
            <w:pPr>
              <w:tabs>
                <w:tab w:val="left" w:pos="7920"/>
                <w:tab w:val="left" w:pos="8280"/>
              </w:tabs>
              <w:rPr>
                <w:rFonts w:hint="eastAsia" w:ascii="宋体" w:hAnsi="宋体"/>
              </w:rPr>
            </w:pPr>
            <w:r>
              <w:rPr>
                <w:rFonts w:hint="eastAsia" w:ascii="宋体" w:hAnsi="宋体"/>
              </w:rPr>
              <w:t>内置</w:t>
            </w:r>
            <w:r>
              <w:rPr>
                <w:rFonts w:ascii="宋体" w:hAnsi="宋体"/>
              </w:rPr>
              <w:t xml:space="preserve"> CCD </w:t>
            </w:r>
            <w:r>
              <w:rPr>
                <w:rFonts w:hint="eastAsia" w:ascii="宋体" w:hAnsi="宋体"/>
              </w:rPr>
              <w:t>成像敏感元件照相机</w:t>
            </w:r>
          </w:p>
          <w:p>
            <w:pPr>
              <w:tabs>
                <w:tab w:val="left" w:pos="7920"/>
                <w:tab w:val="left" w:pos="8280"/>
              </w:tabs>
              <w:rPr>
                <w:rFonts w:hint="eastAsia"/>
              </w:rPr>
            </w:pPr>
          </w:p>
          <w:p>
            <w:pPr>
              <w:tabs>
                <w:tab w:val="left" w:pos="7920"/>
                <w:tab w:val="left" w:pos="8280"/>
              </w:tabs>
              <w:rPr>
                <w:rFonts w:hint="eastAsia"/>
                <w:u w:val="single"/>
              </w:rPr>
            </w:pPr>
            <w:r>
              <w:rPr>
                <w:rFonts w:hint="eastAsia"/>
              </w:rPr>
              <w:t>可以在中心点和外周定位点进行角膜内皮照相，</w:t>
            </w:r>
            <w:r>
              <w:rPr>
                <w:rFonts w:hint="eastAsia"/>
                <w:u w:val="single"/>
              </w:rPr>
              <w:t>并可准确定位照相点</w:t>
            </w:r>
          </w:p>
          <w:p>
            <w:pPr>
              <w:tabs>
                <w:tab w:val="left" w:pos="7920"/>
                <w:tab w:val="left" w:pos="8280"/>
              </w:tabs>
              <w:rPr>
                <w:rFonts w:hint="eastAsia" w:ascii="宋体" w:hAnsi="宋体"/>
              </w:rPr>
            </w:pPr>
          </w:p>
          <w:p>
            <w:pPr>
              <w:tabs>
                <w:tab w:val="left" w:pos="7920"/>
                <w:tab w:val="left" w:pos="8280"/>
              </w:tabs>
              <w:rPr>
                <w:rFonts w:hint="eastAsia"/>
              </w:rPr>
            </w:pPr>
            <w:r>
              <w:rPr>
                <w:rFonts w:hint="eastAsia" w:ascii="宋体" w:hAnsi="宋体"/>
              </w:rPr>
              <w:t>※实际照相视野</w:t>
            </w:r>
            <w:r>
              <w:rPr>
                <w:rFonts w:ascii="宋体" w:hAnsi="宋体"/>
              </w:rPr>
              <w:t>≥0.24 x 0.4 mm</w:t>
            </w:r>
          </w:p>
          <w:p>
            <w:pPr>
              <w:tabs>
                <w:tab w:val="left" w:pos="7920"/>
                <w:tab w:val="left" w:pos="8280"/>
              </w:tabs>
              <w:rPr>
                <w:rFonts w:hint="eastAsia"/>
              </w:rPr>
            </w:pPr>
          </w:p>
          <w:p>
            <w:pPr>
              <w:tabs>
                <w:tab w:val="left" w:pos="7920"/>
                <w:tab w:val="left" w:pos="8280"/>
              </w:tabs>
              <w:rPr>
                <w:rFonts w:hint="eastAsia"/>
              </w:rPr>
            </w:pPr>
            <w:r>
              <w:rPr>
                <w:rFonts w:hint="eastAsia"/>
              </w:rPr>
              <w:t>闪光灯：</w:t>
            </w:r>
            <w:r>
              <w:rPr>
                <w:rFonts w:hint="eastAsia" w:ascii="宋体" w:hAnsi="宋体"/>
              </w:rPr>
              <w:t>氙气管</w:t>
            </w:r>
          </w:p>
          <w:p>
            <w:pPr>
              <w:tabs>
                <w:tab w:val="left" w:pos="7920"/>
                <w:tab w:val="left" w:pos="8280"/>
              </w:tabs>
              <w:rPr>
                <w:rFonts w:hint="eastAsia"/>
              </w:rPr>
            </w:pPr>
          </w:p>
          <w:p>
            <w:pPr>
              <w:tabs>
                <w:tab w:val="left" w:pos="7920"/>
                <w:tab w:val="left" w:pos="8280"/>
              </w:tabs>
              <w:rPr>
                <w:rFonts w:hint="eastAsia"/>
              </w:rPr>
            </w:pPr>
            <w:r>
              <w:rPr>
                <w:rFonts w:hint="eastAsia" w:ascii="宋体" w:hAnsi="宋体"/>
              </w:rPr>
              <w:t>聚焦照明：卤素灯</w:t>
            </w:r>
          </w:p>
          <w:p>
            <w:pPr>
              <w:tabs>
                <w:tab w:val="left" w:pos="7920"/>
                <w:tab w:val="left" w:pos="8280"/>
              </w:tabs>
              <w:rPr>
                <w:rFonts w:hint="eastAsia"/>
              </w:rPr>
            </w:pPr>
          </w:p>
          <w:p>
            <w:pPr>
              <w:tabs>
                <w:tab w:val="left" w:pos="7920"/>
                <w:tab w:val="left" w:pos="8280"/>
              </w:tabs>
              <w:rPr>
                <w:rFonts w:hint="eastAsia"/>
              </w:rPr>
            </w:pPr>
            <w:r>
              <w:rPr>
                <w:rFonts w:hint="eastAsia"/>
              </w:rPr>
              <w:t>可以提供角膜内皮细胞密度，细胞面积变化系数，细胞面积标准偏差，</w:t>
            </w:r>
            <w:r>
              <w:t>六角形</w:t>
            </w:r>
            <w:r>
              <w:rPr>
                <w:rFonts w:hint="eastAsia"/>
              </w:rPr>
              <w:t>细胞比例，细胞角数分布，细胞面积分布，</w:t>
            </w:r>
            <w:r>
              <w:t>平均</w:t>
            </w:r>
            <w:r>
              <w:rPr>
                <w:rFonts w:hint="eastAsia"/>
              </w:rPr>
              <w:t>细胞面积，</w:t>
            </w:r>
            <w:r>
              <w:t>最</w:t>
            </w:r>
            <w:r>
              <w:rPr>
                <w:rFonts w:hint="eastAsia"/>
              </w:rPr>
              <w:t>小的细胞面积，</w:t>
            </w:r>
            <w:r>
              <w:t>最大的</w:t>
            </w:r>
            <w:r>
              <w:rPr>
                <w:rFonts w:hint="eastAsia"/>
              </w:rPr>
              <w:t>细胞面积，分析细胞数量</w:t>
            </w:r>
          </w:p>
          <w:p>
            <w:pPr>
              <w:tabs>
                <w:tab w:val="left" w:pos="7920"/>
                <w:tab w:val="left" w:pos="8280"/>
              </w:tabs>
              <w:rPr>
                <w:rFonts w:hint="eastAsia"/>
              </w:rPr>
            </w:pPr>
          </w:p>
          <w:p>
            <w:pPr>
              <w:pStyle w:val="16"/>
              <w:tabs>
                <w:tab w:val="left" w:pos="7920"/>
                <w:tab w:val="left" w:pos="8280"/>
              </w:tabs>
              <w:rPr>
                <w:rFonts w:hint="eastAsia"/>
              </w:rPr>
            </w:pPr>
            <w:r>
              <w:rPr>
                <w:rFonts w:hint="eastAsia" w:ascii="宋体" w:hAnsi="宋体"/>
              </w:rPr>
              <w:t>※</w:t>
            </w:r>
            <w:r>
              <w:rPr>
                <w:rFonts w:hint="eastAsia"/>
              </w:rPr>
              <w:t>具有角膜厚度测定专用模式，自动单次或多次测量同一部位角膜厚度。可提供中央区和周边区角膜厚度</w:t>
            </w:r>
          </w:p>
          <w:p>
            <w:pPr>
              <w:tabs>
                <w:tab w:val="left" w:pos="7920"/>
                <w:tab w:val="left" w:pos="8280"/>
              </w:tabs>
              <w:rPr>
                <w:rFonts w:hint="eastAsia"/>
              </w:rPr>
            </w:pPr>
            <w:r>
              <w:rPr>
                <w:rFonts w:hint="eastAsia"/>
              </w:rPr>
              <w:t>角膜厚度的计量精度</w:t>
            </w:r>
            <w:r>
              <w:rPr>
                <w:rFonts w:ascii="宋体" w:hAnsi="宋体"/>
              </w:rPr>
              <w:t>≤</w:t>
            </w:r>
            <w:r>
              <w:rPr>
                <w:rFonts w:hint="eastAsia" w:ascii="宋体" w:hAnsi="宋体"/>
              </w:rPr>
              <w:t>10</w:t>
            </w:r>
            <w:r>
              <w:rPr>
                <w:rFonts w:ascii="宋体" w:hAnsi="宋体"/>
              </w:rPr>
              <w:t xml:space="preserve"> μm</w:t>
            </w:r>
          </w:p>
          <w:p>
            <w:pPr>
              <w:tabs>
                <w:tab w:val="left" w:pos="7920"/>
                <w:tab w:val="left" w:pos="8280"/>
              </w:tabs>
              <w:rPr>
                <w:rFonts w:hint="eastAsia"/>
              </w:rPr>
            </w:pPr>
            <w:r>
              <w:rPr>
                <w:rFonts w:hint="eastAsia"/>
              </w:rPr>
              <w:t>高精度角膜内皮细胞图像显示</w:t>
            </w:r>
          </w:p>
          <w:p>
            <w:pPr>
              <w:tabs>
                <w:tab w:val="left" w:pos="7920"/>
                <w:tab w:val="left" w:pos="8280"/>
              </w:tabs>
              <w:rPr>
                <w:rFonts w:hint="eastAsia"/>
              </w:rPr>
            </w:pPr>
          </w:p>
          <w:p>
            <w:pPr>
              <w:tabs>
                <w:tab w:val="left" w:pos="7920"/>
                <w:tab w:val="left" w:pos="8280"/>
              </w:tabs>
              <w:rPr>
                <w:rFonts w:hint="eastAsia"/>
              </w:rPr>
            </w:pPr>
            <w:r>
              <w:rPr>
                <w:rFonts w:hint="eastAsia" w:ascii="宋体" w:hAnsi="宋体"/>
              </w:rPr>
              <w:t>※</w:t>
            </w:r>
            <w:r>
              <w:rPr>
                <w:rFonts w:hint="eastAsia"/>
                <w:u w:val="single"/>
              </w:rPr>
              <w:t>具备FDA专利的自动解析法，一键操作不依赖人工判断</w:t>
            </w:r>
            <w:r>
              <w:rPr>
                <w:rFonts w:hint="eastAsia"/>
              </w:rPr>
              <w:t>进行检查结果分析</w:t>
            </w:r>
          </w:p>
          <w:p>
            <w:pPr>
              <w:tabs>
                <w:tab w:val="left" w:pos="7920"/>
                <w:tab w:val="left" w:pos="8280"/>
              </w:tabs>
              <w:rPr>
                <w:rFonts w:hint="eastAsia"/>
              </w:rPr>
            </w:pPr>
          </w:p>
          <w:p>
            <w:pPr>
              <w:tabs>
                <w:tab w:val="left" w:pos="7920"/>
                <w:tab w:val="left" w:pos="8280"/>
              </w:tabs>
              <w:rPr>
                <w:rFonts w:hint="eastAsia"/>
              </w:rPr>
            </w:pPr>
            <w:r>
              <w:rPr>
                <w:rFonts w:hint="eastAsia" w:ascii="宋体" w:hAnsi="宋体"/>
              </w:rPr>
              <w:t>※</w:t>
            </w:r>
            <w:r>
              <w:rPr>
                <w:rFonts w:hint="eastAsia"/>
              </w:rPr>
              <w:t>具备取得</w:t>
            </w:r>
            <w:r>
              <w:rPr>
                <w:rFonts w:hint="eastAsia"/>
                <w:u w:val="single"/>
              </w:rPr>
              <w:t>FDA</w:t>
            </w:r>
            <w:r>
              <w:rPr>
                <w:rFonts w:hint="eastAsia" w:eastAsia="MS Mincho"/>
                <w:u w:val="single"/>
              </w:rPr>
              <w:t>510K</w:t>
            </w:r>
            <w:r>
              <w:rPr>
                <w:rFonts w:hint="eastAsia"/>
                <w:u w:val="single"/>
              </w:rPr>
              <w:t>认</w:t>
            </w:r>
            <w:r>
              <w:rPr>
                <w:rFonts w:hint="eastAsia"/>
              </w:rPr>
              <w:t>证的中心解析法进行检查结果分析</w:t>
            </w:r>
          </w:p>
          <w:p>
            <w:pPr>
              <w:tabs>
                <w:tab w:val="left" w:pos="7920"/>
                <w:tab w:val="left" w:pos="8280"/>
              </w:tabs>
              <w:rPr>
                <w:rFonts w:hint="eastAsia"/>
              </w:rPr>
            </w:pPr>
            <w:r>
              <w:rPr>
                <w:rFonts w:hint="eastAsia"/>
              </w:rPr>
              <w:t>具备自动解析法，手动解析法，中心解析法和弯曲中心法</w:t>
            </w:r>
            <w:r>
              <w:rPr>
                <w:rFonts w:hint="eastAsia" w:eastAsia="MS Mincho"/>
                <w:u w:val="single"/>
              </w:rPr>
              <w:t>4</w:t>
            </w:r>
            <w:r>
              <w:rPr>
                <w:rFonts w:hint="eastAsia"/>
                <w:u w:val="single"/>
              </w:rPr>
              <w:t>种方法可供选择</w:t>
            </w:r>
            <w:r>
              <w:rPr>
                <w:rFonts w:hint="eastAsia"/>
              </w:rPr>
              <w:t>，进行检查结果分析</w:t>
            </w:r>
          </w:p>
          <w:p>
            <w:pPr>
              <w:pStyle w:val="16"/>
              <w:tabs>
                <w:tab w:val="left" w:pos="7920"/>
                <w:tab w:val="left" w:pos="8280"/>
              </w:tabs>
              <w:rPr>
                <w:rFonts w:hint="eastAsia"/>
              </w:rPr>
            </w:pPr>
            <w:r>
              <w:rPr>
                <w:rFonts w:hint="eastAsia"/>
              </w:rPr>
              <w:t>具有患者电子病历管理功能，自动保存患者信息和检查、分析结果，可按照检查时间、结果等数据进行检索</w:t>
            </w:r>
          </w:p>
          <w:p>
            <w:pPr>
              <w:tabs>
                <w:tab w:val="left" w:pos="7920"/>
                <w:tab w:val="left" w:pos="8280"/>
              </w:tabs>
              <w:rPr>
                <w:rFonts w:hint="eastAsia"/>
              </w:rPr>
            </w:pPr>
          </w:p>
          <w:p>
            <w:pPr>
              <w:tabs>
                <w:tab w:val="left" w:pos="7920"/>
                <w:tab w:val="left" w:pos="8280"/>
              </w:tabs>
              <w:rPr>
                <w:rFonts w:hint="eastAsia" w:eastAsia="PMingLiU"/>
                <w:lang w:eastAsia="zh-TW"/>
              </w:rPr>
            </w:pPr>
            <w:r>
              <w:rPr>
                <w:rFonts w:hint="eastAsia"/>
              </w:rPr>
              <w:t>使用80GB硬盘时, 大于550000条数据容量</w:t>
            </w:r>
          </w:p>
          <w:p>
            <w:pPr>
              <w:tabs>
                <w:tab w:val="left" w:pos="7920"/>
                <w:tab w:val="left" w:pos="8280"/>
              </w:tabs>
              <w:rPr>
                <w:rFonts w:hint="eastAsia" w:eastAsia="PMingLiU"/>
                <w:lang w:eastAsia="zh-TW"/>
              </w:rPr>
            </w:pPr>
          </w:p>
          <w:p>
            <w:pPr>
              <w:tabs>
                <w:tab w:val="left" w:pos="7920"/>
                <w:tab w:val="left" w:pos="8280"/>
              </w:tabs>
              <w:rPr>
                <w:rFonts w:hint="eastAsia"/>
              </w:rPr>
            </w:pPr>
          </w:p>
          <w:p>
            <w:pPr>
              <w:tabs>
                <w:tab w:val="left" w:pos="7920"/>
                <w:tab w:val="left" w:pos="8280"/>
              </w:tabs>
              <w:rPr>
                <w:rFonts w:hint="eastAsia"/>
              </w:rPr>
            </w:pPr>
            <w:r>
              <w:rPr>
                <w:rFonts w:hint="eastAsia"/>
                <w:color w:val="FF0000"/>
              </w:rPr>
              <w:t>使用日本</w:t>
            </w:r>
            <w:r>
              <w:rPr>
                <w:rFonts w:hint="eastAsia" w:ascii="PMingLiU" w:hAnsi="PMingLiU"/>
                <w:color w:val="FF0000"/>
              </w:rPr>
              <w:t>原厂</w:t>
            </w:r>
            <w:r>
              <w:rPr>
                <w:rFonts w:hint="eastAsia"/>
                <w:color w:val="FF0000"/>
              </w:rPr>
              <w:t>进口正版分析软件</w:t>
            </w:r>
          </w:p>
        </w:tc>
      </w:tr>
    </w:tbl>
    <w:p>
      <w:pPr>
        <w:widowControl/>
        <w:jc w:val="left"/>
        <w:rPr>
          <w:rFonts w:hint="eastAsia" w:ascii="宋体" w:hAnsi="宋体" w:cs="宋体"/>
          <w:b/>
          <w:bCs/>
          <w:sz w:val="24"/>
          <w:szCs w:val="24"/>
        </w:rPr>
      </w:pPr>
    </w:p>
    <w:p>
      <w:pPr>
        <w:spacing w:line="360" w:lineRule="auto"/>
        <w:ind w:right="57"/>
        <w:rPr>
          <w:rFonts w:ascii="宋体" w:hAnsi="宋体"/>
          <w:b/>
          <w:sz w:val="24"/>
          <w:szCs w:val="24"/>
        </w:rPr>
      </w:pPr>
      <w:r>
        <w:rPr>
          <w:rFonts w:hint="eastAsia" w:hAnsi="宋体"/>
          <w:b/>
          <w:sz w:val="24"/>
          <w:szCs w:val="24"/>
          <w:lang w:val="en-US" w:eastAsia="zh-CN"/>
        </w:rPr>
        <w:t xml:space="preserve"> </w:t>
      </w:r>
      <w:r>
        <w:rPr>
          <w:rFonts w:hint="eastAsia" w:ascii="宋体" w:hAnsi="宋体" w:cs="宋体"/>
          <w:b/>
          <w:sz w:val="24"/>
          <w:szCs w:val="24"/>
        </w:rPr>
        <w:t>2.货物需求一览表：</w:t>
      </w:r>
    </w:p>
    <w:tbl>
      <w:tblPr>
        <w:tblStyle w:val="49"/>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419"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97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”表示此设备为核心设备。</w:t>
            </w:r>
          </w:p>
          <w:p>
            <w:pPr>
              <w:widowControl/>
              <w:spacing w:line="360" w:lineRule="auto"/>
              <w:ind w:firstLine="480" w:firstLineChars="200"/>
              <w:rPr>
                <w:rFonts w:ascii="宋体" w:hAnsi="宋体" w:cs="宋体"/>
                <w:kern w:val="0"/>
                <w:sz w:val="24"/>
                <w:szCs w:val="24"/>
              </w:rPr>
            </w:pPr>
            <w:r>
              <w:rPr>
                <w:rFonts w:hint="eastAsia" w:ascii="宋体" w:hAnsi="宋体"/>
                <w:sz w:val="24"/>
                <w:szCs w:val="24"/>
              </w:rPr>
              <w:t>2.提供核心产品为同一品牌同一型号的不同供应商参加同一项目投标的，评标时以其中通过初步审查且投标报价最低的投标供应商作为有效投标单位，其余按无效投标处理。</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kern w:val="0"/>
          <w:sz w:val="24"/>
          <w:szCs w:val="24"/>
          <w:u w:val="single"/>
        </w:rPr>
        <w:t xml:space="preserve">       </w:t>
      </w:r>
      <w:r>
        <w:rPr>
          <w:rFonts w:hint="eastAsia" w:ascii="宋体" w:hAnsi="宋体" w:cs="宋体"/>
          <w:b/>
          <w:sz w:val="24"/>
          <w:szCs w:val="24"/>
        </w:rPr>
        <w:t>。</w:t>
      </w:r>
    </w:p>
    <w:tbl>
      <w:tblPr>
        <w:tblStyle w:val="49"/>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212"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365"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600"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2.供应商应当按照要求提供的“佐证材料”在响应文件中提供相关证明材料。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kern w:val="0"/>
          <w:sz w:val="24"/>
          <w:szCs w:val="24"/>
          <w:u w:val="single"/>
        </w:rPr>
        <w:t xml:space="preserve">       </w:t>
      </w:r>
      <w:r>
        <w:rPr>
          <w:rFonts w:hint="eastAsia" w:ascii="宋体" w:hAnsi="宋体" w:cs="宋体"/>
          <w:b/>
          <w:sz w:val="24"/>
          <w:szCs w:val="24"/>
        </w:rPr>
        <w:t>。</w:t>
      </w:r>
    </w:p>
    <w:tbl>
      <w:tblPr>
        <w:tblStyle w:val="49"/>
        <w:tblW w:w="9628" w:type="dxa"/>
        <w:tblInd w:w="0" w:type="dxa"/>
        <w:tblLayout w:type="fixed"/>
        <w:tblCellMar>
          <w:top w:w="0" w:type="dxa"/>
          <w:left w:w="108" w:type="dxa"/>
          <w:bottom w:w="0" w:type="dxa"/>
          <w:right w:w="108" w:type="dxa"/>
        </w:tblCellMar>
      </w:tblPr>
      <w:tblGrid>
        <w:gridCol w:w="1242"/>
        <w:gridCol w:w="709"/>
        <w:gridCol w:w="5671"/>
        <w:gridCol w:w="2006"/>
      </w:tblGrid>
      <w:tr>
        <w:tblPrEx>
          <w:tblLayout w:type="fixed"/>
          <w:tblCellMar>
            <w:top w:w="0" w:type="dxa"/>
            <w:left w:w="108" w:type="dxa"/>
            <w:bottom w:w="0" w:type="dxa"/>
            <w:right w:w="108" w:type="dxa"/>
          </w:tblCellMar>
        </w:tblPrEx>
        <w:trPr>
          <w:trHeight w:val="64"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557"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2.供应商应当按照要求提供的“佐证材料”在响应文件中提供相关证明材料。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3.询价小组根据与供应商询价情况可能实质性变动的内容：</w:t>
      </w:r>
      <w:r>
        <w:rPr>
          <w:rFonts w:ascii="宋体" w:hAnsi="宋体" w:cs="宋体"/>
          <w:b/>
          <w:sz w:val="24"/>
          <w:szCs w:val="24"/>
        </w:rPr>
        <w:br w:type="page"/>
      </w:r>
    </w:p>
    <w:p>
      <w:pPr>
        <w:pStyle w:val="2"/>
        <w:keepNext w:val="0"/>
        <w:keepLines w:val="0"/>
        <w:spacing w:line="360" w:lineRule="auto"/>
        <w:rPr>
          <w:rFonts w:ascii="宋体" w:hAnsi="宋体" w:cs="宋体"/>
          <w:b w:val="0"/>
          <w:bCs w:val="0"/>
          <w:kern w:val="0"/>
          <w:sz w:val="24"/>
          <w:szCs w:val="24"/>
          <w:lang w:val="en-US" w:eastAsia="zh-CN"/>
        </w:rPr>
      </w:pPr>
      <w:bookmarkStart w:id="16" w:name="_Toc497408482"/>
      <w:r>
        <w:rPr>
          <w:rFonts w:hint="eastAsia" w:ascii="宋体" w:hAnsi="宋体"/>
          <w:color w:val="000000"/>
          <w:sz w:val="24"/>
          <w:szCs w:val="24"/>
        </w:rPr>
        <w:t>第五章 供应商资格证明及相关文件要求</w:t>
      </w:r>
      <w:bookmarkEnd w:id="16"/>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 xml:space="preserve">3．财务状况报告，应附经会计师事务所出具的财务审计报告或其基本开户银行出具的资信证明； </w:t>
      </w:r>
    </w:p>
    <w:p>
      <w:pPr>
        <w:autoSpaceDE w:val="0"/>
        <w:autoSpaceDN w:val="0"/>
        <w:adjustRightInd w:val="0"/>
        <w:snapToGrid w:val="0"/>
        <w:spacing w:line="360" w:lineRule="auto"/>
        <w:ind w:right="32" w:firstLine="482" w:firstLineChars="201"/>
        <w:rPr>
          <w:rFonts w:hint="eastAsia" w:ascii="宋体" w:hAnsi="宋体" w:eastAsia="宋体" w:cs="宋体"/>
          <w:sz w:val="24"/>
          <w:szCs w:val="24"/>
          <w:lang w:eastAsia="zh-CN"/>
        </w:rPr>
      </w:pPr>
      <w:r>
        <w:rPr>
          <w:rFonts w:hint="eastAsia" w:ascii="宋体" w:hAnsi="宋体" w:cs="宋体"/>
          <w:sz w:val="24"/>
          <w:szCs w:val="24"/>
        </w:rPr>
        <w:t>4．供应商依法缴纳税收证明（以税务机关提供的纳税凭证或银行入账单为准）；</w:t>
      </w:r>
      <w:r>
        <w:rPr>
          <w:rFonts w:hint="eastAsia" w:ascii="宋体" w:hAnsi="宋体" w:cs="宋体"/>
          <w:sz w:val="24"/>
          <w:szCs w:val="24"/>
          <w:lang w:eastAsia="zh-CN"/>
        </w:rPr>
        <w:t>原件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5．供应商为企业员工缴纳社保资金的凭证（以社保机构出具的缴纳纪录凭证或银行入账单为准）</w:t>
      </w:r>
      <w:r>
        <w:rPr>
          <w:rFonts w:hint="eastAsia" w:ascii="宋体" w:hAnsi="宋体" w:cs="宋体"/>
          <w:sz w:val="24"/>
          <w:szCs w:val="24"/>
          <w:lang w:eastAsia="zh-CN"/>
        </w:rPr>
        <w:t>原件</w:t>
      </w:r>
      <w:r>
        <w:rPr>
          <w:rFonts w:hint="eastAsia" w:ascii="宋体" w:hAnsi="宋体" w:cs="宋体"/>
          <w:sz w:val="24"/>
          <w:szCs w:val="24"/>
        </w:rPr>
        <w:t>；</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6．供应商参加政府采购前三年内在经营活动中没有重大违法记录书面声明；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cs="宋体"/>
          <w:sz w:val="24"/>
          <w:szCs w:val="24"/>
          <w:lang w:val="en-US" w:eastAsia="zh-CN"/>
        </w:rPr>
        <w:t>7</w:t>
      </w:r>
      <w:r>
        <w:rPr>
          <w:rFonts w:hint="eastAsia" w:ascii="宋体" w:hAnsi="宋体" w:cs="宋体"/>
          <w:sz w:val="24"/>
          <w:szCs w:val="24"/>
        </w:rPr>
        <w:t>. 询价通知书对供应商的其他资格要求。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与投标产品型号及技术参数相关的佐证文件，如产品检测报告、鉴定证书、技术白皮书、说明书、产品彩页等；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除在本询价通知书中明确规定不提供为无效投标外，其余均供评委在评审时参考</w:t>
      </w:r>
      <w:r>
        <w:rPr>
          <w:rFonts w:hint="eastAsia" w:ascii="宋体" w:hAnsi="宋体"/>
          <w:sz w:val="24"/>
          <w:szCs w:val="24"/>
        </w:rPr>
        <w:t>。</w:t>
      </w:r>
      <w:r>
        <w:rPr>
          <w:rFonts w:ascii="宋体" w:hAnsi="宋体"/>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17" w:name="_Toc49740848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询价程序及方法</w:t>
      </w:r>
      <w:bookmarkEnd w:id="10"/>
      <w:bookmarkEnd w:id="17"/>
    </w:p>
    <w:p>
      <w:pPr>
        <w:spacing w:line="360" w:lineRule="auto"/>
        <w:ind w:firstLine="482" w:firstLineChars="200"/>
        <w:rPr>
          <w:rFonts w:ascii="宋体" w:hAnsi="宋体"/>
          <w:b/>
          <w:sz w:val="24"/>
          <w:szCs w:val="24"/>
        </w:rPr>
      </w:pPr>
      <w:bookmarkStart w:id="18" w:name="_Toc257983096"/>
      <w:bookmarkStart w:id="19" w:name="_Toc355703360"/>
      <w:bookmarkStart w:id="20" w:name="_Toc355703243"/>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评审活动遵循公开、公平、公正、择优的原则进行。询价小组将综合分析供应商的各项指标，而不以单项指标的优劣评选出预中标人。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二.询价</w:t>
      </w:r>
      <w:bookmarkEnd w:id="18"/>
      <w:bookmarkEnd w:id="19"/>
      <w:bookmarkEnd w:id="20"/>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w:t>
      </w:r>
      <w:r>
        <w:rPr>
          <w:rFonts w:ascii="宋体" w:hAnsi="宋体"/>
          <w:kern w:val="0"/>
          <w:sz w:val="24"/>
          <w:szCs w:val="24"/>
        </w:rPr>
        <w:t>依据有关法律和</w:t>
      </w:r>
      <w:r>
        <w:rPr>
          <w:rFonts w:hint="eastAsia" w:ascii="宋体" w:hAnsi="宋体"/>
          <w:kern w:val="0"/>
          <w:sz w:val="24"/>
          <w:szCs w:val="24"/>
        </w:rPr>
        <w:t>询价通知书</w:t>
      </w:r>
      <w:r>
        <w:rPr>
          <w:rFonts w:ascii="宋体" w:hAnsi="宋体"/>
          <w:kern w:val="0"/>
          <w:sz w:val="24"/>
          <w:szCs w:val="24"/>
        </w:rPr>
        <w:t>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供应商是否可以实质性响应询价通知书要求</w:t>
      </w:r>
      <w:r>
        <w:rPr>
          <w:rFonts w:ascii="宋体" w:hAnsi="宋体"/>
          <w:sz w:val="24"/>
          <w:szCs w:val="24"/>
        </w:rPr>
        <w:t>。</w:t>
      </w:r>
      <w:r>
        <w:rPr>
          <w:rFonts w:hint="eastAsia" w:ascii="宋体" w:hAnsi="宋体"/>
          <w:kern w:val="0"/>
          <w:sz w:val="24"/>
          <w:szCs w:val="24"/>
        </w:rPr>
        <w:t>在评审时,如有不符合询价通知书要求</w:t>
      </w:r>
      <w:r>
        <w:rPr>
          <w:rFonts w:ascii="宋体" w:hAnsi="宋体"/>
          <w:kern w:val="0"/>
          <w:sz w:val="24"/>
          <w:szCs w:val="24"/>
        </w:rPr>
        <w:t>的，</w:t>
      </w:r>
      <w:r>
        <w:rPr>
          <w:rFonts w:hint="eastAsia" w:ascii="宋体" w:hAnsi="宋体"/>
          <w:kern w:val="0"/>
          <w:sz w:val="24"/>
          <w:szCs w:val="24"/>
        </w:rPr>
        <w:t>经询价小组认定，视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360" w:firstLineChars="15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询价小组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询价小组要求供应商澄清、说明或者更正响应文件应当以书面形式作出。供应商的澄清、说明或者更正应当由法定代表人或其授权代表签字或者加盖公章。供应商为自然人的，应当由本人签字并附身份证明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2.第二阶段：询价</w:t>
      </w:r>
    </w:p>
    <w:p>
      <w:pPr>
        <w:autoSpaceDE w:val="0"/>
        <w:autoSpaceDN w:val="0"/>
        <w:adjustRightInd w:val="0"/>
        <w:snapToGrid w:val="0"/>
        <w:spacing w:line="360" w:lineRule="auto"/>
        <w:ind w:firstLine="360" w:firstLineChars="150"/>
        <w:jc w:val="left"/>
        <w:rPr>
          <w:rFonts w:ascii="宋体" w:hAnsi="宋体"/>
          <w:kern w:val="0"/>
          <w:sz w:val="24"/>
          <w:szCs w:val="24"/>
        </w:rPr>
      </w:pPr>
      <w:r>
        <w:rPr>
          <w:rFonts w:hint="eastAsia" w:ascii="宋体" w:hAnsi="宋体"/>
          <w:kern w:val="0"/>
          <w:sz w:val="24"/>
          <w:szCs w:val="24"/>
        </w:rPr>
        <w:t>（1）询价小组在询价过程中，不得改变询价通知书所确定的技术和服务等要求、评审程序、评定成交的标准和合同文本等事项。</w:t>
      </w:r>
    </w:p>
    <w:p>
      <w:pPr>
        <w:autoSpaceDE w:val="0"/>
        <w:autoSpaceDN w:val="0"/>
        <w:adjustRightInd w:val="0"/>
        <w:snapToGrid w:val="0"/>
        <w:spacing w:line="360" w:lineRule="auto"/>
        <w:ind w:firstLine="360" w:firstLineChars="150"/>
        <w:jc w:val="left"/>
        <w:rPr>
          <w:rFonts w:ascii="宋体" w:hAnsi="宋体"/>
          <w:kern w:val="0"/>
          <w:sz w:val="24"/>
          <w:szCs w:val="24"/>
        </w:rPr>
      </w:pPr>
      <w:r>
        <w:rPr>
          <w:rFonts w:hint="eastAsia" w:ascii="宋体" w:hAnsi="宋体"/>
          <w:kern w:val="0"/>
          <w:sz w:val="24"/>
          <w:szCs w:val="24"/>
        </w:rPr>
        <w:t>（2）参加询价采购活动的供应商，应当按照询价通知书的规定一次报出不得更改的价格。（报价比较以开标一览表中报价为准）</w:t>
      </w:r>
    </w:p>
    <w:p>
      <w:pPr>
        <w:widowControl/>
        <w:spacing w:after="120"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询价、澄清，询价小组应当从质量和服务均能满足询价通知书实质性响应要求的供应商中，按照投标报价由低到高的顺序提出成交供应商，并编写评审报告。报价相同时，技术指标优者优先，报价和技术指标均相同时，服务好的优先。</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21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1.依照《政府采购促进中小企业发展暂行办法》、《关于政府采购支持监狱企业发展有关问题的通知》和《财政部 民政部 中国残疾人联合会关于促进残疾人就业政府采购政策的通知》的规定，凡符合要求的小型、微型企业、监狱企业或残疾</w:t>
      </w:r>
      <w:r>
        <w:rPr>
          <w:rFonts w:hint="eastAsia" w:ascii="Times New Roman" w:eastAsia="宋体" w:cs="Times New Roman"/>
          <w:color w:val="auto"/>
        </w:rPr>
        <w:t>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49"/>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1" w:name="OLE_LINK1"/>
      <w:bookmarkStart w:id="22" w:name="OLE_LINK9"/>
      <w:r>
        <w:rPr>
          <w:rFonts w:hint="eastAsia" w:ascii="宋体" w:hAnsi="宋体"/>
          <w:sz w:val="24"/>
          <w:szCs w:val="24"/>
        </w:rPr>
        <w:t>本项所称货物不包括使用大型企业注册商标的货物。</w:t>
      </w:r>
      <w:bookmarkEnd w:id="21"/>
      <w:bookmarkEnd w:id="22"/>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3" w:name="OLE_LINK14"/>
      <w:bookmarkStart w:id="24" w:name="OLE_LINK13"/>
      <w:r>
        <w:rPr>
          <w:rFonts w:hint="eastAsia" w:ascii="宋体" w:hAnsi="宋体"/>
          <w:sz w:val="24"/>
          <w:szCs w:val="24"/>
        </w:rPr>
        <w:t>《残疾人福利性单位声明函》</w:t>
      </w:r>
      <w:bookmarkEnd w:id="23"/>
      <w:bookmarkEnd w:id="24"/>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360" w:firstLineChars="150"/>
        <w:rPr>
          <w:rFonts w:ascii="宋体" w:hAnsi="宋体"/>
          <w:b/>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b/>
          <w:sz w:val="24"/>
          <w:szCs w:val="24"/>
        </w:rPr>
        <w:br w:type="page"/>
      </w:r>
    </w:p>
    <w:p>
      <w:pPr>
        <w:spacing w:line="360" w:lineRule="auto"/>
        <w:ind w:firstLine="570"/>
        <w:rPr>
          <w:rFonts w:ascii="宋体" w:hAnsi="宋体"/>
          <w:kern w:val="0"/>
          <w:sz w:val="24"/>
          <w:szCs w:val="24"/>
        </w:rPr>
      </w:pPr>
      <w:r>
        <w:rPr>
          <w:rFonts w:hint="eastAsia" w:ascii="宋体" w:hAnsi="宋体"/>
          <w:b/>
          <w:sz w:val="24"/>
          <w:szCs w:val="24"/>
        </w:rPr>
        <w:t>四．评审表：</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月至开标当日的任意一个月缴纳社会保险的凭据（专用收据或社保缴纳清单）</w:t>
            </w:r>
          </w:p>
          <w:p>
            <w:pPr>
              <w:jc w:val="left"/>
              <w:rPr>
                <w:rFonts w:hint="eastAsia" w:ascii="宋体" w:hAnsi="宋体" w:eastAsia="宋体"/>
                <w:sz w:val="24"/>
                <w:szCs w:val="24"/>
                <w:lang w:eastAsia="zh-CN"/>
              </w:rPr>
            </w:pPr>
            <w:r>
              <w:rPr>
                <w:rFonts w:hint="eastAsia" w:ascii="宋体" w:hAnsi="宋体"/>
                <w:sz w:val="24"/>
                <w:szCs w:val="24"/>
              </w:rPr>
              <w:t>依法免税和无需缴纳社会保险的必须提供相关主管部门出具的证明。</w:t>
            </w:r>
            <w:r>
              <w:rPr>
                <w:rFonts w:hint="eastAsia" w:ascii="宋体" w:hAnsi="宋体"/>
                <w:sz w:val="24"/>
                <w:szCs w:val="24"/>
                <w:lang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年至20</w:t>
            </w:r>
            <w:r>
              <w:rPr>
                <w:rFonts w:hint="eastAsia" w:ascii="宋体" w:hAnsi="宋体"/>
                <w:sz w:val="24"/>
                <w:szCs w:val="24"/>
                <w:lang w:val="en-US" w:eastAsia="zh-CN"/>
              </w:rPr>
              <w:t>17</w:t>
            </w:r>
            <w:r>
              <w:rPr>
                <w:rFonts w:hint="eastAsia" w:ascii="宋体" w:hAnsi="宋体"/>
                <w:sz w:val="24"/>
                <w:szCs w:val="24"/>
              </w:rPr>
              <w:t>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询价通知书要求的其他无效投标情形；围标、串标和法律法规规定的其它无效投标条款。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符合询价通知书要求。（格式、填写要求、签署、盖章、委托人身份等）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符合询价通知书要求。（格式、填写要求、签署、盖章等）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响应文件的编制、密封、装订、签署、盖章、涂改、删除、插字、公章使用等符合询价通知书要求；响应文件的格式、文字、目录、页码等符合询价通知书要求或对投标无实质性影响。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满足询价通知书关于交付使用时间、质保期、付款方式要求。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本项目不接受联合体投标。（如要求联合体投标，符合本询价通知书对联合体投标的相关要求）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技术部分响应明确（逐一对应）并实质性满足询价通知书要求。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spacing w:line="360" w:lineRule="auto"/>
        <w:rPr>
          <w:rFonts w:ascii="宋体" w:hAnsi="宋体"/>
          <w:b/>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5" w:name="_Toc49740848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5"/>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6" w:name="_Toc482026546"/>
    </w:p>
    <w:bookmarkEnd w:id="26"/>
    <w:p>
      <w:pPr>
        <w:spacing w:line="360" w:lineRule="auto"/>
        <w:rPr>
          <w:rFonts w:ascii="宋体" w:hAnsi="宋体" w:cs="宋体"/>
          <w:sz w:val="24"/>
          <w:szCs w:val="24"/>
        </w:rPr>
      </w:pPr>
      <w:bookmarkStart w:id="27"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27"/>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上一年度财务会计制度… </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 缴纳增值税、营业税或企业所得税的凭据</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w:t>
      </w:r>
    </w:p>
    <w:p>
      <w:pPr>
        <w:rPr>
          <w:rFonts w:ascii="宋体" w:hAnsi="宋体" w:cs="宋体"/>
          <w:sz w:val="24"/>
          <w:szCs w:val="24"/>
        </w:rPr>
      </w:pPr>
      <w:r>
        <w:rPr>
          <w:rFonts w:hint="eastAsia" w:ascii="宋体" w:hAnsi="宋体" w:cs="宋体"/>
          <w:sz w:val="24"/>
          <w:szCs w:val="24"/>
        </w:rPr>
        <w:t>二十三.各类证明材料…………………………………………………</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pStyle w:val="3"/>
        <w:keepNext w:val="0"/>
        <w:keepLines w:val="0"/>
        <w:spacing w:line="360" w:lineRule="auto"/>
        <w:jc w:val="left"/>
        <w:rPr>
          <w:rFonts w:ascii="宋体" w:hAnsi="宋体" w:eastAsia="宋体"/>
          <w:color w:val="000000"/>
          <w:sz w:val="24"/>
          <w:szCs w:val="24"/>
          <w:lang w:eastAsia="zh-CN"/>
        </w:rPr>
      </w:pPr>
      <w:bookmarkStart w:id="28" w:name="_Toc482026547"/>
      <w:r>
        <w:rPr>
          <w:rFonts w:ascii="宋体" w:hAnsi="宋体" w:eastAsia="宋体"/>
          <w:color w:val="000000"/>
          <w:sz w:val="24"/>
          <w:szCs w:val="24"/>
          <w:lang w:eastAsia="zh-CN"/>
        </w:rPr>
        <w:br w:type="page"/>
      </w:r>
    </w:p>
    <w:bookmarkEnd w:id="28"/>
    <w:p>
      <w:pPr>
        <w:spacing w:line="360" w:lineRule="auto"/>
        <w:rPr>
          <w:rFonts w:ascii="宋体" w:hAnsi="宋体" w:cs="楷体_GB2312"/>
          <w:sz w:val="24"/>
          <w:szCs w:val="24"/>
        </w:rPr>
      </w:pPr>
      <w:bookmarkStart w:id="29" w:name="_Toc496792704"/>
      <w:bookmarkStart w:id="30" w:name="_Toc496792928"/>
      <w:r>
        <w:rPr>
          <w:rFonts w:hint="eastAsia" w:ascii="宋体" w:hAnsi="宋体" w:cs="楷体_GB2312"/>
          <w:sz w:val="24"/>
          <w:szCs w:val="24"/>
        </w:rPr>
        <w:t>格式三：</w:t>
      </w:r>
      <w:bookmarkEnd w:id="29"/>
      <w:bookmarkEnd w:id="30"/>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（采购方）</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）询价通知书要求，经我方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询价通知书规定的所有要求，并承诺在中标后执行询价通知书、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（4）不按照询价通知书要求提交履约保证金；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（6）要求更改询价通知书和中标结果公告的实质性内容；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（7）法律法规和询价通知书规定的其他情形。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spacing w:line="360" w:lineRule="auto"/>
        <w:rPr>
          <w:rFonts w:ascii="宋体" w:hAnsi="宋体" w:cs="楷体_GB2312"/>
          <w:sz w:val="24"/>
          <w:szCs w:val="24"/>
        </w:rPr>
      </w:pPr>
      <w:bookmarkStart w:id="31" w:name="_Toc496792929"/>
      <w:bookmarkStart w:id="32" w:name="_Toc496792705"/>
      <w:r>
        <w:rPr>
          <w:rFonts w:hint="eastAsia" w:ascii="宋体" w:hAnsi="宋体" w:cs="楷体_GB2312"/>
          <w:sz w:val="24"/>
          <w:szCs w:val="24"/>
        </w:rPr>
        <w:t>格式四：</w:t>
      </w:r>
      <w:bookmarkEnd w:id="31"/>
      <w:bookmarkEnd w:id="32"/>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24"/>
        <w:spacing w:line="360" w:lineRule="auto"/>
        <w:ind w:left="57" w:right="57" w:firstLine="57"/>
        <w:rPr>
          <w:rFonts w:hAnsi="宋体"/>
          <w:bCs/>
          <w:sz w:val="24"/>
          <w:szCs w:val="24"/>
        </w:rPr>
      </w:pPr>
    </w:p>
    <w:p>
      <w:pPr>
        <w:pStyle w:val="24"/>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日</w:t>
      </w:r>
    </w:p>
    <w:p>
      <w:pPr>
        <w:spacing w:line="360" w:lineRule="auto"/>
        <w:rPr>
          <w:rFonts w:asciiTheme="minorEastAsia" w:hAnsiTheme="minorEastAsia" w:eastAsiaTheme="minorEastAsia"/>
          <w:b/>
          <w:sz w:val="24"/>
          <w:szCs w:val="24"/>
        </w:rPr>
      </w:pPr>
      <w:bookmarkStart w:id="33" w:name="_Toc496792931"/>
      <w:bookmarkStart w:id="34" w:name="_Toc482026549"/>
      <w:bookmarkStart w:id="35" w:name="_Toc496792707"/>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格式七：</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4"/>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信息及指示，进行合同询价活动，负责合同实施阶段的组织和协调工作，以及处理与本招标项目有关的一切事宜。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联合体各成员将严格按照询价通知书、响应文件和合同的要求全面履行义务，并向招标人承担连带责任。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格式十：</w:t>
      </w:r>
      <w:bookmarkEnd w:id="33"/>
      <w:bookmarkEnd w:id="34"/>
      <w:bookmarkEnd w:id="35"/>
    </w:p>
    <w:p>
      <w:pPr>
        <w:adjustRightInd w:val="0"/>
        <w:snapToGrid w:val="0"/>
        <w:spacing w:line="360" w:lineRule="auto"/>
        <w:ind w:firstLine="3000" w:firstLineChars="1250"/>
        <w:jc w:val="left"/>
        <w:rPr>
          <w:rFonts w:ascii="宋体" w:hAnsi="宋体" w:cs="Courier New"/>
          <w:kern w:val="0"/>
          <w:sz w:val="24"/>
          <w:szCs w:val="24"/>
        </w:rPr>
      </w:pPr>
      <w:r>
        <w:rPr>
          <w:rFonts w:hint="eastAsia" w:ascii="宋体" w:hAnsi="宋体"/>
          <w:sz w:val="24"/>
          <w:szCs w:val="24"/>
        </w:rPr>
        <w:t xml:space="preserve">  </w:t>
      </w:r>
      <w:bookmarkStart w:id="36" w:name="_Toc482026550"/>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2．此表将随中标结果公告一并公示，请供应商认真填写。</w:t>
      </w:r>
    </w:p>
    <w:p>
      <w:pPr>
        <w:spacing w:line="360" w:lineRule="auto"/>
        <w:ind w:firstLine="480" w:firstLineChars="200"/>
        <w:rPr>
          <w:rFonts w:ascii="宋体" w:hAnsi="宋体"/>
          <w:color w:val="000000"/>
          <w:sz w:val="24"/>
          <w:szCs w:val="24"/>
        </w:rPr>
      </w:pP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37" w:name="_Toc496792932"/>
      <w:bookmarkStart w:id="38" w:name="_Toc496792708"/>
      <w:r>
        <w:rPr>
          <w:rFonts w:hint="eastAsia" w:asciiTheme="minorEastAsia" w:hAnsiTheme="minorEastAsia" w:eastAsiaTheme="minorEastAsia"/>
          <w:sz w:val="24"/>
          <w:szCs w:val="24"/>
        </w:rPr>
        <w:t>格式十一：</w:t>
      </w:r>
      <w:bookmarkEnd w:id="37"/>
      <w:bookmarkEnd w:id="38"/>
    </w:p>
    <w:p>
      <w:pPr>
        <w:rPr>
          <w:rFonts w:ascii="宋体" w:hAnsi="宋体"/>
          <w:sz w:val="24"/>
          <w:szCs w:val="24"/>
        </w:rPr>
      </w:pPr>
    </w:p>
    <w:p>
      <w:pPr>
        <w:jc w:val="center"/>
        <w:rPr>
          <w:rFonts w:ascii="宋体" w:hAnsi="宋体"/>
          <w:sz w:val="24"/>
          <w:szCs w:val="24"/>
        </w:rPr>
      </w:pPr>
      <w:r>
        <w:rPr>
          <w:rFonts w:hint="eastAsia" w:ascii="宋体" w:hAnsi="宋体"/>
          <w:sz w:val="24"/>
          <w:szCs w:val="24"/>
        </w:rPr>
        <w:t>投标货物情况介绍表</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pStyle w:val="3"/>
        <w:keepNext w:val="0"/>
        <w:keepLines w:val="0"/>
        <w:spacing w:line="360" w:lineRule="auto"/>
        <w:jc w:val="left"/>
        <w:rPr>
          <w:rFonts w:ascii="宋体" w:hAnsi="宋体" w:eastAsia="宋体"/>
          <w:b w:val="0"/>
          <w:color w:val="000000"/>
          <w:sz w:val="24"/>
          <w:szCs w:val="24"/>
          <w:lang w:eastAsia="zh-CN"/>
        </w:rPr>
      </w:pPr>
      <w:r>
        <w:rPr>
          <w:rFonts w:ascii="宋体" w:hAnsi="宋体" w:eastAsia="宋体"/>
          <w:b w:val="0"/>
          <w:color w:val="000000"/>
          <w:sz w:val="24"/>
          <w:szCs w:val="24"/>
          <w:lang w:eastAsia="zh-CN"/>
        </w:rPr>
        <w:br w:type="page"/>
      </w:r>
    </w:p>
    <w:p>
      <w:pPr>
        <w:widowControl/>
        <w:spacing w:line="360" w:lineRule="auto"/>
        <w:jc w:val="left"/>
        <w:rPr>
          <w:rFonts w:asciiTheme="minorEastAsia" w:hAnsiTheme="minorEastAsia" w:eastAsiaTheme="minorEastAsia"/>
          <w:sz w:val="24"/>
          <w:szCs w:val="24"/>
        </w:rPr>
      </w:pPr>
      <w:bookmarkStart w:id="39" w:name="_Toc496792709"/>
      <w:bookmarkStart w:id="40" w:name="_Toc496792933"/>
      <w:r>
        <w:rPr>
          <w:rFonts w:hint="eastAsia" w:asciiTheme="minorEastAsia" w:hAnsiTheme="minorEastAsia" w:eastAsiaTheme="minorEastAsia"/>
          <w:sz w:val="24"/>
          <w:szCs w:val="24"/>
        </w:rPr>
        <w:t>格式十二：</w:t>
      </w:r>
      <w:bookmarkEnd w:id="36"/>
      <w:bookmarkEnd w:id="39"/>
      <w:bookmarkEnd w:id="40"/>
    </w:p>
    <w:p>
      <w:pPr>
        <w:spacing w:line="360" w:lineRule="auto"/>
        <w:jc w:val="center"/>
        <w:rPr>
          <w:rFonts w:ascii="宋体" w:hAnsi="宋体"/>
          <w:sz w:val="24"/>
          <w:szCs w:val="24"/>
        </w:rPr>
      </w:pPr>
      <w:bookmarkStart w:id="41" w:name="_Toc482026551"/>
      <w:r>
        <w:rPr>
          <w:rFonts w:hint="eastAsia" w:ascii="宋体" w:hAnsi="宋体"/>
          <w:sz w:val="24"/>
          <w:szCs w:val="24"/>
        </w:rPr>
        <w:t>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询价通知书要求技术参数、性能指标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4"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2.货物名称：</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询价通知书要求技术参数、性能指标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6"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供应商应按照本询价通知书第四章“货物需求一览表”中确定的技术参数与性能要求，将投标产品的技术参数和性能指标逐一列出，以证明投标产品对询价通知书要求的技术参数和性能指标做出实质性响应。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询价通知书中所列技术指标。询价通知书中所列技术指标仅列出了最低限度，供应商在提供的技术参数、性能指标中必须列出具体数值或内容。对询价通知书原文复制或只注明符合、满足等无具体内容的表述，将视为不符合询价通知书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3"/>
        <w:keepNext w:val="0"/>
        <w:keepLines w:val="0"/>
        <w:spacing w:line="360" w:lineRule="auto"/>
        <w:rPr>
          <w:rFonts w:ascii="宋体" w:hAnsi="宋体" w:eastAsia="宋体"/>
          <w:b w:val="0"/>
          <w:color w:val="000000"/>
          <w:sz w:val="24"/>
          <w:szCs w:val="24"/>
          <w:lang w:eastAsia="zh-CN"/>
        </w:rPr>
      </w:pPr>
      <w:r>
        <w:rPr>
          <w:rFonts w:ascii="宋体" w:hAnsi="宋体" w:eastAsia="宋体"/>
          <w:b w:val="0"/>
          <w:color w:val="000000"/>
          <w:sz w:val="24"/>
          <w:szCs w:val="24"/>
          <w:lang w:eastAsia="zh-CN"/>
        </w:rPr>
        <w:br w:type="page"/>
      </w:r>
    </w:p>
    <w:p>
      <w:pPr>
        <w:widowControl/>
        <w:spacing w:line="360" w:lineRule="auto"/>
        <w:jc w:val="left"/>
        <w:rPr>
          <w:rFonts w:asciiTheme="minorEastAsia" w:hAnsiTheme="minorEastAsia" w:eastAsiaTheme="minorEastAsia"/>
          <w:sz w:val="24"/>
          <w:szCs w:val="24"/>
        </w:rPr>
      </w:pPr>
      <w:bookmarkStart w:id="42" w:name="_Toc496792934"/>
      <w:bookmarkStart w:id="43" w:name="_Toc496792710"/>
      <w:r>
        <w:rPr>
          <w:rFonts w:hint="eastAsia" w:asciiTheme="minorEastAsia" w:hAnsiTheme="minorEastAsia" w:eastAsiaTheme="minorEastAsia"/>
          <w:sz w:val="24"/>
          <w:szCs w:val="24"/>
        </w:rPr>
        <w:t>格式十三：</w:t>
      </w:r>
      <w:bookmarkEnd w:id="41"/>
      <w:bookmarkEnd w:id="42"/>
      <w:bookmarkEnd w:id="43"/>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 xml:space="preserve">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2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2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44"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44"/>
      <w:r>
        <w:rPr>
          <w:rFonts w:hint="eastAsia" w:ascii="宋体" w:hAnsi="宋体" w:cs="宋体"/>
          <w:sz w:val="24"/>
          <w:szCs w:val="24"/>
        </w:rPr>
        <w:t>。</w:t>
      </w:r>
    </w:p>
    <w:p>
      <w:pPr>
        <w:pStyle w:val="24"/>
        <w:spacing w:line="360" w:lineRule="auto"/>
        <w:ind w:firstLine="480" w:firstLineChars="200"/>
        <w:rPr>
          <w:sz w:val="24"/>
          <w:szCs w:val="24"/>
        </w:rPr>
      </w:pPr>
      <w:bookmarkStart w:id="45" w:name="_Toc266431152"/>
      <w:r>
        <w:rPr>
          <w:sz w:val="24"/>
          <w:szCs w:val="24"/>
        </w:rPr>
        <w:t>2.</w:t>
      </w:r>
      <w:r>
        <w:rPr>
          <w:rFonts w:hint="eastAsia"/>
          <w:sz w:val="24"/>
          <w:szCs w:val="24"/>
        </w:rPr>
        <w:t>本地化售后服务网点分布、机构名称、联系人、联系电话。</w:t>
      </w:r>
      <w:bookmarkEnd w:id="45"/>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46"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widowControl/>
        <w:spacing w:line="360" w:lineRule="auto"/>
        <w:jc w:val="left"/>
        <w:rPr>
          <w:rFonts w:asciiTheme="minorEastAsia" w:hAnsiTheme="minorEastAsia" w:eastAsiaTheme="minorEastAsia"/>
          <w:sz w:val="24"/>
          <w:szCs w:val="24"/>
        </w:rPr>
      </w:pPr>
      <w:bookmarkStart w:id="47" w:name="_Toc496792711"/>
      <w:bookmarkStart w:id="48" w:name="_Toc496792935"/>
      <w:r>
        <w:rPr>
          <w:rFonts w:hint="eastAsia" w:asciiTheme="minorEastAsia" w:hAnsiTheme="minorEastAsia" w:eastAsiaTheme="minorEastAsia"/>
          <w:sz w:val="24"/>
          <w:szCs w:val="24"/>
        </w:rPr>
        <w:t>格式十四：</w:t>
      </w:r>
      <w:bookmarkEnd w:id="46"/>
      <w:bookmarkEnd w:id="47"/>
      <w:bookmarkEnd w:id="48"/>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49"/>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询价通知书商务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49" w:name="_Toc482026553"/>
    </w:p>
    <w:p>
      <w:pPr>
        <w:pStyle w:val="3"/>
        <w:keepNext w:val="0"/>
        <w:keepLines w:val="0"/>
        <w:spacing w:line="360" w:lineRule="auto"/>
        <w:rPr>
          <w:rFonts w:ascii="宋体" w:hAnsi="宋体" w:eastAsia="宋体"/>
          <w:b w:val="0"/>
          <w:sz w:val="24"/>
          <w:szCs w:val="24"/>
          <w:lang w:val="en-US" w:eastAsia="zh-CN"/>
        </w:rPr>
      </w:pPr>
      <w:r>
        <w:rPr>
          <w:rFonts w:ascii="宋体" w:hAnsi="宋体" w:eastAsia="宋体"/>
          <w:b w:val="0"/>
          <w:sz w:val="24"/>
          <w:szCs w:val="24"/>
          <w:lang w:val="en-US" w:eastAsia="zh-CN"/>
        </w:rPr>
        <w:br w:type="page"/>
      </w:r>
    </w:p>
    <w:p>
      <w:pPr>
        <w:widowControl/>
        <w:spacing w:line="360" w:lineRule="auto"/>
        <w:jc w:val="left"/>
        <w:rPr>
          <w:rFonts w:asciiTheme="minorEastAsia" w:hAnsiTheme="minorEastAsia" w:eastAsiaTheme="minorEastAsia"/>
          <w:sz w:val="24"/>
          <w:szCs w:val="24"/>
        </w:rPr>
      </w:pPr>
      <w:bookmarkStart w:id="50" w:name="_Toc496792712"/>
      <w:bookmarkStart w:id="51" w:name="_Toc496792936"/>
      <w:r>
        <w:rPr>
          <w:rFonts w:hint="eastAsia" w:asciiTheme="minorEastAsia" w:hAnsiTheme="minorEastAsia" w:eastAsiaTheme="minorEastAsia"/>
          <w:sz w:val="24"/>
          <w:szCs w:val="24"/>
        </w:rPr>
        <w:t>格式十五：</w:t>
      </w:r>
      <w:bookmarkEnd w:id="49"/>
      <w:bookmarkEnd w:id="50"/>
      <w:bookmarkEnd w:id="51"/>
    </w:p>
    <w:p>
      <w:pPr>
        <w:spacing w:line="360" w:lineRule="auto"/>
        <w:jc w:val="center"/>
        <w:rPr>
          <w:rFonts w:ascii="宋体" w:hAnsi="宋体"/>
          <w:b/>
          <w:sz w:val="24"/>
          <w:szCs w:val="24"/>
        </w:rPr>
      </w:pPr>
      <w:bookmarkStart w:id="52" w:name="_Toc482026554"/>
      <w:r>
        <w:rPr>
          <w:rFonts w:hint="eastAsia" w:ascii="宋体" w:hAnsi="宋体"/>
          <w:sz w:val="24"/>
          <w:szCs w:val="24"/>
        </w:rPr>
        <w:t>供应商业绩情况表</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1</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2</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3</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4</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53" w:name="_Toc496792713"/>
      <w:bookmarkStart w:id="54" w:name="_Toc496792937"/>
      <w:r>
        <w:rPr>
          <w:rFonts w:hint="eastAsia" w:asciiTheme="minorEastAsia" w:hAnsiTheme="minorEastAsia" w:eastAsiaTheme="minorEastAsia"/>
          <w:sz w:val="24"/>
          <w:szCs w:val="24"/>
        </w:rPr>
        <w:t>格式十六：</w:t>
      </w:r>
      <w:bookmarkEnd w:id="52"/>
      <w:bookmarkEnd w:id="53"/>
      <w:bookmarkEnd w:id="54"/>
    </w:p>
    <w:p>
      <w:pPr>
        <w:spacing w:line="360" w:lineRule="auto"/>
        <w:jc w:val="center"/>
        <w:rPr>
          <w:rFonts w:ascii="宋体" w:hAnsi="宋体"/>
          <w:sz w:val="24"/>
          <w:szCs w:val="24"/>
          <w:lang w:val="zh-CN"/>
        </w:rPr>
      </w:pPr>
      <w:r>
        <w:rPr>
          <w:rFonts w:hint="eastAsia" w:ascii="宋体" w:hAnsi="宋体"/>
          <w:sz w:val="24"/>
          <w:szCs w:val="24"/>
          <w:lang w:val="zh-CN"/>
        </w:rPr>
        <w:t>供应商基本情况表</w:t>
      </w:r>
    </w:p>
    <w:tbl>
      <w:tblPr>
        <w:tblStyle w:val="49"/>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55" w:name="_Toc482026555"/>
      <w:r>
        <w:rPr>
          <w:rFonts w:ascii="宋体" w:hAnsi="宋体"/>
          <w:sz w:val="24"/>
          <w:szCs w:val="24"/>
          <w:lang w:val="zh-CN"/>
        </w:rPr>
        <w:br w:type="page"/>
      </w:r>
    </w:p>
    <w:bookmarkEnd w:id="55"/>
    <w:p>
      <w:pPr>
        <w:spacing w:line="360" w:lineRule="auto"/>
        <w:rPr>
          <w:rFonts w:ascii="宋体" w:hAnsi="宋体"/>
          <w:b/>
          <w:color w:val="000000"/>
          <w:sz w:val="24"/>
          <w:szCs w:val="24"/>
        </w:rPr>
      </w:pPr>
      <w:bookmarkStart w:id="56" w:name="_Toc496792941"/>
      <w:bookmarkStart w:id="57" w:name="_Toc482026558"/>
      <w:bookmarkStart w:id="58" w:name="_Toc496792717"/>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59" w:name="_Toc438655702"/>
      <w:bookmarkStart w:id="60" w:name="_Toc438714732"/>
      <w:bookmarkStart w:id="61" w:name="_Toc482026556"/>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59"/>
      <w:bookmarkEnd w:id="60"/>
      <w:bookmarkEnd w:id="61"/>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62" w:name="_Toc482026557"/>
      <w:bookmarkStart w:id="63" w:name="_Toc438714733"/>
      <w:bookmarkStart w:id="64" w:name="_Toc438655703"/>
      <w:r>
        <w:rPr>
          <w:rFonts w:ascii="宋体" w:hAnsi="宋体"/>
          <w:b/>
          <w:color w:val="000000"/>
          <w:sz w:val="24"/>
          <w:szCs w:val="24"/>
        </w:rPr>
        <w:br w:type="page"/>
      </w:r>
      <w:r>
        <w:rPr>
          <w:rFonts w:hint="eastAsia" w:ascii="宋体" w:hAnsi="宋体"/>
          <w:b/>
          <w:color w:val="000000"/>
          <w:sz w:val="24"/>
          <w:szCs w:val="24"/>
        </w:rPr>
        <w:t>格式十九：</w:t>
      </w:r>
      <w:bookmarkEnd w:id="62"/>
      <w:bookmarkEnd w:id="63"/>
      <w:bookmarkEnd w:id="64"/>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格式二十：</w:t>
      </w:r>
      <w:bookmarkEnd w:id="56"/>
      <w:bookmarkEnd w:id="57"/>
      <w:bookmarkEnd w:id="58"/>
    </w:p>
    <w:p>
      <w:pPr>
        <w:spacing w:line="360" w:lineRule="auto"/>
        <w:ind w:firstLine="480" w:firstLineChars="200"/>
        <w:jc w:val="center"/>
        <w:rPr>
          <w:rFonts w:ascii="宋体" w:hAnsi="宋体"/>
          <w:sz w:val="24"/>
          <w:szCs w:val="24"/>
        </w:rPr>
      </w:pPr>
    </w:p>
    <w:p>
      <w:pPr>
        <w:autoSpaceDE w:val="0"/>
        <w:autoSpaceDN w:val="0"/>
        <w:spacing w:line="360" w:lineRule="auto"/>
        <w:ind w:firstLine="2160" w:firstLineChars="900"/>
        <w:rPr>
          <w:rFonts w:ascii="宋体" w:hAnsi="宋体"/>
          <w:color w:val="000000"/>
          <w:sz w:val="24"/>
          <w:szCs w:val="24"/>
        </w:rPr>
      </w:pPr>
      <w:r>
        <w:rPr>
          <w:rFonts w:hint="eastAsia" w:ascii="宋体" w:hAnsi="宋体"/>
          <w:color w:val="000000"/>
          <w:sz w:val="24"/>
          <w:szCs w:val="24"/>
        </w:rPr>
        <w:t>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7"/>
          <w:rFonts w:hint="eastAsia" w:ascii="宋体" w:hAnsi="宋体" w:cs="宋体"/>
          <w:kern w:val="0"/>
          <w:sz w:val="24"/>
          <w:szCs w:val="24"/>
        </w:rPr>
        <w:t>www.creditchina.gov.cn</w:t>
      </w:r>
      <w:r>
        <w:rPr>
          <w:rStyle w:val="47"/>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47"/>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3"/>
        <w:keepNext w:val="0"/>
        <w:keepLines w:val="0"/>
        <w:spacing w:line="360" w:lineRule="auto"/>
        <w:rPr>
          <w:rFonts w:ascii="宋体" w:hAnsi="宋体" w:eastAsia="宋体"/>
          <w:b w:val="0"/>
          <w:bCs w:val="0"/>
          <w:color w:val="000000"/>
          <w:kern w:val="2"/>
          <w:sz w:val="24"/>
          <w:szCs w:val="24"/>
          <w:lang w:val="en-US" w:eastAsia="zh-CN"/>
        </w:rPr>
      </w:pPr>
      <w:bookmarkStart w:id="65" w:name="_Toc482026559"/>
      <w:r>
        <w:rPr>
          <w:rFonts w:ascii="宋体" w:hAnsi="宋体" w:eastAsia="宋体"/>
          <w:b w:val="0"/>
          <w:bCs w:val="0"/>
          <w:color w:val="000000"/>
          <w:kern w:val="2"/>
          <w:sz w:val="24"/>
          <w:szCs w:val="24"/>
          <w:lang w:val="en-US" w:eastAsia="zh-CN"/>
        </w:rPr>
        <w:br w:type="page"/>
      </w:r>
    </w:p>
    <w:bookmarkEnd w:id="65"/>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格式二十一：</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政府采购政策情况表</w:t>
      </w:r>
    </w:p>
    <w:tbl>
      <w:tblPr>
        <w:tblStyle w:val="49"/>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608" w:type="dxa"/>
            <w:vMerge w:val="restart"/>
            <w:shd w:val="clear" w:color="auto" w:fill="auto"/>
            <w:vAlign w:val="center"/>
          </w:tcPr>
          <w:p>
            <w:pPr>
              <w:pStyle w:val="224"/>
              <w:tabs>
                <w:tab w:val="left" w:pos="1260"/>
              </w:tabs>
              <w:spacing w:before="156" w:after="156"/>
              <w:ind w:firstLine="480"/>
              <w:rPr>
                <w:rFonts w:ascii="宋体" w:hAnsi="宋体" w:cs="宋体"/>
                <w:kern w:val="0"/>
                <w:sz w:val="24"/>
              </w:rPr>
            </w:pPr>
            <w:r>
              <w:rPr>
                <w:rFonts w:hint="eastAsia" w:ascii="宋体" w:hAnsi="宋体" w:cs="宋体"/>
                <w:kern w:val="0"/>
                <w:sz w:val="24"/>
              </w:rPr>
              <w:t>中小企业扶持政策</w:t>
            </w:r>
          </w:p>
          <w:p>
            <w:pPr>
              <w:pStyle w:val="224"/>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22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22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224"/>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22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ind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本表内容与本询价通知书其他要求填写不一致或本表填写不完整的，不予价格扣除。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Cs/>
          <w:sz w:val="24"/>
        </w:rPr>
      </w:pPr>
      <w:r>
        <w:rPr>
          <w:rFonts w:hint="eastAsia"/>
          <w:bCs/>
          <w:sz w:val="24"/>
        </w:rPr>
        <w:t>格式二十</w:t>
      </w:r>
      <w:r>
        <w:rPr>
          <w:rFonts w:hint="eastAsia"/>
          <w:bCs/>
          <w:sz w:val="24"/>
          <w:lang w:eastAsia="zh-CN"/>
        </w:rPr>
        <w:t>二</w:t>
      </w:r>
      <w:r>
        <w:rPr>
          <w:rFonts w:hint="eastAsia"/>
          <w:bCs/>
          <w:sz w:val="24"/>
        </w:rPr>
        <w:t>：</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66" w:name="OLE_LINK5"/>
      <w:bookmarkStart w:id="67" w:name="OLE_LINK2"/>
      <w:r>
        <w:rPr>
          <w:rFonts w:hint="eastAsia" w:ascii="宋体" w:hAnsi="宋体" w:cs="宋体"/>
          <w:kern w:val="0"/>
          <w:sz w:val="24"/>
          <w:szCs w:val="24"/>
        </w:rPr>
        <w:t>______（请填写：中型、小型、微型）企业</w:t>
      </w:r>
      <w:bookmarkEnd w:id="66"/>
      <w:bookmarkEnd w:id="6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Cs/>
          <w:color w:val="000000"/>
          <w:kern w:val="0"/>
          <w:sz w:val="24"/>
          <w:szCs w:val="24"/>
          <w:lang w:val="zh-CN"/>
        </w:rPr>
      </w:pPr>
      <w:r>
        <w:rPr>
          <w:rFonts w:hint="eastAsia" w:ascii="宋体" w:hAnsi="宋体"/>
          <w:bCs/>
          <w:color w:val="000000"/>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bCs/>
          <w:color w:val="000000"/>
          <w:kern w:val="0"/>
          <w:sz w:val="24"/>
          <w:szCs w:val="24"/>
          <w:lang w:val="zh-CN" w:eastAsia="zh-CN"/>
        </w:rPr>
      </w:pPr>
      <w:r>
        <w:rPr>
          <w:rFonts w:hint="eastAsia" w:ascii="宋体" w:hAnsi="宋体"/>
          <w:bCs/>
          <w:color w:val="000000"/>
          <w:kern w:val="0"/>
          <w:sz w:val="24"/>
          <w:szCs w:val="24"/>
          <w:lang w:val="zh-CN" w:eastAsia="zh-CN"/>
        </w:rPr>
        <w:t>格式</w:t>
      </w:r>
      <w:r>
        <w:rPr>
          <w:rFonts w:hint="eastAsia" w:ascii="宋体" w:hAnsi="宋体"/>
          <w:bCs/>
          <w:color w:val="000000"/>
          <w:kern w:val="0"/>
          <w:sz w:val="24"/>
          <w:szCs w:val="24"/>
          <w:lang w:val="zh-CN"/>
        </w:rPr>
        <w:t>二十四：</w:t>
      </w:r>
      <w:r>
        <w:rPr>
          <w:rFonts w:ascii="宋体" w:hAnsi="宋体"/>
          <w:bCs/>
          <w:color w:val="000000"/>
          <w:kern w:val="0"/>
          <w:sz w:val="24"/>
          <w:szCs w:val="24"/>
          <w:lang w:val="zh-CN"/>
        </w:rPr>
        <w:br w:type="textWrapping"/>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rPr>
        <w:t>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1.询价通知书要求提供的其他资料。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68" w:name="_Toc497408485"/>
      <w:r>
        <w:rPr>
          <w:rFonts w:hint="eastAsia" w:ascii="宋体" w:hAnsi="宋体"/>
          <w:color w:val="000000"/>
          <w:sz w:val="24"/>
          <w:szCs w:val="24"/>
        </w:rPr>
        <w:t>温馨提示</w:t>
      </w:r>
      <w:bookmarkEnd w:id="6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请在编制响应文件前请认真阅读并理解询价通知书。现就容易导致废标或无效投标的条款特别提示如下：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及时查看投标项目的相关信息公告，如询价公告、变更公告、废标公告等。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4.按照询价通知书规定的时间、地点，提前到达并递交响应文件。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5.注意响应文件中相关证明材料的完整性及有效期限。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737" w:right="1247" w:bottom="737" w:left="1247"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pBdr>
        <w:between w:val="none" w:color="auto" w:sz="0" w:space="0"/>
      </w:pBdr>
    </w:pPr>
    <w:r>
      <w:fldChar w:fldCharType="begin"/>
    </w:r>
    <w:r>
      <w:rPr>
        <w:rStyle w:val="44"/>
      </w:rPr>
      <w:instrText xml:space="preserve"> PAGE  </w:instrText>
    </w:r>
    <w:r>
      <w:fldChar w:fldCharType="separate"/>
    </w:r>
    <w:r>
      <w:rPr>
        <w:rStyle w:val="44"/>
      </w:rPr>
      <w:t>29</w:t>
    </w:r>
    <w:r>
      <w:fldChar w:fldCharType="end"/>
    </w: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pBdr>
        <w:between w:val="none" w:color="auto" w:sz="0" w:space="0"/>
      </w:pBdr>
    </w:pPr>
    <w:r>
      <w:fldChar w:fldCharType="begin"/>
    </w:r>
    <w:r>
      <w:rPr>
        <w:rStyle w:val="44"/>
      </w:rPr>
      <w:instrText xml:space="preserve"> PAGE  </w:instrText>
    </w:r>
    <w:r>
      <w:fldChar w:fldCharType="separate"/>
    </w:r>
    <w:r>
      <w:rPr>
        <w:rStyle w:val="44"/>
      </w:rPr>
      <w:t>51</w:t>
    </w:r>
    <w:r>
      <w:fldChar w:fldCharType="end"/>
    </w:r>
  </w:p>
  <w:p>
    <w:pPr>
      <w:pStyle w:val="2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4"/>
      </w:rPr>
    </w:pPr>
  </w:p>
  <w:p>
    <w:pPr>
      <w:pStyle w:val="29"/>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4"/>
        <w:sz w:val="17"/>
        <w:szCs w:val="17"/>
      </w:rPr>
    </w:pPr>
    <w:r>
      <w:rPr>
        <w:rStyle w:val="44"/>
        <w:sz w:val="17"/>
        <w:szCs w:val="17"/>
      </w:rPr>
      <w:fldChar w:fldCharType="begin"/>
    </w:r>
    <w:r>
      <w:rPr>
        <w:rStyle w:val="44"/>
        <w:sz w:val="17"/>
        <w:szCs w:val="17"/>
      </w:rPr>
      <w:instrText xml:space="preserve">PAGE  </w:instrText>
    </w:r>
    <w:r>
      <w:rPr>
        <w:rStyle w:val="44"/>
        <w:sz w:val="17"/>
        <w:szCs w:val="17"/>
      </w:rPr>
      <w:fldChar w:fldCharType="end"/>
    </w:r>
  </w:p>
  <w:p>
    <w:pPr>
      <w:pStyle w:val="29"/>
      <w:ind w:right="360" w:firstLine="360"/>
      <w:rPr>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4"/>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7"/>
      <w:suff w:val="nothing"/>
      <w:lvlText w:val="%1%2.%3.%4　"/>
      <w:lvlJc w:val="left"/>
      <w:pPr>
        <w:ind w:left="0" w:firstLine="0"/>
      </w:pPr>
      <w:rPr>
        <w:rFonts w:hint="eastAsia" w:ascii="黑体" w:hAnsi="Times New Roman" w:eastAsia="黑体"/>
        <w:b w:val="0"/>
        <w:i w:val="0"/>
        <w:sz w:val="21"/>
      </w:rPr>
    </w:lvl>
    <w:lvl w:ilvl="4" w:tentative="0">
      <w:start w:val="1"/>
      <w:numFmt w:val="decimal"/>
      <w:pStyle w:val="18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19"/>
      <w:lvlText w:val="%3."/>
      <w:lvlJc w:val="right"/>
      <w:pPr>
        <w:tabs>
          <w:tab w:val="left" w:pos="1809"/>
        </w:tabs>
        <w:ind w:left="1809" w:hanging="420"/>
      </w:pPr>
    </w:lvl>
    <w:lvl w:ilvl="3" w:tentative="0">
      <w:start w:val="1"/>
      <w:numFmt w:val="decimal"/>
      <w:pStyle w:val="222"/>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93"/>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220"/>
      <w:lvlText w:val="%1"/>
      <w:lvlJc w:val="left"/>
      <w:pPr>
        <w:tabs>
          <w:tab w:val="left" w:pos="0"/>
        </w:tabs>
        <w:ind w:left="0" w:hanging="425"/>
      </w:pPr>
    </w:lvl>
    <w:lvl w:ilvl="1" w:tentative="0">
      <w:start w:val="1"/>
      <w:numFmt w:val="decimal"/>
      <w:pStyle w:val="221"/>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06C47"/>
    <w:rsid w:val="000124B7"/>
    <w:rsid w:val="00015A02"/>
    <w:rsid w:val="00015B44"/>
    <w:rsid w:val="00021C1D"/>
    <w:rsid w:val="000237C9"/>
    <w:rsid w:val="00024348"/>
    <w:rsid w:val="000275BE"/>
    <w:rsid w:val="00030745"/>
    <w:rsid w:val="0003153C"/>
    <w:rsid w:val="00032217"/>
    <w:rsid w:val="00032340"/>
    <w:rsid w:val="00032A72"/>
    <w:rsid w:val="00032C24"/>
    <w:rsid w:val="00035AB0"/>
    <w:rsid w:val="00040454"/>
    <w:rsid w:val="0004101F"/>
    <w:rsid w:val="0004149A"/>
    <w:rsid w:val="00041708"/>
    <w:rsid w:val="00042767"/>
    <w:rsid w:val="00043181"/>
    <w:rsid w:val="00044995"/>
    <w:rsid w:val="00044B0F"/>
    <w:rsid w:val="00047260"/>
    <w:rsid w:val="000521B0"/>
    <w:rsid w:val="0005504F"/>
    <w:rsid w:val="000554EC"/>
    <w:rsid w:val="000558A5"/>
    <w:rsid w:val="00055AB3"/>
    <w:rsid w:val="00060357"/>
    <w:rsid w:val="000611DB"/>
    <w:rsid w:val="000629DD"/>
    <w:rsid w:val="00063168"/>
    <w:rsid w:val="0006359A"/>
    <w:rsid w:val="00071A78"/>
    <w:rsid w:val="00073FAA"/>
    <w:rsid w:val="000750A4"/>
    <w:rsid w:val="00075164"/>
    <w:rsid w:val="00075906"/>
    <w:rsid w:val="00076D91"/>
    <w:rsid w:val="00077EEC"/>
    <w:rsid w:val="00080598"/>
    <w:rsid w:val="00082D2C"/>
    <w:rsid w:val="00086144"/>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51"/>
    <w:rsid w:val="000B7161"/>
    <w:rsid w:val="000B7365"/>
    <w:rsid w:val="000C5C82"/>
    <w:rsid w:val="000C612E"/>
    <w:rsid w:val="000C6D84"/>
    <w:rsid w:val="000D02AA"/>
    <w:rsid w:val="000D0A17"/>
    <w:rsid w:val="000D17C6"/>
    <w:rsid w:val="000D515C"/>
    <w:rsid w:val="000D5C01"/>
    <w:rsid w:val="000E15BD"/>
    <w:rsid w:val="000E550B"/>
    <w:rsid w:val="000E6319"/>
    <w:rsid w:val="000F082D"/>
    <w:rsid w:val="000F333E"/>
    <w:rsid w:val="000F422E"/>
    <w:rsid w:val="000F6D0F"/>
    <w:rsid w:val="001016F2"/>
    <w:rsid w:val="00103E0C"/>
    <w:rsid w:val="00104530"/>
    <w:rsid w:val="00105203"/>
    <w:rsid w:val="001066A5"/>
    <w:rsid w:val="00106730"/>
    <w:rsid w:val="0010792E"/>
    <w:rsid w:val="001117FE"/>
    <w:rsid w:val="00111FA5"/>
    <w:rsid w:val="001157EF"/>
    <w:rsid w:val="00117038"/>
    <w:rsid w:val="00117F1A"/>
    <w:rsid w:val="00120A63"/>
    <w:rsid w:val="00123BAE"/>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7C1F"/>
    <w:rsid w:val="00160171"/>
    <w:rsid w:val="00160C4C"/>
    <w:rsid w:val="00161123"/>
    <w:rsid w:val="001611B8"/>
    <w:rsid w:val="00161331"/>
    <w:rsid w:val="00162B44"/>
    <w:rsid w:val="00165EB9"/>
    <w:rsid w:val="00166437"/>
    <w:rsid w:val="00170333"/>
    <w:rsid w:val="00171AA8"/>
    <w:rsid w:val="00173860"/>
    <w:rsid w:val="00176355"/>
    <w:rsid w:val="00177528"/>
    <w:rsid w:val="00180D8E"/>
    <w:rsid w:val="0018304A"/>
    <w:rsid w:val="00183F40"/>
    <w:rsid w:val="00186AFA"/>
    <w:rsid w:val="00190BA3"/>
    <w:rsid w:val="001A0B92"/>
    <w:rsid w:val="001A1231"/>
    <w:rsid w:val="001A22C1"/>
    <w:rsid w:val="001A3186"/>
    <w:rsid w:val="001A3257"/>
    <w:rsid w:val="001A4ADD"/>
    <w:rsid w:val="001A58AD"/>
    <w:rsid w:val="001A5910"/>
    <w:rsid w:val="001A6850"/>
    <w:rsid w:val="001B2547"/>
    <w:rsid w:val="001B4ECB"/>
    <w:rsid w:val="001B631D"/>
    <w:rsid w:val="001C1F18"/>
    <w:rsid w:val="001C2945"/>
    <w:rsid w:val="001C4C6E"/>
    <w:rsid w:val="001C66C5"/>
    <w:rsid w:val="001C7085"/>
    <w:rsid w:val="001C780A"/>
    <w:rsid w:val="001C7988"/>
    <w:rsid w:val="001D1224"/>
    <w:rsid w:val="001D128E"/>
    <w:rsid w:val="001D44B5"/>
    <w:rsid w:val="001D470F"/>
    <w:rsid w:val="001D64BB"/>
    <w:rsid w:val="001D7C35"/>
    <w:rsid w:val="001D7E3A"/>
    <w:rsid w:val="001E146C"/>
    <w:rsid w:val="001E2F8C"/>
    <w:rsid w:val="001E6B2B"/>
    <w:rsid w:val="001F3324"/>
    <w:rsid w:val="001F38E6"/>
    <w:rsid w:val="001F3E24"/>
    <w:rsid w:val="001F46E4"/>
    <w:rsid w:val="001F50D5"/>
    <w:rsid w:val="00200C69"/>
    <w:rsid w:val="00200E3E"/>
    <w:rsid w:val="002024F8"/>
    <w:rsid w:val="00203A97"/>
    <w:rsid w:val="00203C57"/>
    <w:rsid w:val="00204D35"/>
    <w:rsid w:val="00205A07"/>
    <w:rsid w:val="002138E0"/>
    <w:rsid w:val="002141C4"/>
    <w:rsid w:val="0021704B"/>
    <w:rsid w:val="00217885"/>
    <w:rsid w:val="00217F36"/>
    <w:rsid w:val="002214BF"/>
    <w:rsid w:val="002216D2"/>
    <w:rsid w:val="002309C7"/>
    <w:rsid w:val="002349C2"/>
    <w:rsid w:val="002359DD"/>
    <w:rsid w:val="00235E8C"/>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2F52"/>
    <w:rsid w:val="002833E4"/>
    <w:rsid w:val="002847EC"/>
    <w:rsid w:val="00285F7D"/>
    <w:rsid w:val="00286176"/>
    <w:rsid w:val="002900C6"/>
    <w:rsid w:val="00290210"/>
    <w:rsid w:val="00290AF1"/>
    <w:rsid w:val="00290EA5"/>
    <w:rsid w:val="00291660"/>
    <w:rsid w:val="0029262E"/>
    <w:rsid w:val="00292903"/>
    <w:rsid w:val="00293351"/>
    <w:rsid w:val="00294C80"/>
    <w:rsid w:val="002954F1"/>
    <w:rsid w:val="0029615E"/>
    <w:rsid w:val="00297645"/>
    <w:rsid w:val="002A1E57"/>
    <w:rsid w:val="002A2412"/>
    <w:rsid w:val="002A3538"/>
    <w:rsid w:val="002A5FA3"/>
    <w:rsid w:val="002B07D2"/>
    <w:rsid w:val="002B086D"/>
    <w:rsid w:val="002B45CD"/>
    <w:rsid w:val="002B46C2"/>
    <w:rsid w:val="002B6555"/>
    <w:rsid w:val="002B6ACB"/>
    <w:rsid w:val="002C0752"/>
    <w:rsid w:val="002C1118"/>
    <w:rsid w:val="002C1AB6"/>
    <w:rsid w:val="002C2541"/>
    <w:rsid w:val="002C5CB7"/>
    <w:rsid w:val="002C5EBE"/>
    <w:rsid w:val="002C6799"/>
    <w:rsid w:val="002C7284"/>
    <w:rsid w:val="002D274A"/>
    <w:rsid w:val="002D2ABF"/>
    <w:rsid w:val="002D3A79"/>
    <w:rsid w:val="002D3ACF"/>
    <w:rsid w:val="002D3B81"/>
    <w:rsid w:val="002D565D"/>
    <w:rsid w:val="002D5A33"/>
    <w:rsid w:val="002D5B54"/>
    <w:rsid w:val="002E335C"/>
    <w:rsid w:val="002E3D50"/>
    <w:rsid w:val="002E46E2"/>
    <w:rsid w:val="002E5B7A"/>
    <w:rsid w:val="002E5EAB"/>
    <w:rsid w:val="002E5EDD"/>
    <w:rsid w:val="002E6E32"/>
    <w:rsid w:val="002E7AC9"/>
    <w:rsid w:val="002F0A77"/>
    <w:rsid w:val="002F14A2"/>
    <w:rsid w:val="002F1BD4"/>
    <w:rsid w:val="002F4D72"/>
    <w:rsid w:val="002F4ECE"/>
    <w:rsid w:val="002F5648"/>
    <w:rsid w:val="002F622D"/>
    <w:rsid w:val="002F7057"/>
    <w:rsid w:val="002F7ADE"/>
    <w:rsid w:val="003004E5"/>
    <w:rsid w:val="003028A1"/>
    <w:rsid w:val="00305086"/>
    <w:rsid w:val="0030511C"/>
    <w:rsid w:val="00305EF3"/>
    <w:rsid w:val="00307C6D"/>
    <w:rsid w:val="0031146F"/>
    <w:rsid w:val="003166E1"/>
    <w:rsid w:val="003175DD"/>
    <w:rsid w:val="00317A60"/>
    <w:rsid w:val="0032346F"/>
    <w:rsid w:val="003252DF"/>
    <w:rsid w:val="00330FBC"/>
    <w:rsid w:val="00331EF4"/>
    <w:rsid w:val="0033413C"/>
    <w:rsid w:val="0034009B"/>
    <w:rsid w:val="00340152"/>
    <w:rsid w:val="00343DE1"/>
    <w:rsid w:val="0034496B"/>
    <w:rsid w:val="003453A3"/>
    <w:rsid w:val="003456D5"/>
    <w:rsid w:val="00346797"/>
    <w:rsid w:val="00350415"/>
    <w:rsid w:val="00350FCE"/>
    <w:rsid w:val="00351A42"/>
    <w:rsid w:val="00354113"/>
    <w:rsid w:val="00354D79"/>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92C"/>
    <w:rsid w:val="003713F6"/>
    <w:rsid w:val="00372CDD"/>
    <w:rsid w:val="00374800"/>
    <w:rsid w:val="0037604A"/>
    <w:rsid w:val="0037796F"/>
    <w:rsid w:val="00382AB1"/>
    <w:rsid w:val="003850C1"/>
    <w:rsid w:val="00386C41"/>
    <w:rsid w:val="00386F2E"/>
    <w:rsid w:val="00387C9F"/>
    <w:rsid w:val="00391691"/>
    <w:rsid w:val="0039586D"/>
    <w:rsid w:val="0039754F"/>
    <w:rsid w:val="003978E6"/>
    <w:rsid w:val="003A0038"/>
    <w:rsid w:val="003A059F"/>
    <w:rsid w:val="003A231E"/>
    <w:rsid w:val="003A585F"/>
    <w:rsid w:val="003A60CE"/>
    <w:rsid w:val="003A6F8D"/>
    <w:rsid w:val="003A7970"/>
    <w:rsid w:val="003A7DC4"/>
    <w:rsid w:val="003A7FDC"/>
    <w:rsid w:val="003B0676"/>
    <w:rsid w:val="003B5C3F"/>
    <w:rsid w:val="003B6A56"/>
    <w:rsid w:val="003C4C9F"/>
    <w:rsid w:val="003C57A9"/>
    <w:rsid w:val="003C62D0"/>
    <w:rsid w:val="003D1807"/>
    <w:rsid w:val="003D198A"/>
    <w:rsid w:val="003D305F"/>
    <w:rsid w:val="003D3113"/>
    <w:rsid w:val="003D3190"/>
    <w:rsid w:val="003D5318"/>
    <w:rsid w:val="003D7194"/>
    <w:rsid w:val="003D73A0"/>
    <w:rsid w:val="003E0287"/>
    <w:rsid w:val="003E0794"/>
    <w:rsid w:val="003E303A"/>
    <w:rsid w:val="003E309A"/>
    <w:rsid w:val="003E4CA7"/>
    <w:rsid w:val="003E53CD"/>
    <w:rsid w:val="003E61FE"/>
    <w:rsid w:val="003E6776"/>
    <w:rsid w:val="003E6B9C"/>
    <w:rsid w:val="003E7A65"/>
    <w:rsid w:val="003F1BED"/>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2EE1"/>
    <w:rsid w:val="00414241"/>
    <w:rsid w:val="00414662"/>
    <w:rsid w:val="00417D84"/>
    <w:rsid w:val="00417E1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6293D"/>
    <w:rsid w:val="0046308F"/>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179"/>
    <w:rsid w:val="004A32E9"/>
    <w:rsid w:val="004A3580"/>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E437B"/>
    <w:rsid w:val="004E6361"/>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1A69"/>
    <w:rsid w:val="0052378F"/>
    <w:rsid w:val="00523827"/>
    <w:rsid w:val="00523AF4"/>
    <w:rsid w:val="00525AC6"/>
    <w:rsid w:val="0052688C"/>
    <w:rsid w:val="005269E2"/>
    <w:rsid w:val="005275B1"/>
    <w:rsid w:val="00531038"/>
    <w:rsid w:val="005323F9"/>
    <w:rsid w:val="00532CEC"/>
    <w:rsid w:val="005351EA"/>
    <w:rsid w:val="0053557A"/>
    <w:rsid w:val="00535BD1"/>
    <w:rsid w:val="00536ACA"/>
    <w:rsid w:val="00536CC2"/>
    <w:rsid w:val="0053722A"/>
    <w:rsid w:val="0053771F"/>
    <w:rsid w:val="00540583"/>
    <w:rsid w:val="00541F01"/>
    <w:rsid w:val="00542B4D"/>
    <w:rsid w:val="00544F6C"/>
    <w:rsid w:val="00545552"/>
    <w:rsid w:val="00552AF4"/>
    <w:rsid w:val="00552C27"/>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275E"/>
    <w:rsid w:val="005B37A7"/>
    <w:rsid w:val="005B72CA"/>
    <w:rsid w:val="005C0AAB"/>
    <w:rsid w:val="005C24D1"/>
    <w:rsid w:val="005C2863"/>
    <w:rsid w:val="005C393D"/>
    <w:rsid w:val="005C46EF"/>
    <w:rsid w:val="005C7709"/>
    <w:rsid w:val="005C7788"/>
    <w:rsid w:val="005D0F26"/>
    <w:rsid w:val="005D1575"/>
    <w:rsid w:val="005D18E5"/>
    <w:rsid w:val="005D20F2"/>
    <w:rsid w:val="005D450D"/>
    <w:rsid w:val="005D49D6"/>
    <w:rsid w:val="005D53A4"/>
    <w:rsid w:val="005D7B0E"/>
    <w:rsid w:val="005E0C34"/>
    <w:rsid w:val="005E0E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70B3"/>
    <w:rsid w:val="006378FD"/>
    <w:rsid w:val="00637903"/>
    <w:rsid w:val="00637E93"/>
    <w:rsid w:val="00637F2E"/>
    <w:rsid w:val="00641217"/>
    <w:rsid w:val="0064782F"/>
    <w:rsid w:val="00650FB0"/>
    <w:rsid w:val="0065161B"/>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3EB8"/>
    <w:rsid w:val="0067569A"/>
    <w:rsid w:val="0067648F"/>
    <w:rsid w:val="006820F4"/>
    <w:rsid w:val="00683636"/>
    <w:rsid w:val="00685872"/>
    <w:rsid w:val="006869C4"/>
    <w:rsid w:val="0068719C"/>
    <w:rsid w:val="00687D18"/>
    <w:rsid w:val="0069019B"/>
    <w:rsid w:val="006974C8"/>
    <w:rsid w:val="00697B24"/>
    <w:rsid w:val="00697EA9"/>
    <w:rsid w:val="006A06EE"/>
    <w:rsid w:val="006A25CE"/>
    <w:rsid w:val="006A3281"/>
    <w:rsid w:val="006A4BA2"/>
    <w:rsid w:val="006A7FBB"/>
    <w:rsid w:val="006B0D3C"/>
    <w:rsid w:val="006B0E96"/>
    <w:rsid w:val="006B1385"/>
    <w:rsid w:val="006B1ADB"/>
    <w:rsid w:val="006B3C71"/>
    <w:rsid w:val="006B4351"/>
    <w:rsid w:val="006B6D1C"/>
    <w:rsid w:val="006B7E69"/>
    <w:rsid w:val="006C227A"/>
    <w:rsid w:val="006C2766"/>
    <w:rsid w:val="006C287A"/>
    <w:rsid w:val="006C344B"/>
    <w:rsid w:val="006C3D88"/>
    <w:rsid w:val="006D30BE"/>
    <w:rsid w:val="006D567A"/>
    <w:rsid w:val="006D58D2"/>
    <w:rsid w:val="006D5943"/>
    <w:rsid w:val="006D67E8"/>
    <w:rsid w:val="006E010B"/>
    <w:rsid w:val="006E16A8"/>
    <w:rsid w:val="006E1B82"/>
    <w:rsid w:val="006E382F"/>
    <w:rsid w:val="006E6765"/>
    <w:rsid w:val="006E6953"/>
    <w:rsid w:val="006F1AAC"/>
    <w:rsid w:val="006F2097"/>
    <w:rsid w:val="006F344D"/>
    <w:rsid w:val="006F5052"/>
    <w:rsid w:val="006F63B1"/>
    <w:rsid w:val="00700CD9"/>
    <w:rsid w:val="00701BA9"/>
    <w:rsid w:val="007020B5"/>
    <w:rsid w:val="007029E6"/>
    <w:rsid w:val="00703008"/>
    <w:rsid w:val="0070435F"/>
    <w:rsid w:val="007055F3"/>
    <w:rsid w:val="00706DA6"/>
    <w:rsid w:val="007071EB"/>
    <w:rsid w:val="00710463"/>
    <w:rsid w:val="00710837"/>
    <w:rsid w:val="00710B71"/>
    <w:rsid w:val="00714859"/>
    <w:rsid w:val="00714F92"/>
    <w:rsid w:val="0071524A"/>
    <w:rsid w:val="00717FD3"/>
    <w:rsid w:val="00720C41"/>
    <w:rsid w:val="0072172D"/>
    <w:rsid w:val="00722FBA"/>
    <w:rsid w:val="0072313F"/>
    <w:rsid w:val="00727F36"/>
    <w:rsid w:val="0073012D"/>
    <w:rsid w:val="00731B94"/>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7335"/>
    <w:rsid w:val="007B06C6"/>
    <w:rsid w:val="007B16B5"/>
    <w:rsid w:val="007B4372"/>
    <w:rsid w:val="007B4578"/>
    <w:rsid w:val="007B50EE"/>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D61DE"/>
    <w:rsid w:val="007E1654"/>
    <w:rsid w:val="007E1922"/>
    <w:rsid w:val="007E4109"/>
    <w:rsid w:val="007E6083"/>
    <w:rsid w:val="007E7F1E"/>
    <w:rsid w:val="007F425A"/>
    <w:rsid w:val="007F5F08"/>
    <w:rsid w:val="007F5FD5"/>
    <w:rsid w:val="007F6127"/>
    <w:rsid w:val="007F6812"/>
    <w:rsid w:val="007F7A75"/>
    <w:rsid w:val="00803208"/>
    <w:rsid w:val="00807358"/>
    <w:rsid w:val="00810769"/>
    <w:rsid w:val="008151FE"/>
    <w:rsid w:val="008160B8"/>
    <w:rsid w:val="008209C0"/>
    <w:rsid w:val="0082268F"/>
    <w:rsid w:val="008237E0"/>
    <w:rsid w:val="00823D48"/>
    <w:rsid w:val="008244AF"/>
    <w:rsid w:val="00825E02"/>
    <w:rsid w:val="008261CD"/>
    <w:rsid w:val="00827211"/>
    <w:rsid w:val="00827C96"/>
    <w:rsid w:val="008314C9"/>
    <w:rsid w:val="00831F79"/>
    <w:rsid w:val="008342B6"/>
    <w:rsid w:val="0083503B"/>
    <w:rsid w:val="0083719D"/>
    <w:rsid w:val="008372F3"/>
    <w:rsid w:val="00837C3F"/>
    <w:rsid w:val="0084086F"/>
    <w:rsid w:val="00840E26"/>
    <w:rsid w:val="00841F9C"/>
    <w:rsid w:val="00842037"/>
    <w:rsid w:val="00842A8E"/>
    <w:rsid w:val="00843380"/>
    <w:rsid w:val="00845391"/>
    <w:rsid w:val="00846755"/>
    <w:rsid w:val="00847B72"/>
    <w:rsid w:val="00852B2F"/>
    <w:rsid w:val="00853159"/>
    <w:rsid w:val="008534DC"/>
    <w:rsid w:val="0085576F"/>
    <w:rsid w:val="00857D31"/>
    <w:rsid w:val="00860870"/>
    <w:rsid w:val="0086264D"/>
    <w:rsid w:val="00863D3F"/>
    <w:rsid w:val="008640A9"/>
    <w:rsid w:val="00865130"/>
    <w:rsid w:val="00865185"/>
    <w:rsid w:val="0086561A"/>
    <w:rsid w:val="00866326"/>
    <w:rsid w:val="00867A66"/>
    <w:rsid w:val="00867D40"/>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1CB0"/>
    <w:rsid w:val="008D4B46"/>
    <w:rsid w:val="008D51C7"/>
    <w:rsid w:val="008D6598"/>
    <w:rsid w:val="008D6D39"/>
    <w:rsid w:val="008D6E21"/>
    <w:rsid w:val="008D7F22"/>
    <w:rsid w:val="008E3AA7"/>
    <w:rsid w:val="008E4824"/>
    <w:rsid w:val="008E5FD0"/>
    <w:rsid w:val="008E64B5"/>
    <w:rsid w:val="008E6DF8"/>
    <w:rsid w:val="008F1E56"/>
    <w:rsid w:val="008F6418"/>
    <w:rsid w:val="008F7C65"/>
    <w:rsid w:val="00900237"/>
    <w:rsid w:val="00900C9C"/>
    <w:rsid w:val="009023CD"/>
    <w:rsid w:val="00903251"/>
    <w:rsid w:val="009035CB"/>
    <w:rsid w:val="00904F9C"/>
    <w:rsid w:val="00907078"/>
    <w:rsid w:val="00907B49"/>
    <w:rsid w:val="009101B9"/>
    <w:rsid w:val="0091105D"/>
    <w:rsid w:val="00911CAB"/>
    <w:rsid w:val="009132A8"/>
    <w:rsid w:val="00913F0D"/>
    <w:rsid w:val="009149DE"/>
    <w:rsid w:val="0091581B"/>
    <w:rsid w:val="009169B4"/>
    <w:rsid w:val="0091754C"/>
    <w:rsid w:val="009175DE"/>
    <w:rsid w:val="00920046"/>
    <w:rsid w:val="00920A46"/>
    <w:rsid w:val="00924D6A"/>
    <w:rsid w:val="00925EC5"/>
    <w:rsid w:val="0092709F"/>
    <w:rsid w:val="009306F8"/>
    <w:rsid w:val="0093237F"/>
    <w:rsid w:val="00934288"/>
    <w:rsid w:val="0093717B"/>
    <w:rsid w:val="00937855"/>
    <w:rsid w:val="00937F74"/>
    <w:rsid w:val="00945EC2"/>
    <w:rsid w:val="009464E6"/>
    <w:rsid w:val="00950A42"/>
    <w:rsid w:val="009510CA"/>
    <w:rsid w:val="0095189C"/>
    <w:rsid w:val="00954B1F"/>
    <w:rsid w:val="00957FDA"/>
    <w:rsid w:val="00964157"/>
    <w:rsid w:val="009647EF"/>
    <w:rsid w:val="009654D6"/>
    <w:rsid w:val="0097254D"/>
    <w:rsid w:val="00972E53"/>
    <w:rsid w:val="00974D6B"/>
    <w:rsid w:val="00975CFC"/>
    <w:rsid w:val="00977590"/>
    <w:rsid w:val="00977707"/>
    <w:rsid w:val="0098116C"/>
    <w:rsid w:val="009836C4"/>
    <w:rsid w:val="00985035"/>
    <w:rsid w:val="009854E2"/>
    <w:rsid w:val="00986A6C"/>
    <w:rsid w:val="00991D87"/>
    <w:rsid w:val="009939F1"/>
    <w:rsid w:val="00994A54"/>
    <w:rsid w:val="00996755"/>
    <w:rsid w:val="00997359"/>
    <w:rsid w:val="009A0BCB"/>
    <w:rsid w:val="009A14AB"/>
    <w:rsid w:val="009A471E"/>
    <w:rsid w:val="009A53E3"/>
    <w:rsid w:val="009C2E57"/>
    <w:rsid w:val="009C401C"/>
    <w:rsid w:val="009D1A5A"/>
    <w:rsid w:val="009D37AC"/>
    <w:rsid w:val="009D3EA9"/>
    <w:rsid w:val="009D4A0B"/>
    <w:rsid w:val="009D54CB"/>
    <w:rsid w:val="009D564D"/>
    <w:rsid w:val="009D799E"/>
    <w:rsid w:val="009E0628"/>
    <w:rsid w:val="009E1506"/>
    <w:rsid w:val="009E391F"/>
    <w:rsid w:val="009E4F61"/>
    <w:rsid w:val="009E55D8"/>
    <w:rsid w:val="009F074C"/>
    <w:rsid w:val="009F204C"/>
    <w:rsid w:val="009F31F8"/>
    <w:rsid w:val="009F354C"/>
    <w:rsid w:val="009F4F17"/>
    <w:rsid w:val="009F6A6B"/>
    <w:rsid w:val="00A031CD"/>
    <w:rsid w:val="00A03B8F"/>
    <w:rsid w:val="00A04F9A"/>
    <w:rsid w:val="00A05DF3"/>
    <w:rsid w:val="00A10757"/>
    <w:rsid w:val="00A10B3D"/>
    <w:rsid w:val="00A13C8B"/>
    <w:rsid w:val="00A153E9"/>
    <w:rsid w:val="00A177BC"/>
    <w:rsid w:val="00A17933"/>
    <w:rsid w:val="00A2176D"/>
    <w:rsid w:val="00A21819"/>
    <w:rsid w:val="00A22C5E"/>
    <w:rsid w:val="00A23972"/>
    <w:rsid w:val="00A277B8"/>
    <w:rsid w:val="00A27998"/>
    <w:rsid w:val="00A32952"/>
    <w:rsid w:val="00A342F7"/>
    <w:rsid w:val="00A347FD"/>
    <w:rsid w:val="00A34CA2"/>
    <w:rsid w:val="00A3579C"/>
    <w:rsid w:val="00A35E73"/>
    <w:rsid w:val="00A3653F"/>
    <w:rsid w:val="00A36877"/>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34A4"/>
    <w:rsid w:val="00A744A6"/>
    <w:rsid w:val="00A75A4D"/>
    <w:rsid w:val="00A76521"/>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50B3"/>
    <w:rsid w:val="00AA56A4"/>
    <w:rsid w:val="00AB2868"/>
    <w:rsid w:val="00AB52D3"/>
    <w:rsid w:val="00AB6FD5"/>
    <w:rsid w:val="00AC08EC"/>
    <w:rsid w:val="00AC0FF8"/>
    <w:rsid w:val="00AC1C33"/>
    <w:rsid w:val="00AC445C"/>
    <w:rsid w:val="00AC5CD4"/>
    <w:rsid w:val="00AD179C"/>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713A"/>
    <w:rsid w:val="00B27C5F"/>
    <w:rsid w:val="00B30D85"/>
    <w:rsid w:val="00B31F5D"/>
    <w:rsid w:val="00B32CDD"/>
    <w:rsid w:val="00B33034"/>
    <w:rsid w:val="00B33BD3"/>
    <w:rsid w:val="00B34FEA"/>
    <w:rsid w:val="00B353D5"/>
    <w:rsid w:val="00B36F74"/>
    <w:rsid w:val="00B401C4"/>
    <w:rsid w:val="00B401E8"/>
    <w:rsid w:val="00B402A9"/>
    <w:rsid w:val="00B40E60"/>
    <w:rsid w:val="00B41184"/>
    <w:rsid w:val="00B4234F"/>
    <w:rsid w:val="00B423FA"/>
    <w:rsid w:val="00B4268F"/>
    <w:rsid w:val="00B4289E"/>
    <w:rsid w:val="00B434A7"/>
    <w:rsid w:val="00B44351"/>
    <w:rsid w:val="00B44434"/>
    <w:rsid w:val="00B452D0"/>
    <w:rsid w:val="00B46FB3"/>
    <w:rsid w:val="00B50744"/>
    <w:rsid w:val="00B51355"/>
    <w:rsid w:val="00B516D7"/>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46B"/>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7B2E"/>
    <w:rsid w:val="00C025F2"/>
    <w:rsid w:val="00C06133"/>
    <w:rsid w:val="00C06595"/>
    <w:rsid w:val="00C10324"/>
    <w:rsid w:val="00C1035C"/>
    <w:rsid w:val="00C105D7"/>
    <w:rsid w:val="00C107EE"/>
    <w:rsid w:val="00C11493"/>
    <w:rsid w:val="00C14B78"/>
    <w:rsid w:val="00C20838"/>
    <w:rsid w:val="00C23E02"/>
    <w:rsid w:val="00C24386"/>
    <w:rsid w:val="00C25776"/>
    <w:rsid w:val="00C27AE9"/>
    <w:rsid w:val="00C27E3E"/>
    <w:rsid w:val="00C33DAB"/>
    <w:rsid w:val="00C3556B"/>
    <w:rsid w:val="00C3609F"/>
    <w:rsid w:val="00C36118"/>
    <w:rsid w:val="00C36337"/>
    <w:rsid w:val="00C3696F"/>
    <w:rsid w:val="00C37ADA"/>
    <w:rsid w:val="00C37D9B"/>
    <w:rsid w:val="00C413E4"/>
    <w:rsid w:val="00C41917"/>
    <w:rsid w:val="00C426E9"/>
    <w:rsid w:val="00C445A9"/>
    <w:rsid w:val="00C4548B"/>
    <w:rsid w:val="00C51ABB"/>
    <w:rsid w:val="00C528F3"/>
    <w:rsid w:val="00C53BB6"/>
    <w:rsid w:val="00C552E8"/>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1661"/>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513A"/>
    <w:rsid w:val="00CB53F8"/>
    <w:rsid w:val="00CB6C02"/>
    <w:rsid w:val="00CC1280"/>
    <w:rsid w:val="00CC3A13"/>
    <w:rsid w:val="00CC3A49"/>
    <w:rsid w:val="00CC4D5E"/>
    <w:rsid w:val="00CC5132"/>
    <w:rsid w:val="00CC6071"/>
    <w:rsid w:val="00CD0605"/>
    <w:rsid w:val="00CD22F9"/>
    <w:rsid w:val="00CD2825"/>
    <w:rsid w:val="00CD343A"/>
    <w:rsid w:val="00CD34F3"/>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B95"/>
    <w:rsid w:val="00CF5ECB"/>
    <w:rsid w:val="00CF653E"/>
    <w:rsid w:val="00CF6F9E"/>
    <w:rsid w:val="00CF7BE0"/>
    <w:rsid w:val="00D02BE8"/>
    <w:rsid w:val="00D04195"/>
    <w:rsid w:val="00D05CEF"/>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3FA0"/>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86E"/>
    <w:rsid w:val="00DD0CD7"/>
    <w:rsid w:val="00DD229E"/>
    <w:rsid w:val="00DD3477"/>
    <w:rsid w:val="00DD3D93"/>
    <w:rsid w:val="00DD40F5"/>
    <w:rsid w:val="00DD5AAA"/>
    <w:rsid w:val="00DD6928"/>
    <w:rsid w:val="00DE0BE2"/>
    <w:rsid w:val="00DE1CF8"/>
    <w:rsid w:val="00DE2DEA"/>
    <w:rsid w:val="00DE5B7E"/>
    <w:rsid w:val="00DE61A4"/>
    <w:rsid w:val="00DE6E2C"/>
    <w:rsid w:val="00DE74E0"/>
    <w:rsid w:val="00DF2C90"/>
    <w:rsid w:val="00DF42DE"/>
    <w:rsid w:val="00DF47E7"/>
    <w:rsid w:val="00DF49C8"/>
    <w:rsid w:val="00DF53E5"/>
    <w:rsid w:val="00E00781"/>
    <w:rsid w:val="00E01BC1"/>
    <w:rsid w:val="00E01BEC"/>
    <w:rsid w:val="00E026DC"/>
    <w:rsid w:val="00E02E0C"/>
    <w:rsid w:val="00E032F1"/>
    <w:rsid w:val="00E036B1"/>
    <w:rsid w:val="00E04FDA"/>
    <w:rsid w:val="00E06326"/>
    <w:rsid w:val="00E0652B"/>
    <w:rsid w:val="00E06C1A"/>
    <w:rsid w:val="00E06F24"/>
    <w:rsid w:val="00E12949"/>
    <w:rsid w:val="00E13B0E"/>
    <w:rsid w:val="00E15C59"/>
    <w:rsid w:val="00E16261"/>
    <w:rsid w:val="00E168F9"/>
    <w:rsid w:val="00E17E54"/>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874"/>
    <w:rsid w:val="00E52942"/>
    <w:rsid w:val="00E52AE4"/>
    <w:rsid w:val="00E55522"/>
    <w:rsid w:val="00E638CF"/>
    <w:rsid w:val="00E64DBF"/>
    <w:rsid w:val="00E66D37"/>
    <w:rsid w:val="00E71663"/>
    <w:rsid w:val="00E72050"/>
    <w:rsid w:val="00E7366F"/>
    <w:rsid w:val="00E74A9C"/>
    <w:rsid w:val="00E74CD6"/>
    <w:rsid w:val="00E751D0"/>
    <w:rsid w:val="00E8218C"/>
    <w:rsid w:val="00E8244F"/>
    <w:rsid w:val="00E8295B"/>
    <w:rsid w:val="00E83A0B"/>
    <w:rsid w:val="00E83B6C"/>
    <w:rsid w:val="00E83C20"/>
    <w:rsid w:val="00E85CBC"/>
    <w:rsid w:val="00E87BF0"/>
    <w:rsid w:val="00E902F4"/>
    <w:rsid w:val="00E91081"/>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670D"/>
    <w:rsid w:val="00EB6A35"/>
    <w:rsid w:val="00EC30C5"/>
    <w:rsid w:val="00EC47C9"/>
    <w:rsid w:val="00EC6461"/>
    <w:rsid w:val="00EC6A69"/>
    <w:rsid w:val="00ED0367"/>
    <w:rsid w:val="00ED1E24"/>
    <w:rsid w:val="00ED1ED0"/>
    <w:rsid w:val="00ED2873"/>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12D43"/>
    <w:rsid w:val="00F13062"/>
    <w:rsid w:val="00F14EC6"/>
    <w:rsid w:val="00F15257"/>
    <w:rsid w:val="00F1665D"/>
    <w:rsid w:val="00F17582"/>
    <w:rsid w:val="00F20CD4"/>
    <w:rsid w:val="00F26503"/>
    <w:rsid w:val="00F26B75"/>
    <w:rsid w:val="00F278D2"/>
    <w:rsid w:val="00F31131"/>
    <w:rsid w:val="00F313D5"/>
    <w:rsid w:val="00F31E1E"/>
    <w:rsid w:val="00F348AE"/>
    <w:rsid w:val="00F34992"/>
    <w:rsid w:val="00F3543A"/>
    <w:rsid w:val="00F35761"/>
    <w:rsid w:val="00F40690"/>
    <w:rsid w:val="00F43014"/>
    <w:rsid w:val="00F44352"/>
    <w:rsid w:val="00F44AF7"/>
    <w:rsid w:val="00F44E60"/>
    <w:rsid w:val="00F46A1D"/>
    <w:rsid w:val="00F511C1"/>
    <w:rsid w:val="00F52D81"/>
    <w:rsid w:val="00F54D93"/>
    <w:rsid w:val="00F56B4C"/>
    <w:rsid w:val="00F56BC9"/>
    <w:rsid w:val="00F56C79"/>
    <w:rsid w:val="00F57C43"/>
    <w:rsid w:val="00F61401"/>
    <w:rsid w:val="00F618D9"/>
    <w:rsid w:val="00F6248E"/>
    <w:rsid w:val="00F63C33"/>
    <w:rsid w:val="00F63F80"/>
    <w:rsid w:val="00F64178"/>
    <w:rsid w:val="00F64437"/>
    <w:rsid w:val="00F64578"/>
    <w:rsid w:val="00F64AF9"/>
    <w:rsid w:val="00F64B41"/>
    <w:rsid w:val="00F64E90"/>
    <w:rsid w:val="00F64FA6"/>
    <w:rsid w:val="00F6531D"/>
    <w:rsid w:val="00F65EEF"/>
    <w:rsid w:val="00F664EB"/>
    <w:rsid w:val="00F665F5"/>
    <w:rsid w:val="00F70136"/>
    <w:rsid w:val="00F703A6"/>
    <w:rsid w:val="00F70E7C"/>
    <w:rsid w:val="00F71348"/>
    <w:rsid w:val="00F724A8"/>
    <w:rsid w:val="00F73151"/>
    <w:rsid w:val="00F734E3"/>
    <w:rsid w:val="00F737D0"/>
    <w:rsid w:val="00F74504"/>
    <w:rsid w:val="00F765FE"/>
    <w:rsid w:val="00F76F26"/>
    <w:rsid w:val="00F77442"/>
    <w:rsid w:val="00F77737"/>
    <w:rsid w:val="00F82BC4"/>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1F29"/>
    <w:rsid w:val="00FD6052"/>
    <w:rsid w:val="00FD71B1"/>
    <w:rsid w:val="00FE04C4"/>
    <w:rsid w:val="00FE0938"/>
    <w:rsid w:val="00FE22B0"/>
    <w:rsid w:val="00FE2B9B"/>
    <w:rsid w:val="00FE6E59"/>
    <w:rsid w:val="00FE6E67"/>
    <w:rsid w:val="00FF1D02"/>
    <w:rsid w:val="00FF2A96"/>
    <w:rsid w:val="00FF306B"/>
    <w:rsid w:val="00FF4262"/>
    <w:rsid w:val="00FF64D3"/>
    <w:rsid w:val="00FF6644"/>
    <w:rsid w:val="00FF6919"/>
    <w:rsid w:val="00FF71FD"/>
    <w:rsid w:val="00FF78B0"/>
    <w:rsid w:val="02B62327"/>
    <w:rsid w:val="08D04F35"/>
    <w:rsid w:val="17332705"/>
    <w:rsid w:val="3EFE77E7"/>
    <w:rsid w:val="5560555E"/>
    <w:rsid w:val="63EC4073"/>
    <w:rsid w:val="735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2"/>
    <w:qFormat/>
    <w:uiPriority w:val="0"/>
    <w:pPr>
      <w:keepNext/>
      <w:keepLines/>
      <w:spacing w:before="340" w:after="330" w:line="576" w:lineRule="auto"/>
      <w:jc w:val="center"/>
      <w:outlineLvl w:val="0"/>
    </w:pPr>
    <w:rPr>
      <w:b/>
      <w:bCs/>
      <w:kern w:val="44"/>
      <w:sz w:val="36"/>
      <w:szCs w:val="44"/>
      <w:lang w:val="zh-CN" w:eastAsia="zh-CN"/>
    </w:rPr>
  </w:style>
  <w:style w:type="paragraph" w:styleId="3">
    <w:name w:val="heading 2"/>
    <w:basedOn w:val="1"/>
    <w:next w:val="1"/>
    <w:link w:val="53"/>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54"/>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55"/>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6"/>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7"/>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8"/>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59"/>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0"/>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2">
    <w:name w:val="Default Paragraph Font"/>
    <w:semiHidden/>
    <w:unhideWhenUsed/>
    <w:qFormat/>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91"/>
    <w:qFormat/>
    <w:uiPriority w:val="0"/>
    <w:pPr>
      <w:suppressAutoHyphens/>
    </w:pPr>
    <w:rPr>
      <w:rFonts w:ascii="宋体" w:hAnsi="宋体"/>
      <w:b/>
      <w:kern w:val="21"/>
      <w:lang w:eastAsia="ar-SA"/>
    </w:rPr>
  </w:style>
  <w:style w:type="paragraph" w:styleId="12">
    <w:name w:val="annotation text"/>
    <w:basedOn w:val="1"/>
    <w:link w:val="190"/>
    <w:qFormat/>
    <w:uiPriority w:val="0"/>
    <w:pPr>
      <w:jc w:val="left"/>
    </w:pPr>
  </w:style>
  <w:style w:type="paragraph" w:styleId="13">
    <w:name w:val="toc 7"/>
    <w:basedOn w:val="14"/>
    <w:next w:val="1"/>
    <w:qFormat/>
    <w:uiPriority w:val="39"/>
    <w:pPr>
      <w:suppressLineNumbers w:val="0"/>
      <w:ind w:left="1260"/>
      <w:jc w:val="left"/>
    </w:pPr>
    <w:rPr>
      <w:rFonts w:ascii="Times New Roman" w:hAnsi="Times New Roman"/>
      <w:sz w:val="18"/>
    </w:rPr>
  </w:style>
  <w:style w:type="paragraph" w:customStyle="1" w:styleId="14">
    <w:name w:val="目录"/>
    <w:basedOn w:val="1"/>
    <w:qFormat/>
    <w:uiPriority w:val="0"/>
    <w:pPr>
      <w:suppressLineNumbers/>
      <w:suppressAutoHyphens/>
    </w:pPr>
    <w:rPr>
      <w:rFonts w:ascii="宋体" w:hAnsi="宋体"/>
      <w:kern w:val="21"/>
      <w:lang w:eastAsia="ar-SA"/>
    </w:rPr>
  </w:style>
  <w:style w:type="paragraph" w:styleId="15">
    <w:name w:val="Body Text First Indent"/>
    <w:basedOn w:val="16"/>
    <w:link w:val="212"/>
    <w:qFormat/>
    <w:uiPriority w:val="0"/>
    <w:pPr>
      <w:ind w:firstLine="420" w:firstLineChars="100"/>
    </w:pPr>
    <w:rPr>
      <w:kern w:val="2"/>
      <w:sz w:val="28"/>
    </w:rPr>
  </w:style>
  <w:style w:type="paragraph" w:styleId="16">
    <w:name w:val="Body Text"/>
    <w:basedOn w:val="1"/>
    <w:link w:val="80"/>
    <w:qFormat/>
    <w:uiPriority w:val="0"/>
    <w:pPr>
      <w:spacing w:after="120"/>
    </w:pPr>
    <w:rPr>
      <w:kern w:val="0"/>
      <w:sz w:val="20"/>
      <w:szCs w:val="24"/>
    </w:rPr>
  </w:style>
  <w:style w:type="paragraph" w:styleId="17">
    <w:name w:val="Normal Indent"/>
    <w:basedOn w:val="1"/>
    <w:qFormat/>
    <w:uiPriority w:val="0"/>
    <w:pPr>
      <w:ind w:firstLine="420"/>
    </w:pPr>
  </w:style>
  <w:style w:type="paragraph" w:styleId="18">
    <w:name w:val="Document Map"/>
    <w:basedOn w:val="1"/>
    <w:link w:val="203"/>
    <w:qFormat/>
    <w:uiPriority w:val="0"/>
    <w:pPr>
      <w:shd w:val="clear" w:color="auto" w:fill="000080"/>
      <w:suppressAutoHyphens/>
    </w:pPr>
    <w:rPr>
      <w:rFonts w:ascii="宋体" w:hAnsi="宋体"/>
      <w:kern w:val="21"/>
      <w:lang w:eastAsia="ar-SA"/>
    </w:rPr>
  </w:style>
  <w:style w:type="paragraph" w:styleId="19">
    <w:name w:val="Body Text 3"/>
    <w:basedOn w:val="1"/>
    <w:link w:val="122"/>
    <w:qFormat/>
    <w:uiPriority w:val="0"/>
    <w:rPr>
      <w:rFonts w:ascii="黑体" w:hAnsi="Arial" w:eastAsia="黑体"/>
      <w:b/>
      <w:kern w:val="0"/>
    </w:rPr>
  </w:style>
  <w:style w:type="paragraph" w:styleId="20">
    <w:name w:val="Body Text Indent"/>
    <w:basedOn w:val="1"/>
    <w:link w:val="113"/>
    <w:qFormat/>
    <w:uiPriority w:val="0"/>
    <w:pPr>
      <w:ind w:firstLine="830" w:firstLineChars="352"/>
    </w:pPr>
    <w:rPr>
      <w:rFonts w:ascii="仿宋_GB2312" w:eastAsia="仿宋_GB2312"/>
      <w:kern w:val="0"/>
      <w:sz w:val="32"/>
    </w:rPr>
  </w:style>
  <w:style w:type="paragraph" w:styleId="21">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2">
    <w:name w:val="toc 5"/>
    <w:basedOn w:val="14"/>
    <w:next w:val="1"/>
    <w:qFormat/>
    <w:uiPriority w:val="39"/>
    <w:pPr>
      <w:suppressLineNumbers w:val="0"/>
      <w:ind w:left="840"/>
      <w:jc w:val="left"/>
    </w:pPr>
    <w:rPr>
      <w:rFonts w:ascii="Times New Roman" w:hAnsi="Times New Roman"/>
      <w:sz w:val="18"/>
    </w:rPr>
  </w:style>
  <w:style w:type="paragraph" w:styleId="23">
    <w:name w:val="toc 3"/>
    <w:basedOn w:val="1"/>
    <w:next w:val="1"/>
    <w:qFormat/>
    <w:uiPriority w:val="39"/>
    <w:pPr>
      <w:ind w:left="840" w:leftChars="400"/>
    </w:pPr>
  </w:style>
  <w:style w:type="paragraph" w:styleId="24">
    <w:name w:val="Plain Text"/>
    <w:basedOn w:val="1"/>
    <w:link w:val="63"/>
    <w:qFormat/>
    <w:uiPriority w:val="99"/>
    <w:rPr>
      <w:rFonts w:ascii="宋体" w:hAnsi="Courier New" w:cs="Courier New"/>
      <w:kern w:val="0"/>
      <w:sz w:val="20"/>
      <w:szCs w:val="21"/>
    </w:rPr>
  </w:style>
  <w:style w:type="paragraph" w:styleId="25">
    <w:name w:val="toc 8"/>
    <w:basedOn w:val="14"/>
    <w:next w:val="1"/>
    <w:qFormat/>
    <w:uiPriority w:val="39"/>
    <w:pPr>
      <w:suppressLineNumbers w:val="0"/>
      <w:ind w:left="1470"/>
      <w:jc w:val="left"/>
    </w:pPr>
    <w:rPr>
      <w:rFonts w:ascii="Times New Roman" w:hAnsi="Times New Roman"/>
      <w:sz w:val="18"/>
    </w:rPr>
  </w:style>
  <w:style w:type="paragraph" w:styleId="26">
    <w:name w:val="Date"/>
    <w:basedOn w:val="1"/>
    <w:next w:val="1"/>
    <w:link w:val="115"/>
    <w:qFormat/>
    <w:uiPriority w:val="0"/>
    <w:pPr>
      <w:ind w:left="100" w:leftChars="2500"/>
    </w:pPr>
    <w:rPr>
      <w:rFonts w:ascii="宋体" w:hAnsi="Courier New" w:cs="Courier New"/>
      <w:kern w:val="0"/>
      <w:sz w:val="20"/>
      <w:szCs w:val="21"/>
    </w:rPr>
  </w:style>
  <w:style w:type="paragraph" w:styleId="27">
    <w:name w:val="Body Text Indent 2"/>
    <w:basedOn w:val="1"/>
    <w:link w:val="108"/>
    <w:qFormat/>
    <w:uiPriority w:val="0"/>
    <w:pPr>
      <w:spacing w:after="120" w:line="480" w:lineRule="auto"/>
      <w:ind w:left="420" w:leftChars="200"/>
    </w:pPr>
    <w:rPr>
      <w:kern w:val="0"/>
      <w:sz w:val="20"/>
      <w:szCs w:val="24"/>
    </w:rPr>
  </w:style>
  <w:style w:type="paragraph" w:styleId="28">
    <w:name w:val="Balloon Text"/>
    <w:basedOn w:val="1"/>
    <w:link w:val="104"/>
    <w:qFormat/>
    <w:uiPriority w:val="0"/>
    <w:rPr>
      <w:kern w:val="0"/>
      <w:sz w:val="18"/>
      <w:szCs w:val="18"/>
    </w:rPr>
  </w:style>
  <w:style w:type="paragraph" w:styleId="29">
    <w:name w:val="footer"/>
    <w:basedOn w:val="1"/>
    <w:link w:val="127"/>
    <w:qFormat/>
    <w:uiPriority w:val="0"/>
    <w:pPr>
      <w:tabs>
        <w:tab w:val="center" w:pos="4153"/>
        <w:tab w:val="right" w:pos="8306"/>
      </w:tabs>
      <w:snapToGrid w:val="0"/>
      <w:jc w:val="left"/>
    </w:pPr>
    <w:rPr>
      <w:kern w:val="0"/>
      <w:sz w:val="18"/>
      <w:szCs w:val="18"/>
    </w:rPr>
  </w:style>
  <w:style w:type="paragraph" w:styleId="30">
    <w:name w:val="header"/>
    <w:basedOn w:val="1"/>
    <w:link w:val="69"/>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39"/>
    <w:pPr>
      <w:spacing w:before="120" w:after="120"/>
      <w:jc w:val="left"/>
    </w:pPr>
    <w:rPr>
      <w:b/>
      <w:bCs/>
      <w:caps/>
    </w:rPr>
  </w:style>
  <w:style w:type="paragraph" w:styleId="32">
    <w:name w:val="toc 4"/>
    <w:basedOn w:val="1"/>
    <w:next w:val="1"/>
    <w:qFormat/>
    <w:uiPriority w:val="39"/>
    <w:pPr>
      <w:ind w:left="1260" w:leftChars="600"/>
    </w:pPr>
    <w:rPr>
      <w:szCs w:val="24"/>
    </w:rPr>
  </w:style>
  <w:style w:type="paragraph" w:styleId="33">
    <w:name w:val="Subtitle"/>
    <w:basedOn w:val="1"/>
    <w:next w:val="1"/>
    <w:link w:val="62"/>
    <w:qFormat/>
    <w:uiPriority w:val="0"/>
    <w:pPr>
      <w:spacing w:before="240" w:after="60" w:line="312" w:lineRule="auto"/>
      <w:jc w:val="center"/>
      <w:outlineLvl w:val="1"/>
    </w:pPr>
    <w:rPr>
      <w:rFonts w:ascii="Cambria" w:hAnsi="Cambria" w:eastAsia="方正楷体简体"/>
      <w:bCs/>
      <w:kern w:val="28"/>
      <w:sz w:val="20"/>
      <w:szCs w:val="32"/>
    </w:rPr>
  </w:style>
  <w:style w:type="paragraph" w:styleId="34">
    <w:name w:val="List"/>
    <w:basedOn w:val="16"/>
    <w:qFormat/>
    <w:uiPriority w:val="0"/>
    <w:pPr>
      <w:suppressAutoHyphens/>
    </w:pPr>
    <w:rPr>
      <w:rFonts w:hint="eastAsia" w:ascii="方正大黑简体" w:hAnsi="宋体"/>
      <w:kern w:val="44"/>
      <w:position w:val="6"/>
      <w:sz w:val="30"/>
      <w:szCs w:val="20"/>
    </w:rPr>
  </w:style>
  <w:style w:type="paragraph" w:styleId="35">
    <w:name w:val="toc 6"/>
    <w:basedOn w:val="14"/>
    <w:next w:val="1"/>
    <w:qFormat/>
    <w:uiPriority w:val="39"/>
    <w:pPr>
      <w:suppressLineNumbers w:val="0"/>
      <w:ind w:left="1050"/>
      <w:jc w:val="left"/>
    </w:pPr>
    <w:rPr>
      <w:rFonts w:ascii="Times New Roman" w:hAnsi="Times New Roman"/>
      <w:sz w:val="18"/>
    </w:rPr>
  </w:style>
  <w:style w:type="paragraph" w:styleId="36">
    <w:name w:val="Body Text Indent 3"/>
    <w:basedOn w:val="1"/>
    <w:link w:val="91"/>
    <w:qFormat/>
    <w:uiPriority w:val="0"/>
    <w:pPr>
      <w:spacing w:after="120"/>
      <w:ind w:left="420" w:leftChars="200"/>
    </w:pPr>
    <w:rPr>
      <w:kern w:val="0"/>
      <w:sz w:val="16"/>
      <w:szCs w:val="16"/>
    </w:rPr>
  </w:style>
  <w:style w:type="paragraph" w:styleId="37">
    <w:name w:val="toc 2"/>
    <w:basedOn w:val="1"/>
    <w:next w:val="1"/>
    <w:qFormat/>
    <w:uiPriority w:val="39"/>
    <w:pPr>
      <w:ind w:left="420" w:leftChars="200"/>
    </w:pPr>
    <w:rPr>
      <w:sz w:val="24"/>
    </w:rPr>
  </w:style>
  <w:style w:type="paragraph" w:styleId="38">
    <w:name w:val="toc 9"/>
    <w:basedOn w:val="14"/>
    <w:next w:val="1"/>
    <w:qFormat/>
    <w:uiPriority w:val="39"/>
    <w:pPr>
      <w:suppressLineNumbers w:val="0"/>
      <w:ind w:left="1680"/>
      <w:jc w:val="left"/>
    </w:pPr>
    <w:rPr>
      <w:rFonts w:ascii="Times New Roman" w:hAnsi="Times New Roman"/>
      <w:sz w:val="18"/>
    </w:rPr>
  </w:style>
  <w:style w:type="paragraph" w:styleId="39">
    <w:name w:val="HTML Preformatted"/>
    <w:basedOn w:val="1"/>
    <w:link w:val="1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1">
    <w:name w:val="Title"/>
    <w:basedOn w:val="1"/>
    <w:next w:val="1"/>
    <w:link w:val="61"/>
    <w:qFormat/>
    <w:uiPriority w:val="99"/>
    <w:pPr>
      <w:spacing w:before="240" w:after="60"/>
      <w:jc w:val="center"/>
      <w:outlineLvl w:val="0"/>
    </w:pPr>
    <w:rPr>
      <w:rFonts w:ascii="Cambria" w:hAnsi="Cambria" w:eastAsia="方正小标宋简体"/>
      <w:b/>
      <w:bCs/>
      <w:kern w:val="0"/>
      <w:sz w:val="44"/>
      <w:szCs w:val="32"/>
    </w:rPr>
  </w:style>
  <w:style w:type="character" w:styleId="43">
    <w:name w:val="Strong"/>
    <w:qFormat/>
    <w:uiPriority w:val="99"/>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qFormat/>
    <w:uiPriority w:val="0"/>
    <w:rPr>
      <w:rFonts w:hint="default" w:ascii="Times New Roman" w:hAnsi="Times New Roman" w:cs="Times New Roman"/>
    </w:rPr>
  </w:style>
  <w:style w:type="character" w:styleId="47">
    <w:name w:val="Hyperlink"/>
    <w:qFormat/>
    <w:uiPriority w:val="99"/>
    <w:rPr>
      <w:color w:val="0000FF"/>
      <w:u w:val="single"/>
    </w:rPr>
  </w:style>
  <w:style w:type="character" w:styleId="48">
    <w:name w:val="annotation reference"/>
    <w:qFormat/>
    <w:uiPriority w:val="0"/>
    <w:rPr>
      <w:sz w:val="21"/>
    </w:rPr>
  </w:style>
  <w:style w:type="table" w:styleId="50">
    <w:name w:val="Table Grid"/>
    <w:basedOn w:val="4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标题 1 Char"/>
    <w:link w:val="2"/>
    <w:qFormat/>
    <w:uiPriority w:val="0"/>
    <w:rPr>
      <w:rFonts w:ascii="Times New Roman" w:hAnsi="Times New Roman"/>
      <w:b/>
      <w:bCs/>
      <w:kern w:val="44"/>
      <w:sz w:val="36"/>
      <w:szCs w:val="44"/>
      <w:lang w:val="zh-CN" w:eastAsia="zh-CN"/>
    </w:rPr>
  </w:style>
  <w:style w:type="character" w:customStyle="1" w:styleId="53">
    <w:name w:val="标题 2 Char"/>
    <w:link w:val="3"/>
    <w:qFormat/>
    <w:uiPriority w:val="0"/>
    <w:rPr>
      <w:rFonts w:ascii="Arial" w:hAnsi="Arial" w:eastAsia="黑体"/>
      <w:b/>
      <w:bCs/>
      <w:sz w:val="32"/>
      <w:szCs w:val="32"/>
      <w:lang w:val="zh-CN" w:eastAsia="zh-CN"/>
    </w:rPr>
  </w:style>
  <w:style w:type="character" w:customStyle="1" w:styleId="54">
    <w:name w:val="标题 3 Char"/>
    <w:link w:val="4"/>
    <w:qFormat/>
    <w:uiPriority w:val="0"/>
    <w:rPr>
      <w:rFonts w:ascii="Times New Roman" w:hAnsi="Times New Roman"/>
      <w:b/>
      <w:bCs/>
      <w:sz w:val="32"/>
      <w:szCs w:val="32"/>
    </w:rPr>
  </w:style>
  <w:style w:type="character" w:customStyle="1" w:styleId="55">
    <w:name w:val="标题 4 Char"/>
    <w:link w:val="5"/>
    <w:qFormat/>
    <w:uiPriority w:val="0"/>
    <w:rPr>
      <w:rFonts w:ascii="仿宋_GB2312" w:hAnsi="Times New Roman" w:eastAsia="仿宋_GB2312"/>
      <w:sz w:val="28"/>
      <w:szCs w:val="24"/>
    </w:rPr>
  </w:style>
  <w:style w:type="character" w:customStyle="1" w:styleId="56">
    <w:name w:val="标题 5 Char"/>
    <w:link w:val="6"/>
    <w:qFormat/>
    <w:uiPriority w:val="0"/>
    <w:rPr>
      <w:rFonts w:ascii="宋体" w:hAnsi="宋体"/>
      <w:b/>
      <w:kern w:val="21"/>
      <w:sz w:val="28"/>
      <w:lang w:eastAsia="ar-SA"/>
    </w:rPr>
  </w:style>
  <w:style w:type="character" w:customStyle="1" w:styleId="57">
    <w:name w:val="标题 6 Char"/>
    <w:link w:val="7"/>
    <w:uiPriority w:val="0"/>
    <w:rPr>
      <w:rFonts w:ascii="Arial" w:hAnsi="Arial" w:eastAsia="黑体"/>
      <w:b/>
      <w:kern w:val="21"/>
      <w:sz w:val="24"/>
      <w:lang w:eastAsia="ar-SA"/>
    </w:rPr>
  </w:style>
  <w:style w:type="character" w:customStyle="1" w:styleId="58">
    <w:name w:val="标题 7 Char"/>
    <w:link w:val="8"/>
    <w:qFormat/>
    <w:uiPriority w:val="0"/>
    <w:rPr>
      <w:rFonts w:ascii="宋体" w:hAnsi="宋体"/>
      <w:b/>
      <w:kern w:val="21"/>
      <w:sz w:val="24"/>
      <w:lang w:eastAsia="ar-SA"/>
    </w:rPr>
  </w:style>
  <w:style w:type="character" w:customStyle="1" w:styleId="59">
    <w:name w:val="标题 8 Char"/>
    <w:link w:val="9"/>
    <w:qFormat/>
    <w:uiPriority w:val="0"/>
    <w:rPr>
      <w:rFonts w:ascii="Arial" w:hAnsi="Arial" w:eastAsia="黑体"/>
      <w:kern w:val="21"/>
      <w:sz w:val="24"/>
      <w:lang w:eastAsia="ar-SA"/>
    </w:rPr>
  </w:style>
  <w:style w:type="character" w:customStyle="1" w:styleId="60">
    <w:name w:val="标题 9 Char"/>
    <w:link w:val="10"/>
    <w:qFormat/>
    <w:uiPriority w:val="0"/>
    <w:rPr>
      <w:rFonts w:ascii="Arial" w:hAnsi="Arial" w:eastAsia="黑体"/>
      <w:kern w:val="21"/>
      <w:sz w:val="21"/>
      <w:lang w:eastAsia="ar-SA"/>
    </w:rPr>
  </w:style>
  <w:style w:type="character" w:customStyle="1" w:styleId="61">
    <w:name w:val="标题 Char"/>
    <w:link w:val="41"/>
    <w:qFormat/>
    <w:uiPriority w:val="99"/>
    <w:rPr>
      <w:rFonts w:ascii="Cambria" w:hAnsi="Cambria" w:eastAsia="方正小标宋简体"/>
      <w:b/>
      <w:bCs/>
      <w:sz w:val="44"/>
      <w:szCs w:val="32"/>
    </w:rPr>
  </w:style>
  <w:style w:type="character" w:customStyle="1" w:styleId="62">
    <w:name w:val="副标题 Char"/>
    <w:link w:val="33"/>
    <w:uiPriority w:val="0"/>
    <w:rPr>
      <w:rFonts w:ascii="Cambria" w:hAnsi="Cambria" w:eastAsia="方正楷体简体"/>
      <w:bCs/>
      <w:kern w:val="28"/>
      <w:szCs w:val="32"/>
    </w:rPr>
  </w:style>
  <w:style w:type="character" w:customStyle="1" w:styleId="63">
    <w:name w:val="纯文本 Char"/>
    <w:link w:val="24"/>
    <w:qFormat/>
    <w:uiPriority w:val="0"/>
    <w:rPr>
      <w:rFonts w:ascii="宋体" w:hAnsi="Courier New" w:cs="Courier New"/>
      <w:szCs w:val="21"/>
    </w:rPr>
  </w:style>
  <w:style w:type="paragraph" w:styleId="64">
    <w:name w:val="No Spacing"/>
    <w:link w:val="65"/>
    <w:qFormat/>
    <w:uiPriority w:val="0"/>
    <w:rPr>
      <w:rFonts w:ascii="Calibri" w:hAnsi="Calibri" w:eastAsia="宋体" w:cs="Times New Roman"/>
      <w:sz w:val="22"/>
      <w:lang w:val="en-US" w:eastAsia="zh-CN" w:bidi="ar-SA"/>
    </w:rPr>
  </w:style>
  <w:style w:type="character" w:customStyle="1" w:styleId="65">
    <w:name w:val="无间隔 Char"/>
    <w:link w:val="64"/>
    <w:qFormat/>
    <w:uiPriority w:val="0"/>
    <w:rPr>
      <w:sz w:val="22"/>
    </w:rPr>
  </w:style>
  <w:style w:type="paragraph" w:styleId="66">
    <w:name w:val="List Paragraph"/>
    <w:basedOn w:val="1"/>
    <w:qFormat/>
    <w:uiPriority w:val="34"/>
    <w:pPr>
      <w:ind w:firstLine="420" w:firstLineChars="200"/>
    </w:pPr>
    <w:rPr>
      <w:szCs w:val="21"/>
    </w:rPr>
  </w:style>
  <w:style w:type="paragraph" w:customStyle="1" w:styleId="67">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8">
    <w:name w:val="fontheight2"/>
    <w:qFormat/>
    <w:uiPriority w:val="0"/>
    <w:rPr>
      <w:sz w:val="20"/>
      <w:szCs w:val="20"/>
      <w:u w:val="none"/>
    </w:rPr>
  </w:style>
  <w:style w:type="character" w:customStyle="1" w:styleId="69">
    <w:name w:val="页眉 Char"/>
    <w:link w:val="30"/>
    <w:qFormat/>
    <w:uiPriority w:val="0"/>
    <w:rPr>
      <w:rFonts w:ascii="Times New Roman" w:hAnsi="Times New Roman"/>
      <w:sz w:val="18"/>
      <w:szCs w:val="18"/>
    </w:rPr>
  </w:style>
  <w:style w:type="character" w:customStyle="1" w:styleId="70">
    <w:name w:val="WW8Num1z3"/>
    <w:qFormat/>
    <w:uiPriority w:val="0"/>
    <w:rPr>
      <w:rFonts w:ascii="Arial" w:hAnsi="Arial"/>
      <w:color w:val="auto"/>
      <w:position w:val="0"/>
      <w:sz w:val="21"/>
      <w:vertAlign w:val="baseline"/>
    </w:rPr>
  </w:style>
  <w:style w:type="character" w:customStyle="1" w:styleId="71">
    <w:name w:val="WW8Num1z2"/>
    <w:qFormat/>
    <w:uiPriority w:val="0"/>
    <w:rPr>
      <w:b/>
      <w:sz w:val="28"/>
    </w:rPr>
  </w:style>
  <w:style w:type="character" w:customStyle="1" w:styleId="72">
    <w:name w:val="H3 Char"/>
    <w:qFormat/>
    <w:uiPriority w:val="0"/>
    <w:rPr>
      <w:rFonts w:eastAsia="宋体"/>
      <w:b/>
      <w:bCs/>
      <w:sz w:val="32"/>
      <w:szCs w:val="32"/>
      <w:lang w:val="en-US" w:eastAsia="zh-CN" w:bidi="ar-SA"/>
    </w:rPr>
  </w:style>
  <w:style w:type="character" w:customStyle="1" w:styleId="73">
    <w:name w:val="text91"/>
    <w:qFormat/>
    <w:uiPriority w:val="0"/>
    <w:rPr>
      <w:sz w:val="18"/>
      <w:u w:val="none"/>
    </w:rPr>
  </w:style>
  <w:style w:type="character" w:customStyle="1" w:styleId="74">
    <w:name w:val="ca-6"/>
    <w:basedOn w:val="42"/>
    <w:uiPriority w:val="0"/>
  </w:style>
  <w:style w:type="character" w:customStyle="1" w:styleId="75">
    <w:name w:val="Char Char10"/>
    <w:qFormat/>
    <w:uiPriority w:val="0"/>
    <w:rPr>
      <w:rFonts w:hint="eastAsia" w:ascii="宋体" w:hAnsi="Courier New" w:eastAsia="宋体" w:cs="Times New Roman"/>
      <w:sz w:val="18"/>
      <w:szCs w:val="20"/>
    </w:rPr>
  </w:style>
  <w:style w:type="character" w:customStyle="1" w:styleId="76">
    <w:name w:val="faq"/>
    <w:basedOn w:val="42"/>
    <w:qFormat/>
    <w:uiPriority w:val="0"/>
  </w:style>
  <w:style w:type="character" w:customStyle="1" w:styleId="77">
    <w:name w:val="WW8Num15z6"/>
    <w:qFormat/>
    <w:uiPriority w:val="0"/>
    <w:rPr>
      <w:rFonts w:ascii="Times New Roman" w:hAnsi="Times New Roman"/>
    </w:rPr>
  </w:style>
  <w:style w:type="character" w:customStyle="1" w:styleId="78">
    <w:name w:val="Char Char"/>
    <w:qFormat/>
    <w:uiPriority w:val="0"/>
    <w:rPr>
      <w:rFonts w:ascii="Times New Roman" w:hAnsi="Times New Roman"/>
      <w:sz w:val="21"/>
      <w:szCs w:val="24"/>
    </w:rPr>
  </w:style>
  <w:style w:type="character" w:customStyle="1" w:styleId="79">
    <w:name w:val="WW8Num1z0"/>
    <w:qFormat/>
    <w:uiPriority w:val="0"/>
    <w:rPr>
      <w:rFonts w:ascii="Arial" w:hAnsi="Arial"/>
      <w:b/>
      <w:color w:val="000000"/>
      <w:position w:val="0"/>
      <w:sz w:val="36"/>
      <w:vertAlign w:val="baseline"/>
    </w:rPr>
  </w:style>
  <w:style w:type="character" w:customStyle="1" w:styleId="80">
    <w:name w:val="正文文本 Char"/>
    <w:link w:val="16"/>
    <w:qFormat/>
    <w:uiPriority w:val="0"/>
    <w:rPr>
      <w:rFonts w:ascii="Times New Roman" w:hAnsi="Times New Roman"/>
      <w:szCs w:val="24"/>
    </w:rPr>
  </w:style>
  <w:style w:type="character" w:customStyle="1" w:styleId="81">
    <w:name w:val="首行缩进:  0.85 厘米 Char Char"/>
    <w:link w:val="82"/>
    <w:qFormat/>
    <w:uiPriority w:val="0"/>
    <w:rPr>
      <w:rFonts w:eastAsia="昆仑黑体" w:cs="Arial Unicode MS"/>
      <w:sz w:val="28"/>
      <w:lang w:eastAsia="en-US" w:bidi="en-US"/>
    </w:rPr>
  </w:style>
  <w:style w:type="paragraph" w:customStyle="1" w:styleId="82">
    <w:name w:val="首行缩进:  0.85 厘米"/>
    <w:basedOn w:val="1"/>
    <w:link w:val="81"/>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3">
    <w:name w:val="0921 Char"/>
    <w:qFormat/>
    <w:uiPriority w:val="0"/>
    <w:rPr>
      <w:rFonts w:ascii="宋体" w:hAnsi="Courier New" w:cs="宋体"/>
      <w:kern w:val="2"/>
      <w:sz w:val="21"/>
      <w:szCs w:val="21"/>
    </w:rPr>
  </w:style>
  <w:style w:type="character" w:customStyle="1" w:styleId="84">
    <w:name w:val="paramname2"/>
    <w:qFormat/>
    <w:uiPriority w:val="0"/>
    <w:rPr>
      <w:color w:val="999999"/>
    </w:rPr>
  </w:style>
  <w:style w:type="character" w:customStyle="1" w:styleId="85">
    <w:name w:val="WW8Num2z3"/>
    <w:qFormat/>
    <w:uiPriority w:val="0"/>
    <w:rPr>
      <w:rFonts w:ascii="Arial" w:hAnsi="Arial"/>
      <w:color w:val="auto"/>
      <w:position w:val="0"/>
      <w:sz w:val="21"/>
      <w:vertAlign w:val="baseline"/>
    </w:rPr>
  </w:style>
  <w:style w:type="character" w:customStyle="1" w:styleId="86">
    <w:name w:val="默认段落字体1"/>
    <w:qFormat/>
    <w:uiPriority w:val="0"/>
  </w:style>
  <w:style w:type="character" w:customStyle="1" w:styleId="87">
    <w:name w:val="WW8Num17z0"/>
    <w:qFormat/>
    <w:uiPriority w:val="0"/>
    <w:rPr>
      <w:rFonts w:ascii="Wingdings" w:hAnsi="Wingdings"/>
    </w:rPr>
  </w:style>
  <w:style w:type="character" w:customStyle="1" w:styleId="88">
    <w:name w:val="WW-Absatz-Standardschriftart"/>
    <w:qFormat/>
    <w:uiPriority w:val="0"/>
  </w:style>
  <w:style w:type="character" w:customStyle="1" w:styleId="89">
    <w:name w:val="WW8Num22z1"/>
    <w:qFormat/>
    <w:uiPriority w:val="0"/>
    <w:rPr>
      <w:rFonts w:ascii="Wingdings" w:hAnsi="Wingdings"/>
    </w:rPr>
  </w:style>
  <w:style w:type="character" w:customStyle="1" w:styleId="90">
    <w:name w:val="WW8Num2z2"/>
    <w:qFormat/>
    <w:uiPriority w:val="0"/>
    <w:rPr>
      <w:rFonts w:ascii="Arial" w:hAnsi="Arial"/>
      <w:color w:val="000000"/>
      <w:position w:val="0"/>
      <w:sz w:val="24"/>
      <w:vertAlign w:val="baseline"/>
    </w:rPr>
  </w:style>
  <w:style w:type="character" w:customStyle="1" w:styleId="91">
    <w:name w:val="正文文本缩进 3 Char"/>
    <w:link w:val="36"/>
    <w:qFormat/>
    <w:uiPriority w:val="0"/>
    <w:rPr>
      <w:rFonts w:ascii="Times New Roman" w:hAnsi="Times New Roman"/>
      <w:sz w:val="16"/>
      <w:szCs w:val="16"/>
    </w:rPr>
  </w:style>
  <w:style w:type="character" w:customStyle="1" w:styleId="92">
    <w:name w:val="正文要点 Char Char"/>
    <w:link w:val="93"/>
    <w:qFormat/>
    <w:uiPriority w:val="0"/>
    <w:rPr>
      <w:kern w:val="2"/>
      <w:sz w:val="21"/>
      <w:szCs w:val="24"/>
    </w:rPr>
  </w:style>
  <w:style w:type="paragraph" w:customStyle="1" w:styleId="93">
    <w:name w:val="正文要点"/>
    <w:basedOn w:val="1"/>
    <w:next w:val="94"/>
    <w:link w:val="92"/>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4">
    <w:name w:val="正文要点内容"/>
    <w:basedOn w:val="93"/>
    <w:link w:val="114"/>
    <w:qFormat/>
    <w:uiPriority w:val="0"/>
    <w:pPr>
      <w:numPr>
        <w:numId w:val="0"/>
      </w:numPr>
      <w:ind w:left="400" w:leftChars="400" w:firstLine="200" w:firstLineChars="200"/>
    </w:pPr>
    <w:rPr>
      <w:rFonts w:ascii="Times New Roman" w:hAnsi="Times New Roman"/>
      <w:kern w:val="0"/>
      <w:sz w:val="20"/>
    </w:rPr>
  </w:style>
  <w:style w:type="character" w:customStyle="1" w:styleId="95">
    <w:name w:val="WW8Num19z0"/>
    <w:qFormat/>
    <w:uiPriority w:val="0"/>
    <w:rPr>
      <w:rFonts w:ascii="Wingdings" w:hAnsi="Wingdings"/>
    </w:rPr>
  </w:style>
  <w:style w:type="character" w:customStyle="1" w:styleId="96">
    <w:name w:val="case31"/>
    <w:qFormat/>
    <w:uiPriority w:val="0"/>
    <w:rPr>
      <w:rFonts w:hint="default"/>
      <w:spacing w:val="390"/>
      <w:sz w:val="21"/>
      <w:szCs w:val="21"/>
    </w:rPr>
  </w:style>
  <w:style w:type="character" w:customStyle="1" w:styleId="97">
    <w:name w:val="mark4"/>
    <w:qFormat/>
    <w:uiPriority w:val="0"/>
  </w:style>
  <w:style w:type="character" w:customStyle="1" w:styleId="98">
    <w:name w:val="WW8Num9z0"/>
    <w:qFormat/>
    <w:uiPriority w:val="0"/>
    <w:rPr>
      <w:b/>
    </w:rPr>
  </w:style>
  <w:style w:type="character" w:customStyle="1" w:styleId="99">
    <w:name w:val="apple-style-span"/>
    <w:basedOn w:val="42"/>
    <w:qFormat/>
    <w:uiPriority w:val="0"/>
  </w:style>
  <w:style w:type="character" w:customStyle="1" w:styleId="100">
    <w:name w:val="WW8Num31z1"/>
    <w:qFormat/>
    <w:uiPriority w:val="0"/>
    <w:rPr>
      <w:b/>
      <w:color w:val="000000"/>
    </w:rPr>
  </w:style>
  <w:style w:type="character" w:customStyle="1" w:styleId="101">
    <w:name w:val="Char Char4"/>
    <w:qFormat/>
    <w:uiPriority w:val="0"/>
    <w:rPr>
      <w:rFonts w:eastAsia="宋体"/>
      <w:b/>
      <w:bCs/>
      <w:kern w:val="44"/>
      <w:sz w:val="44"/>
      <w:szCs w:val="44"/>
      <w:lang w:val="en-US" w:eastAsia="zh-CN" w:bidi="ar-SA"/>
    </w:rPr>
  </w:style>
  <w:style w:type="character" w:customStyle="1" w:styleId="102">
    <w:name w:val="WW8Num2z0"/>
    <w:qFormat/>
    <w:uiPriority w:val="0"/>
    <w:rPr>
      <w:rFonts w:ascii="Arial" w:hAnsi="Arial"/>
      <w:b/>
      <w:color w:val="000000"/>
      <w:position w:val="0"/>
      <w:sz w:val="36"/>
      <w:vertAlign w:val="baseline"/>
    </w:rPr>
  </w:style>
  <w:style w:type="character" w:customStyle="1" w:styleId="103">
    <w:name w:val="WW8Num27z0"/>
    <w:qFormat/>
    <w:uiPriority w:val="0"/>
    <w:rPr>
      <w:b/>
    </w:rPr>
  </w:style>
  <w:style w:type="character" w:customStyle="1" w:styleId="104">
    <w:name w:val="批注框文本 Char"/>
    <w:link w:val="28"/>
    <w:qFormat/>
    <w:uiPriority w:val="0"/>
    <w:rPr>
      <w:rFonts w:ascii="Times New Roman" w:hAnsi="Times New Roman"/>
      <w:sz w:val="18"/>
      <w:szCs w:val="18"/>
    </w:rPr>
  </w:style>
  <w:style w:type="character" w:customStyle="1" w:styleId="105">
    <w:name w:val="WW-Absatz-Standardschriftart1"/>
    <w:qFormat/>
    <w:uiPriority w:val="0"/>
  </w:style>
  <w:style w:type="character" w:customStyle="1" w:styleId="106">
    <w:name w:val="WW8Num8z0"/>
    <w:qFormat/>
    <w:uiPriority w:val="0"/>
    <w:rPr>
      <w:b/>
    </w:rPr>
  </w:style>
  <w:style w:type="character" w:customStyle="1" w:styleId="107">
    <w:name w:val="jk"/>
    <w:qFormat/>
    <w:uiPriority w:val="0"/>
  </w:style>
  <w:style w:type="character" w:customStyle="1" w:styleId="108">
    <w:name w:val="正文文本缩进 2 Char"/>
    <w:link w:val="27"/>
    <w:qFormat/>
    <w:uiPriority w:val="0"/>
    <w:rPr>
      <w:rFonts w:ascii="Times New Roman" w:hAnsi="Times New Roman"/>
      <w:szCs w:val="24"/>
    </w:rPr>
  </w:style>
  <w:style w:type="character" w:customStyle="1" w:styleId="109">
    <w:name w:val="font131"/>
    <w:qFormat/>
    <w:uiPriority w:val="0"/>
    <w:rPr>
      <w:sz w:val="20"/>
      <w:szCs w:val="20"/>
    </w:rPr>
  </w:style>
  <w:style w:type="character" w:customStyle="1" w:styleId="110">
    <w:name w:val="Absatz-Standardschriftart"/>
    <w:qFormat/>
    <w:uiPriority w:val="0"/>
  </w:style>
  <w:style w:type="character" w:customStyle="1" w:styleId="111">
    <w:name w:val="WW8Num1z1"/>
    <w:qFormat/>
    <w:uiPriority w:val="0"/>
    <w:rPr>
      <w:b/>
      <w:sz w:val="28"/>
    </w:rPr>
  </w:style>
  <w:style w:type="character" w:customStyle="1" w:styleId="112">
    <w:name w:val="ca-2"/>
    <w:basedOn w:val="42"/>
    <w:qFormat/>
    <w:uiPriority w:val="0"/>
  </w:style>
  <w:style w:type="character" w:customStyle="1" w:styleId="113">
    <w:name w:val="正文文本缩进 Char"/>
    <w:link w:val="20"/>
    <w:qFormat/>
    <w:uiPriority w:val="0"/>
    <w:rPr>
      <w:rFonts w:ascii="仿宋_GB2312" w:hAnsi="Times New Roman" w:eastAsia="仿宋_GB2312"/>
      <w:sz w:val="32"/>
    </w:rPr>
  </w:style>
  <w:style w:type="character" w:customStyle="1" w:styleId="114">
    <w:name w:val="正文要点内容 Char Char"/>
    <w:link w:val="94"/>
    <w:qFormat/>
    <w:uiPriority w:val="0"/>
    <w:rPr>
      <w:rFonts w:ascii="Times New Roman" w:hAnsi="Times New Roman"/>
      <w:szCs w:val="24"/>
    </w:rPr>
  </w:style>
  <w:style w:type="character" w:customStyle="1" w:styleId="115">
    <w:name w:val="日期 Char"/>
    <w:link w:val="26"/>
    <w:qFormat/>
    <w:uiPriority w:val="0"/>
    <w:rPr>
      <w:rFonts w:ascii="宋体" w:hAnsi="Courier New" w:cs="Courier New"/>
      <w:szCs w:val="21"/>
    </w:rPr>
  </w:style>
  <w:style w:type="character" w:customStyle="1" w:styleId="116">
    <w:name w:val="a14_red_bold1"/>
    <w:qFormat/>
    <w:uiPriority w:val="0"/>
    <w:rPr>
      <w:rFonts w:ascii="Arial" w:hAnsi="Arial" w:cs="Arial"/>
      <w:b/>
      <w:bCs/>
      <w:color w:val="auto"/>
      <w:sz w:val="21"/>
      <w:szCs w:val="21"/>
      <w:u w:val="none"/>
    </w:rPr>
  </w:style>
  <w:style w:type="character" w:customStyle="1" w:styleId="117">
    <w:name w:val="样式 标题 2第一层条论文标题 1正文二级标题heading 2 + Indent: Left 0.25 inh2h...1 Char Char"/>
    <w:link w:val="118"/>
    <w:qFormat/>
    <w:uiPriority w:val="0"/>
    <w:rPr>
      <w:rFonts w:ascii="新宋体" w:hAnsi="新宋体" w:eastAsia="新宋体" w:cs="宋体"/>
      <w:b/>
      <w:bCs/>
      <w:kern w:val="2"/>
      <w:sz w:val="28"/>
    </w:rPr>
  </w:style>
  <w:style w:type="paragraph" w:customStyle="1" w:styleId="118">
    <w:name w:val="样式 标题 2第一层条论文标题 1正文二级标题heading 2 + Indent: Left 0.25 inh2h...1"/>
    <w:basedOn w:val="3"/>
    <w:link w:val="117"/>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19">
    <w:name w:val="WW8Num2z1"/>
    <w:qFormat/>
    <w:uiPriority w:val="0"/>
    <w:rPr>
      <w:rFonts w:ascii="Arial" w:hAnsi="Arial"/>
      <w:color w:val="000000"/>
      <w:position w:val="0"/>
      <w:sz w:val="30"/>
      <w:vertAlign w:val="baseline"/>
    </w:rPr>
  </w:style>
  <w:style w:type="character" w:customStyle="1" w:styleId="120">
    <w:name w:val="WW8Num13z0"/>
    <w:qFormat/>
    <w:uiPriority w:val="0"/>
    <w:rPr>
      <w:rFonts w:ascii="Wingdings" w:hAnsi="Wingdings"/>
    </w:rPr>
  </w:style>
  <w:style w:type="character" w:customStyle="1" w:styleId="121">
    <w:name w:val="huei12b1"/>
    <w:qFormat/>
    <w:uiPriority w:val="0"/>
    <w:rPr>
      <w:b/>
      <w:color w:val="333333"/>
      <w:sz w:val="18"/>
    </w:rPr>
  </w:style>
  <w:style w:type="character" w:customStyle="1" w:styleId="122">
    <w:name w:val="正文文本 3 Char"/>
    <w:link w:val="19"/>
    <w:qFormat/>
    <w:uiPriority w:val="0"/>
    <w:rPr>
      <w:rFonts w:ascii="黑体" w:hAnsi="Arial" w:eastAsia="黑体"/>
      <w:b/>
      <w:sz w:val="28"/>
    </w:rPr>
  </w:style>
  <w:style w:type="character" w:customStyle="1" w:styleId="123">
    <w:name w:val="h4 Char"/>
    <w:qFormat/>
    <w:uiPriority w:val="0"/>
    <w:rPr>
      <w:rFonts w:ascii="Arial" w:hAnsi="Arial" w:eastAsia="黑体" w:cs="Arial"/>
      <w:b/>
      <w:bCs/>
      <w:sz w:val="28"/>
      <w:szCs w:val="28"/>
      <w:lang w:val="en-US" w:eastAsia="zh-CN" w:bidi="ar-SA"/>
    </w:rPr>
  </w:style>
  <w:style w:type="character" w:customStyle="1" w:styleId="124">
    <w:name w:val="WW8Num12z6"/>
    <w:qFormat/>
    <w:uiPriority w:val="0"/>
    <w:rPr>
      <w:rFonts w:ascii="Times New Roman" w:hAnsi="Times New Roman"/>
    </w:rPr>
  </w:style>
  <w:style w:type="character" w:customStyle="1" w:styleId="125">
    <w:name w:val="ca-3"/>
    <w:basedOn w:val="42"/>
    <w:qFormat/>
    <w:uiPriority w:val="0"/>
  </w:style>
  <w:style w:type="character" w:customStyle="1" w:styleId="126">
    <w:name w:val="WW8Num18z0"/>
    <w:qFormat/>
    <w:uiPriority w:val="0"/>
    <w:rPr>
      <w:b/>
    </w:rPr>
  </w:style>
  <w:style w:type="character" w:customStyle="1" w:styleId="127">
    <w:name w:val="页脚 Char"/>
    <w:link w:val="29"/>
    <w:qFormat/>
    <w:uiPriority w:val="0"/>
    <w:rPr>
      <w:rFonts w:ascii="Times New Roman" w:hAnsi="Times New Roman"/>
      <w:sz w:val="18"/>
      <w:szCs w:val="18"/>
    </w:rPr>
  </w:style>
  <w:style w:type="character" w:customStyle="1" w:styleId="128">
    <w:name w:val="WW8Num31z2"/>
    <w:qFormat/>
    <w:uiPriority w:val="0"/>
    <w:rPr>
      <w:b/>
    </w:rPr>
  </w:style>
  <w:style w:type="character" w:customStyle="1" w:styleId="129">
    <w:name w:val="WW8Num14z0"/>
    <w:qFormat/>
    <w:uiPriority w:val="0"/>
    <w:rPr>
      <w:b/>
    </w:rPr>
  </w:style>
  <w:style w:type="character" w:customStyle="1" w:styleId="130">
    <w:name w:val="WW8Num16z0"/>
    <w:qFormat/>
    <w:uiPriority w:val="0"/>
    <w:rPr>
      <w:b/>
    </w:rPr>
  </w:style>
  <w:style w:type="character" w:customStyle="1" w:styleId="131">
    <w:name w:val="WW8Num16z1"/>
    <w:qFormat/>
    <w:uiPriority w:val="0"/>
    <w:rPr>
      <w:rFonts w:ascii="Wingdings" w:hAnsi="Wingdings"/>
    </w:rPr>
  </w:style>
  <w:style w:type="character" w:customStyle="1" w:styleId="132">
    <w:name w:val="WW8Num23z0"/>
    <w:qFormat/>
    <w:uiPriority w:val="0"/>
    <w:rPr>
      <w:rFonts w:ascii="Wingdings" w:hAnsi="Wingdings"/>
    </w:rPr>
  </w:style>
  <w:style w:type="character" w:customStyle="1" w:styleId="133">
    <w:name w:val="正文段落 Char Char"/>
    <w:link w:val="134"/>
    <w:qFormat/>
    <w:uiPriority w:val="0"/>
    <w:rPr>
      <w:rFonts w:ascii="宋体" w:hAnsi="宋体"/>
      <w:kern w:val="2"/>
      <w:sz w:val="28"/>
      <w:szCs w:val="22"/>
    </w:rPr>
  </w:style>
  <w:style w:type="paragraph" w:customStyle="1" w:styleId="134">
    <w:name w:val="正文段落"/>
    <w:basedOn w:val="1"/>
    <w:link w:val="133"/>
    <w:qFormat/>
    <w:uiPriority w:val="0"/>
    <w:pPr>
      <w:ind w:firstLine="560" w:firstLineChars="200"/>
    </w:pPr>
    <w:rPr>
      <w:rFonts w:ascii="宋体" w:hAnsi="宋体"/>
      <w:szCs w:val="22"/>
    </w:rPr>
  </w:style>
  <w:style w:type="paragraph" w:customStyle="1" w:styleId="135">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6">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7">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8">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3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1">
    <w:name w:val="内容目录 10"/>
    <w:basedOn w:val="14"/>
    <w:qFormat/>
    <w:uiPriority w:val="0"/>
    <w:pPr>
      <w:tabs>
        <w:tab w:val="right" w:leader="dot" w:pos="9637"/>
      </w:tabs>
      <w:ind w:left="2547"/>
    </w:pPr>
  </w:style>
  <w:style w:type="paragraph" w:customStyle="1" w:styleId="142">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3">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4">
    <w:name w:val="框内容"/>
    <w:basedOn w:val="16"/>
    <w:qFormat/>
    <w:uiPriority w:val="0"/>
    <w:pPr>
      <w:suppressAutoHyphens/>
    </w:pPr>
    <w:rPr>
      <w:rFonts w:hint="eastAsia" w:ascii="方正大黑简体" w:hAnsi="宋体" w:eastAsia="方正大黑简体"/>
      <w:kern w:val="44"/>
      <w:position w:val="6"/>
      <w:sz w:val="30"/>
      <w:szCs w:val="20"/>
    </w:rPr>
  </w:style>
  <w:style w:type="paragraph" w:customStyle="1" w:styleId="145">
    <w:name w:val="pa-2"/>
    <w:basedOn w:val="1"/>
    <w:qFormat/>
    <w:uiPriority w:val="0"/>
    <w:pPr>
      <w:widowControl/>
      <w:spacing w:line="360" w:lineRule="atLeast"/>
      <w:ind w:firstLine="480"/>
    </w:pPr>
    <w:rPr>
      <w:rFonts w:ascii="宋体" w:hAnsi="宋体" w:cs="宋体"/>
      <w:kern w:val="0"/>
      <w:sz w:val="24"/>
      <w:szCs w:val="24"/>
    </w:rPr>
  </w:style>
  <w:style w:type="paragraph" w:customStyle="1" w:styleId="14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7">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8">
    <w:name w:val="默认段落字体 Para Char"/>
    <w:basedOn w:val="1"/>
    <w:qFormat/>
    <w:uiPriority w:val="0"/>
    <w:rPr>
      <w:szCs w:val="21"/>
    </w:rPr>
  </w:style>
  <w:style w:type="paragraph" w:customStyle="1" w:styleId="149">
    <w:name w:val="表格标题"/>
    <w:basedOn w:val="150"/>
    <w:qFormat/>
    <w:uiPriority w:val="0"/>
    <w:pPr>
      <w:jc w:val="center"/>
    </w:pPr>
    <w:rPr>
      <w:b/>
    </w:rPr>
  </w:style>
  <w:style w:type="paragraph" w:customStyle="1" w:styleId="150">
    <w:name w:val="表格内容"/>
    <w:basedOn w:val="1"/>
    <w:qFormat/>
    <w:uiPriority w:val="0"/>
    <w:pPr>
      <w:suppressLineNumbers/>
      <w:suppressAutoHyphens/>
    </w:pPr>
    <w:rPr>
      <w:rFonts w:ascii="宋体" w:hAnsi="宋体"/>
      <w:kern w:val="1"/>
      <w:lang w:eastAsia="ar-SA"/>
    </w:rPr>
  </w:style>
  <w:style w:type="paragraph" w:customStyle="1" w:styleId="151">
    <w:name w:val="批注框文本 Char Char"/>
    <w:basedOn w:val="1"/>
    <w:qFormat/>
    <w:uiPriority w:val="0"/>
    <w:rPr>
      <w:sz w:val="18"/>
      <w:szCs w:val="18"/>
    </w:rPr>
  </w:style>
  <w:style w:type="paragraph" w:customStyle="1" w:styleId="152">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3">
    <w:name w:val="CSS1级正文"/>
    <w:basedOn w:val="16"/>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4">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5">
    <w:name w:val="D&amp;L"/>
    <w:basedOn w:val="30"/>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6">
    <w:name w:val="论文标题1"/>
    <w:basedOn w:val="2"/>
    <w:qFormat/>
    <w:uiPriority w:val="0"/>
    <w:pPr>
      <w:tabs>
        <w:tab w:val="left" w:pos="747"/>
      </w:tabs>
      <w:adjustRightInd w:val="0"/>
      <w:spacing w:line="240" w:lineRule="auto"/>
      <w:ind w:left="747" w:hanging="567"/>
      <w:textAlignment w:val="baseline"/>
    </w:pPr>
  </w:style>
  <w:style w:type="paragraph" w:customStyle="1" w:styleId="157">
    <w:name w:val="我的正文"/>
    <w:basedOn w:val="1"/>
    <w:qFormat/>
    <w:uiPriority w:val="0"/>
    <w:pPr>
      <w:ind w:firstLine="200" w:firstLineChars="200"/>
    </w:pPr>
    <w:rPr>
      <w:rFonts w:ascii="宋体" w:hAnsi="宋体"/>
      <w:sz w:val="24"/>
    </w:rPr>
  </w:style>
  <w:style w:type="paragraph" w:customStyle="1" w:styleId="158">
    <w:name w:val="表格"/>
    <w:basedOn w:val="159"/>
    <w:qFormat/>
    <w:uiPriority w:val="0"/>
    <w:pPr>
      <w:spacing w:line="240" w:lineRule="atLeast"/>
      <w:ind w:firstLine="0" w:firstLineChars="0"/>
      <w:jc w:val="center"/>
    </w:pPr>
    <w:rPr>
      <w:rFonts w:ascii="Arial" w:hAnsi="Arial" w:eastAsia="宋体"/>
      <w:sz w:val="21"/>
    </w:rPr>
  </w:style>
  <w:style w:type="paragraph" w:customStyle="1" w:styleId="159">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0">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2">
    <w:name w:val="Char"/>
    <w:basedOn w:val="1"/>
    <w:qFormat/>
    <w:uiPriority w:val="0"/>
    <w:rPr>
      <w:szCs w:val="24"/>
    </w:rPr>
  </w:style>
  <w:style w:type="paragraph" w:customStyle="1" w:styleId="163">
    <w:name w:val="正文内容"/>
    <w:basedOn w:val="1"/>
    <w:qFormat/>
    <w:uiPriority w:val="0"/>
    <w:pPr>
      <w:suppressAutoHyphens/>
    </w:pPr>
    <w:rPr>
      <w:rFonts w:ascii="Arial" w:hAnsi="Arial"/>
      <w:spacing w:val="-12"/>
      <w:kern w:val="21"/>
      <w:lang w:eastAsia="ar-SA"/>
    </w:rPr>
  </w:style>
  <w:style w:type="paragraph" w:customStyle="1" w:styleId="164">
    <w:name w:val="Char1 Char Char Char Char Char Char"/>
    <w:basedOn w:val="1"/>
    <w:qFormat/>
    <w:uiPriority w:val="0"/>
    <w:rPr>
      <w:rFonts w:ascii="Tahoma" w:hAnsi="Tahoma"/>
      <w:sz w:val="24"/>
    </w:rPr>
  </w:style>
  <w:style w:type="paragraph" w:customStyle="1" w:styleId="165">
    <w:name w:val="标准正文"/>
    <w:basedOn w:val="1"/>
    <w:qFormat/>
    <w:uiPriority w:val="0"/>
    <w:pPr>
      <w:spacing w:line="360" w:lineRule="auto"/>
      <w:ind w:firstLine="420" w:firstLineChars="200"/>
    </w:pPr>
    <w:rPr>
      <w:rFonts w:ascii="Calibri" w:hAnsi="Calibri"/>
    </w:rPr>
  </w:style>
  <w:style w:type="paragraph" w:customStyle="1" w:styleId="166">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7">
    <w:name w:val="Normal1"/>
    <w:basedOn w:val="1"/>
    <w:uiPriority w:val="0"/>
    <w:pPr>
      <w:suppressAutoHyphens/>
      <w:spacing w:line="360" w:lineRule="auto"/>
    </w:pPr>
    <w:rPr>
      <w:rFonts w:ascii="宋体" w:hAnsi="宋体"/>
      <w:kern w:val="1"/>
      <w:lang w:eastAsia="ar-SA"/>
    </w:rPr>
  </w:style>
  <w:style w:type="paragraph" w:customStyle="1" w:styleId="168">
    <w:name w:val="xl25"/>
    <w:basedOn w:val="1"/>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6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0">
    <w:name w:val="默认段落字体 Para Char Char Char Char"/>
    <w:basedOn w:val="1"/>
    <w:uiPriority w:val="0"/>
    <w:rPr>
      <w:szCs w:val="24"/>
    </w:rPr>
  </w:style>
  <w:style w:type="paragraph" w:customStyle="1" w:styleId="171">
    <w:name w:val="样式 标题 3h3Level 3 HeadH3Heading 3 - oldlevel_3PIM 3BOD 0s..."/>
    <w:basedOn w:val="4"/>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2">
    <w:name w:val="样式1"/>
    <w:basedOn w:val="1"/>
    <w:uiPriority w:val="0"/>
    <w:pPr>
      <w:tabs>
        <w:tab w:val="left" w:pos="1674"/>
      </w:tabs>
      <w:adjustRightInd w:val="0"/>
      <w:ind w:left="1674" w:hanging="1125"/>
      <w:textAlignment w:val="baseline"/>
    </w:pPr>
    <w:rPr>
      <w:rFonts w:ascii="宋体" w:hAnsi="宋体"/>
      <w:kern w:val="0"/>
      <w:szCs w:val="21"/>
    </w:rPr>
  </w:style>
  <w:style w:type="paragraph" w:customStyle="1" w:styleId="173">
    <w:name w:val="Table Description"/>
    <w:basedOn w:val="1"/>
    <w:uiPriority w:val="0"/>
    <w:pPr>
      <w:suppressAutoHyphens/>
    </w:pPr>
    <w:rPr>
      <w:rFonts w:ascii="宋体" w:hAnsi="宋体"/>
      <w:kern w:val="1"/>
      <w:lang w:eastAsia="ar-SA"/>
    </w:rPr>
  </w:style>
  <w:style w:type="paragraph" w:customStyle="1" w:styleId="174">
    <w:name w:val="tableheading"/>
    <w:basedOn w:val="1"/>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5">
    <w:name w:val="Bullet"/>
    <w:basedOn w:val="1"/>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6">
    <w:name w:val="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77">
    <w:name w:val="WPS Plain"/>
    <w:uiPriority w:val="0"/>
    <w:rPr>
      <w:rFonts w:ascii="Times New Roman" w:hAnsi="Times New Roman" w:eastAsia="宋体" w:cs="Times New Roman"/>
      <w:lang w:val="en-US" w:eastAsia="zh-CN" w:bidi="ar-SA"/>
    </w:rPr>
  </w:style>
  <w:style w:type="paragraph" w:customStyle="1" w:styleId="178">
    <w:name w:val="Char1 Char Char Char"/>
    <w:basedOn w:val="1"/>
    <w:uiPriority w:val="0"/>
    <w:pPr>
      <w:suppressAutoHyphens/>
    </w:pPr>
    <w:rPr>
      <w:rFonts w:ascii="宋体" w:hAnsi="宋体"/>
      <w:kern w:val="1"/>
      <w:sz w:val="24"/>
      <w:lang w:eastAsia="ar-SA"/>
    </w:rPr>
  </w:style>
  <w:style w:type="paragraph" w:customStyle="1" w:styleId="179">
    <w:name w:val="Figure Description"/>
    <w:basedOn w:val="1"/>
    <w:uiPriority w:val="0"/>
    <w:pPr>
      <w:suppressAutoHyphens/>
    </w:pPr>
    <w:rPr>
      <w:rFonts w:ascii="宋体" w:hAnsi="宋体"/>
      <w:kern w:val="1"/>
      <w:lang w:eastAsia="ar-SA"/>
    </w:rPr>
  </w:style>
  <w:style w:type="paragraph" w:customStyle="1" w:styleId="180">
    <w:name w:val="文档正文"/>
    <w:basedOn w:val="1"/>
    <w:uiPriority w:val="0"/>
    <w:pPr>
      <w:adjustRightInd w:val="0"/>
      <w:spacing w:line="480" w:lineRule="atLeast"/>
      <w:ind w:firstLine="567"/>
      <w:textAlignment w:val="baseline"/>
    </w:pPr>
    <w:rPr>
      <w:rFonts w:ascii="长城仿宋"/>
      <w:kern w:val="0"/>
      <w:sz w:val="24"/>
    </w:rPr>
  </w:style>
  <w:style w:type="paragraph" w:customStyle="1" w:styleId="181">
    <w:name w:val="样式 标题 1 + 黑体 小二 居中 段前: 15.6 磅 段后: 15.6 磅 行距: 单倍行距"/>
    <w:basedOn w:val="2"/>
    <w:uiPriority w:val="0"/>
    <w:pPr>
      <w:spacing w:before="312" w:after="312" w:line="240" w:lineRule="auto"/>
    </w:pPr>
    <w:rPr>
      <w:rFonts w:ascii="黑体" w:eastAsia="黑体" w:cs="宋体"/>
      <w:szCs w:val="20"/>
    </w:rPr>
  </w:style>
  <w:style w:type="paragraph" w:customStyle="1" w:styleId="182">
    <w:name w:val="body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Char Char Char Char Char Char Char1 Char"/>
    <w:basedOn w:val="1"/>
    <w:uiPriority w:val="0"/>
    <w:rPr>
      <w:rFonts w:ascii="Tahoma" w:hAnsi="Tahoma"/>
      <w:sz w:val="24"/>
    </w:rPr>
  </w:style>
  <w:style w:type="paragraph" w:customStyle="1" w:styleId="18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Char1"/>
    <w:basedOn w:val="1"/>
    <w:uiPriority w:val="0"/>
    <w:pPr>
      <w:suppressAutoHyphens/>
    </w:pPr>
    <w:rPr>
      <w:rFonts w:ascii="宋体" w:hAnsi="宋体"/>
      <w:kern w:val="1"/>
      <w:sz w:val="24"/>
      <w:lang w:eastAsia="ar-SA"/>
    </w:rPr>
  </w:style>
  <w:style w:type="paragraph" w:customStyle="1" w:styleId="186">
    <w:name w:val="三级条标题"/>
    <w:basedOn w:val="187"/>
    <w:next w:val="1"/>
    <w:uiPriority w:val="0"/>
    <w:pPr>
      <w:numPr>
        <w:ilvl w:val="4"/>
      </w:numPr>
      <w:tabs>
        <w:tab w:val="left" w:pos="360"/>
      </w:tabs>
      <w:outlineLvl w:val="4"/>
    </w:pPr>
  </w:style>
  <w:style w:type="paragraph" w:customStyle="1" w:styleId="187">
    <w:name w:val="二级条标题"/>
    <w:basedOn w:val="1"/>
    <w:next w:val="1"/>
    <w:uiPriority w:val="0"/>
    <w:pPr>
      <w:widowControl/>
      <w:numPr>
        <w:ilvl w:val="3"/>
        <w:numId w:val="4"/>
      </w:numPr>
      <w:jc w:val="left"/>
      <w:outlineLvl w:val="3"/>
    </w:pPr>
    <w:rPr>
      <w:rFonts w:eastAsia="黑体"/>
      <w:kern w:val="0"/>
    </w:rPr>
  </w:style>
  <w:style w:type="paragraph" w:customStyle="1" w:styleId="188">
    <w:name w:val="p0"/>
    <w:basedOn w:val="1"/>
    <w:uiPriority w:val="0"/>
    <w:pPr>
      <w:widowControl/>
    </w:pPr>
    <w:rPr>
      <w:kern w:val="0"/>
      <w:szCs w:val="21"/>
    </w:rPr>
  </w:style>
  <w:style w:type="character" w:customStyle="1" w:styleId="189">
    <w:name w:val="正文文本缩进 2 Char1"/>
    <w:basedOn w:val="42"/>
    <w:semiHidden/>
    <w:uiPriority w:val="99"/>
    <w:rPr>
      <w:rFonts w:ascii="Times New Roman" w:hAnsi="Times New Roman"/>
      <w:kern w:val="2"/>
      <w:sz w:val="28"/>
    </w:rPr>
  </w:style>
  <w:style w:type="character" w:customStyle="1" w:styleId="190">
    <w:name w:val="批注文字 Char"/>
    <w:basedOn w:val="42"/>
    <w:link w:val="12"/>
    <w:uiPriority w:val="0"/>
    <w:rPr>
      <w:rFonts w:ascii="Times New Roman" w:hAnsi="Times New Roman"/>
      <w:kern w:val="2"/>
      <w:sz w:val="28"/>
    </w:rPr>
  </w:style>
  <w:style w:type="character" w:customStyle="1" w:styleId="191">
    <w:name w:val="批注主题 Char"/>
    <w:basedOn w:val="190"/>
    <w:link w:val="11"/>
    <w:uiPriority w:val="0"/>
    <w:rPr>
      <w:rFonts w:ascii="宋体" w:hAnsi="宋体"/>
      <w:b/>
      <w:kern w:val="21"/>
      <w:sz w:val="28"/>
      <w:lang w:eastAsia="ar-SA"/>
    </w:rPr>
  </w:style>
  <w:style w:type="character" w:customStyle="1" w:styleId="192">
    <w:name w:val="HTML 预设格式 Char"/>
    <w:basedOn w:val="42"/>
    <w:link w:val="39"/>
    <w:uiPriority w:val="0"/>
    <w:rPr>
      <w:rFonts w:ascii="Arial" w:hAnsi="Arial" w:cs="Arial"/>
      <w:sz w:val="24"/>
    </w:rPr>
  </w:style>
  <w:style w:type="character" w:customStyle="1" w:styleId="193">
    <w:name w:val="批注框文本 Char1"/>
    <w:basedOn w:val="42"/>
    <w:semiHidden/>
    <w:qFormat/>
    <w:uiPriority w:val="99"/>
    <w:rPr>
      <w:rFonts w:ascii="Times New Roman" w:hAnsi="Times New Roman"/>
      <w:kern w:val="2"/>
      <w:sz w:val="18"/>
      <w:szCs w:val="18"/>
    </w:rPr>
  </w:style>
  <w:style w:type="character" w:customStyle="1" w:styleId="194">
    <w:name w:val="正文文本 Char1"/>
    <w:basedOn w:val="42"/>
    <w:semiHidden/>
    <w:uiPriority w:val="99"/>
    <w:rPr>
      <w:rFonts w:ascii="Times New Roman" w:hAnsi="Times New Roman"/>
      <w:kern w:val="2"/>
      <w:sz w:val="28"/>
    </w:rPr>
  </w:style>
  <w:style w:type="character" w:customStyle="1" w:styleId="195">
    <w:name w:val="页脚 Char1"/>
    <w:basedOn w:val="42"/>
    <w:semiHidden/>
    <w:uiPriority w:val="99"/>
    <w:rPr>
      <w:rFonts w:ascii="Times New Roman" w:hAnsi="Times New Roman"/>
      <w:kern w:val="2"/>
      <w:sz w:val="18"/>
      <w:szCs w:val="18"/>
    </w:rPr>
  </w:style>
  <w:style w:type="character" w:customStyle="1" w:styleId="196">
    <w:name w:val="正文文本 3 Char1"/>
    <w:basedOn w:val="42"/>
    <w:semiHidden/>
    <w:uiPriority w:val="99"/>
    <w:rPr>
      <w:rFonts w:ascii="Times New Roman" w:hAnsi="Times New Roman"/>
      <w:kern w:val="2"/>
      <w:sz w:val="16"/>
      <w:szCs w:val="16"/>
    </w:rPr>
  </w:style>
  <w:style w:type="paragraph" w:customStyle="1" w:styleId="197">
    <w:name w:val="点序列"/>
    <w:basedOn w:val="1"/>
    <w:uiPriority w:val="0"/>
    <w:pPr>
      <w:widowControl/>
      <w:tabs>
        <w:tab w:val="left" w:pos="1145"/>
        <w:tab w:val="left" w:pos="1412"/>
      </w:tabs>
      <w:spacing w:line="400" w:lineRule="atLeast"/>
      <w:ind w:left="1412"/>
      <w:jc w:val="left"/>
    </w:pPr>
    <w:rPr>
      <w:kern w:val="0"/>
      <w:sz w:val="24"/>
      <w:szCs w:val="24"/>
    </w:rPr>
  </w:style>
  <w:style w:type="paragraph" w:customStyle="1" w:styleId="198">
    <w:name w:val="xl27"/>
    <w:basedOn w:val="1"/>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99">
    <w:name w:val="段"/>
    <w:link w:val="21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Char Char1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01">
    <w:name w:val="正文文本 Char Char"/>
    <w:basedOn w:val="1"/>
    <w:uiPriority w:val="0"/>
    <w:pPr>
      <w:jc w:val="center"/>
    </w:pPr>
    <w:rPr>
      <w:rFonts w:hint="eastAsia" w:ascii="方正大黑简体" w:hAnsi="宋体" w:eastAsia="方正大黑简体"/>
      <w:kern w:val="44"/>
      <w:position w:val="6"/>
      <w:sz w:val="30"/>
    </w:rPr>
  </w:style>
  <w:style w:type="character" w:customStyle="1" w:styleId="202">
    <w:name w:val="日期 Char1"/>
    <w:basedOn w:val="42"/>
    <w:semiHidden/>
    <w:uiPriority w:val="99"/>
    <w:rPr>
      <w:rFonts w:ascii="Times New Roman" w:hAnsi="Times New Roman"/>
      <w:kern w:val="2"/>
      <w:sz w:val="28"/>
    </w:rPr>
  </w:style>
  <w:style w:type="character" w:customStyle="1" w:styleId="203">
    <w:name w:val="文档结构图 Char"/>
    <w:basedOn w:val="42"/>
    <w:link w:val="18"/>
    <w:uiPriority w:val="0"/>
    <w:rPr>
      <w:rFonts w:ascii="宋体" w:hAnsi="宋体"/>
      <w:kern w:val="21"/>
      <w:sz w:val="28"/>
      <w:shd w:val="clear" w:color="auto" w:fill="000080"/>
      <w:lang w:eastAsia="ar-SA"/>
    </w:rPr>
  </w:style>
  <w:style w:type="character" w:customStyle="1" w:styleId="204">
    <w:name w:val="正文文本缩进 Char1"/>
    <w:basedOn w:val="42"/>
    <w:semiHidden/>
    <w:qFormat/>
    <w:uiPriority w:val="99"/>
    <w:rPr>
      <w:rFonts w:ascii="Times New Roman" w:hAnsi="Times New Roman"/>
      <w:kern w:val="2"/>
      <w:sz w:val="28"/>
    </w:rPr>
  </w:style>
  <w:style w:type="character" w:customStyle="1" w:styleId="205">
    <w:name w:val="页眉 Char1"/>
    <w:basedOn w:val="42"/>
    <w:semiHidden/>
    <w:uiPriority w:val="99"/>
    <w:rPr>
      <w:rFonts w:ascii="Times New Roman" w:hAnsi="Times New Roman"/>
      <w:kern w:val="2"/>
      <w:sz w:val="18"/>
      <w:szCs w:val="18"/>
    </w:rPr>
  </w:style>
  <w:style w:type="character" w:customStyle="1" w:styleId="206">
    <w:name w:val="正文文本缩进 3 Char1"/>
    <w:basedOn w:val="42"/>
    <w:semiHidden/>
    <w:uiPriority w:val="99"/>
    <w:rPr>
      <w:rFonts w:ascii="Times New Roman" w:hAnsi="Times New Roman"/>
      <w:kern w:val="2"/>
      <w:sz w:val="16"/>
      <w:szCs w:val="16"/>
    </w:rPr>
  </w:style>
  <w:style w:type="paragraph" w:customStyle="1" w:styleId="207">
    <w:name w:val="样式 加粗 居中"/>
    <w:basedOn w:val="1"/>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8">
    <w:name w:val="apple-converted-space"/>
    <w:uiPriority w:val="0"/>
  </w:style>
  <w:style w:type="paragraph" w:customStyle="1" w:styleId="209">
    <w:name w:val="列出段落2"/>
    <w:basedOn w:val="1"/>
    <w:uiPriority w:val="0"/>
    <w:pPr>
      <w:ind w:firstLine="420" w:firstLineChars="200"/>
    </w:pPr>
  </w:style>
  <w:style w:type="paragraph" w:customStyle="1" w:styleId="210">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2">
    <w:name w:val="正文首行缩进 Char"/>
    <w:basedOn w:val="194"/>
    <w:link w:val="15"/>
    <w:uiPriority w:val="0"/>
    <w:rPr>
      <w:rFonts w:ascii="Times New Roman" w:hAnsi="Times New Roman"/>
      <w:kern w:val="2"/>
      <w:sz w:val="28"/>
      <w:szCs w:val="24"/>
    </w:rPr>
  </w:style>
  <w:style w:type="paragraph" w:customStyle="1" w:styleId="213">
    <w:name w:val="列出段落21"/>
    <w:basedOn w:val="1"/>
    <w:uiPriority w:val="99"/>
    <w:pPr>
      <w:ind w:firstLine="420" w:firstLineChars="200"/>
    </w:pPr>
    <w:rPr>
      <w:rFonts w:ascii="Calibri" w:hAnsi="Calibri"/>
      <w:sz w:val="21"/>
      <w:szCs w:val="22"/>
    </w:rPr>
  </w:style>
  <w:style w:type="character" w:customStyle="1" w:styleId="214">
    <w:name w:val="段 Char"/>
    <w:link w:val="199"/>
    <w:qFormat/>
    <w:locked/>
    <w:uiPriority w:val="0"/>
    <w:rPr>
      <w:rFonts w:ascii="宋体" w:hAnsi="Times New Roman"/>
      <w:sz w:val="21"/>
    </w:rPr>
  </w:style>
  <w:style w:type="paragraph" w:customStyle="1" w:styleId="215">
    <w:name w:val="一级条标题"/>
    <w:next w:val="199"/>
    <w:uiPriority w:val="0"/>
    <w:pPr>
      <w:spacing w:beforeLines="50"/>
      <w:outlineLvl w:val="2"/>
    </w:pPr>
    <w:rPr>
      <w:rFonts w:ascii="黑体" w:hAnsi="Times New Roman" w:eastAsia="黑体" w:cs="Times New Roman"/>
      <w:sz w:val="21"/>
      <w:szCs w:val="21"/>
      <w:lang w:val="en-US" w:eastAsia="zh-CN" w:bidi="ar-SA"/>
    </w:rPr>
  </w:style>
  <w:style w:type="paragraph" w:customStyle="1" w:styleId="216">
    <w:name w:val="章标题"/>
    <w:next w:val="199"/>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7">
    <w:name w:val="四级条标题"/>
    <w:basedOn w:val="186"/>
    <w:next w:val="199"/>
    <w:uiPriority w:val="0"/>
    <w:pPr>
      <w:numPr>
        <w:ilvl w:val="0"/>
        <w:numId w:val="0"/>
      </w:numPr>
      <w:tabs>
        <w:tab w:val="clear" w:pos="360"/>
      </w:tabs>
      <w:spacing w:beforeLines="50" w:afterLines="50"/>
      <w:outlineLvl w:val="5"/>
    </w:pPr>
    <w:rPr>
      <w:rFonts w:ascii="黑体"/>
      <w:sz w:val="21"/>
      <w:szCs w:val="21"/>
    </w:rPr>
  </w:style>
  <w:style w:type="paragraph" w:customStyle="1" w:styleId="218">
    <w:name w:val="五级条标题"/>
    <w:basedOn w:val="217"/>
    <w:next w:val="199"/>
    <w:uiPriority w:val="0"/>
    <w:pPr>
      <w:outlineLvl w:val="6"/>
    </w:pPr>
  </w:style>
  <w:style w:type="paragraph" w:customStyle="1" w:styleId="219">
    <w:name w:val="二级无"/>
    <w:basedOn w:val="187"/>
    <w:uiPriority w:val="0"/>
    <w:pPr>
      <w:numPr>
        <w:ilvl w:val="2"/>
        <w:numId w:val="1"/>
      </w:numPr>
      <w:spacing w:before="50" w:after="50"/>
    </w:pPr>
    <w:rPr>
      <w:rFonts w:ascii="宋体" w:eastAsia="宋体"/>
      <w:sz w:val="21"/>
      <w:szCs w:val="21"/>
    </w:rPr>
  </w:style>
  <w:style w:type="paragraph" w:customStyle="1" w:styleId="220">
    <w:name w:val="附录表标号"/>
    <w:basedOn w:val="1"/>
    <w:next w:val="199"/>
    <w:uiPriority w:val="0"/>
    <w:pPr>
      <w:numPr>
        <w:ilvl w:val="0"/>
        <w:numId w:val="5"/>
      </w:numPr>
      <w:spacing w:line="14" w:lineRule="exact"/>
      <w:ind w:left="811" w:hanging="448"/>
      <w:jc w:val="center"/>
      <w:outlineLvl w:val="0"/>
    </w:pPr>
    <w:rPr>
      <w:color w:val="FFFFFF"/>
      <w:sz w:val="21"/>
      <w:szCs w:val="24"/>
    </w:rPr>
  </w:style>
  <w:style w:type="paragraph" w:customStyle="1" w:styleId="221">
    <w:name w:val="附录表标题"/>
    <w:basedOn w:val="1"/>
    <w:next w:val="199"/>
    <w:uiPriority w:val="0"/>
    <w:pPr>
      <w:numPr>
        <w:ilvl w:val="1"/>
        <w:numId w:val="5"/>
      </w:numPr>
      <w:spacing w:beforeLines="50"/>
      <w:ind w:left="7090"/>
      <w:jc w:val="center"/>
    </w:pPr>
    <w:rPr>
      <w:rFonts w:ascii="黑体" w:eastAsia="黑体"/>
      <w:sz w:val="21"/>
      <w:szCs w:val="21"/>
    </w:rPr>
  </w:style>
  <w:style w:type="paragraph" w:customStyle="1" w:styleId="222">
    <w:name w:val="三级无"/>
    <w:basedOn w:val="186"/>
    <w:uiPriority w:val="0"/>
    <w:pPr>
      <w:numPr>
        <w:ilvl w:val="3"/>
        <w:numId w:val="1"/>
      </w:numPr>
      <w:tabs>
        <w:tab w:val="clear" w:pos="360"/>
      </w:tabs>
      <w:spacing w:before="50" w:after="50"/>
    </w:pPr>
    <w:rPr>
      <w:rFonts w:ascii="宋体" w:eastAsia="宋体"/>
      <w:sz w:val="21"/>
      <w:szCs w:val="21"/>
    </w:rPr>
  </w:style>
  <w:style w:type="paragraph" w:customStyle="1" w:styleId="223">
    <w:name w:val="p15"/>
    <w:basedOn w:val="1"/>
    <w:uiPriority w:val="0"/>
    <w:pPr>
      <w:widowControl/>
    </w:pPr>
    <w:rPr>
      <w:rFonts w:ascii="Wingdings" w:hAnsi="Wingdings" w:cs="宋体"/>
      <w:kern w:val="0"/>
      <w:szCs w:val="28"/>
    </w:rPr>
  </w:style>
  <w:style w:type="paragraph" w:customStyle="1" w:styleId="224">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9DD65-86D5-4E6F-95BB-5D2FC15B451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3903</Words>
  <Characters>22253</Characters>
  <Lines>185</Lines>
  <Paragraphs>52</Paragraphs>
  <TotalTime>4</TotalTime>
  <ScaleCrop>false</ScaleCrop>
  <LinksUpToDate>false</LinksUpToDate>
  <CharactersWithSpaces>26104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dell</cp:lastModifiedBy>
  <dcterms:modified xsi:type="dcterms:W3CDTF">2018-10-31T02:32:13Z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