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w:t>
      </w:r>
      <w:r>
        <w:rPr>
          <w:rFonts w:hint="eastAsia" w:ascii="宋体" w:hAnsi="宋体"/>
          <w:b/>
          <w:bCs/>
          <w:color w:val="000000"/>
          <w:spacing w:val="36"/>
          <w:w w:val="66"/>
          <w:sz w:val="72"/>
          <w:szCs w:val="72"/>
          <w:lang w:eastAsia="zh-CN"/>
        </w:rPr>
        <w:t>准格尔旗公共资源交易</w:t>
      </w:r>
      <w:r>
        <w:rPr>
          <w:rFonts w:hint="eastAsia" w:ascii="宋体" w:hAnsi="宋体"/>
          <w:b/>
          <w:bCs/>
          <w:color w:val="000000"/>
          <w:spacing w:val="36"/>
          <w:w w:val="66"/>
          <w:sz w:val="72"/>
          <w:szCs w:val="72"/>
        </w:rPr>
        <w:t>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单一来源文件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20"/>
        <w:spacing w:line="360" w:lineRule="auto"/>
        <w:ind w:firstLine="1124" w:firstLineChars="400"/>
        <w:rPr>
          <w:rFonts w:hint="eastAsia" w:ascii="宋体" w:hAnsi="宋体" w:eastAsia="宋体"/>
          <w:color w:val="000000"/>
          <w:szCs w:val="28"/>
        </w:rPr>
      </w:pPr>
      <w:r>
        <w:rPr>
          <w:rFonts w:hint="eastAsia" w:ascii="宋体" w:hAnsi="宋体" w:eastAsia="宋体"/>
          <w:color w:val="000000"/>
          <w:szCs w:val="28"/>
        </w:rPr>
        <w:t>项目名称：准格尔旗中蒙医院采购财务软件项目</w:t>
      </w:r>
    </w:p>
    <w:p>
      <w:pPr>
        <w:pStyle w:val="20"/>
        <w:spacing w:line="360" w:lineRule="auto"/>
        <w:ind w:firstLine="1124" w:firstLineChars="400"/>
        <w:rPr>
          <w:rFonts w:hint="eastAsia" w:ascii="宋体" w:hAnsi="宋体" w:eastAsia="宋体"/>
          <w:color w:val="000000"/>
          <w:szCs w:val="28"/>
        </w:rPr>
      </w:pPr>
      <w:r>
        <w:rPr>
          <w:rFonts w:hint="eastAsia" w:ascii="宋体" w:hAnsi="宋体" w:eastAsia="宋体"/>
          <w:color w:val="000000"/>
          <w:szCs w:val="28"/>
        </w:rPr>
        <w:t xml:space="preserve">项目编号：CG2019HDY147                   </w:t>
      </w:r>
    </w:p>
    <w:p>
      <w:pPr>
        <w:pStyle w:val="20"/>
        <w:spacing w:line="360" w:lineRule="auto"/>
        <w:ind w:firstLine="3654" w:firstLineChars="1300"/>
        <w:rPr>
          <w:rFonts w:ascii="宋体" w:hAnsi="宋体" w:eastAsia="宋体"/>
          <w:color w:val="000000"/>
          <w:szCs w:val="28"/>
        </w:rPr>
      </w:pPr>
      <w:r>
        <w:rPr>
          <w:rFonts w:hint="eastAsia" w:ascii="宋体" w:hAnsi="宋体" w:eastAsia="宋体"/>
          <w:color w:val="000000"/>
          <w:szCs w:val="28"/>
        </w:rPr>
        <w:t>20</w:t>
      </w:r>
      <w:r>
        <w:rPr>
          <w:rFonts w:hint="eastAsia" w:ascii="宋体" w:hAnsi="宋体" w:eastAsia="宋体"/>
          <w:color w:val="000000"/>
          <w:szCs w:val="28"/>
          <w:lang w:val="en-US" w:eastAsia="zh-CN"/>
        </w:rPr>
        <w:t>19</w:t>
      </w:r>
      <w:r>
        <w:rPr>
          <w:rFonts w:hint="eastAsia" w:ascii="宋体" w:hAnsi="宋体" w:eastAsia="宋体"/>
          <w:color w:val="000000"/>
          <w:szCs w:val="28"/>
        </w:rPr>
        <w:t>年</w:t>
      </w:r>
      <w:r>
        <w:rPr>
          <w:rFonts w:hint="eastAsia" w:ascii="宋体" w:hAnsi="宋体" w:eastAsia="宋体"/>
          <w:color w:val="000000"/>
          <w:szCs w:val="28"/>
          <w:lang w:val="en-US" w:eastAsia="zh-CN"/>
        </w:rPr>
        <w:t>2</w:t>
      </w:r>
      <w:r>
        <w:rPr>
          <w:rFonts w:hint="eastAsia" w:ascii="宋体" w:hAnsi="宋体" w:eastAsia="宋体"/>
          <w:color w:val="000000"/>
          <w:szCs w:val="28"/>
        </w:rPr>
        <w:t>月</w:t>
      </w:r>
      <w:r>
        <w:rPr>
          <w:rFonts w:hint="eastAsia" w:ascii="宋体" w:hAnsi="宋体" w:eastAsia="宋体"/>
          <w:color w:val="000000"/>
          <w:szCs w:val="28"/>
          <w:lang w:val="en-US" w:eastAsia="zh-CN"/>
        </w:rPr>
        <w:t>13</w:t>
      </w:r>
      <w:r>
        <w:rPr>
          <w:rFonts w:hint="eastAsia" w:ascii="宋体" w:hAnsi="宋体" w:eastAsia="宋体"/>
          <w:color w:val="000000"/>
          <w:szCs w:val="28"/>
        </w:rPr>
        <w:t>日</w:t>
      </w:r>
      <w:bookmarkStart w:id="0" w:name="_Toc266431113"/>
      <w:bookmarkStart w:id="1" w:name="_Toc266431005"/>
    </w:p>
    <w:p>
      <w:pPr>
        <w:pStyle w:val="20"/>
        <w:spacing w:line="360" w:lineRule="auto"/>
        <w:rPr>
          <w:rFonts w:ascii="宋体" w:hAnsi="宋体" w:eastAsia="宋体"/>
          <w:color w:val="000000"/>
          <w:szCs w:val="28"/>
        </w:rPr>
      </w:pPr>
    </w:p>
    <w:p>
      <w:pPr>
        <w:pStyle w:val="68"/>
        <w:keepNext w:val="0"/>
        <w:keepLines w:val="0"/>
        <w:spacing w:before="0" w:line="360" w:lineRule="auto"/>
        <w:jc w:val="center"/>
        <w:rPr>
          <w:rFonts w:ascii="宋体" w:hAnsi="宋体"/>
          <w:color w:val="000000"/>
          <w:lang w:val="zh-CN" w:eastAsia="zh-CN"/>
        </w:rPr>
      </w:pPr>
    </w:p>
    <w:p>
      <w:pPr>
        <w:pStyle w:val="68"/>
        <w:keepNext w:val="0"/>
        <w:keepLines w:val="0"/>
        <w:spacing w:before="0" w:line="360" w:lineRule="auto"/>
        <w:jc w:val="center"/>
        <w:rPr>
          <w:rFonts w:ascii="宋体" w:hAnsi="宋体"/>
          <w:color w:val="000000"/>
          <w:lang w:val="zh-CN"/>
        </w:rPr>
      </w:pPr>
      <w:r>
        <w:rPr>
          <w:rFonts w:hint="eastAsia" w:ascii="宋体" w:hAnsi="宋体"/>
          <w:color w:val="000000"/>
          <w:lang w:val="zh-CN"/>
        </w:rPr>
        <w:t>目   录</w:t>
      </w:r>
    </w:p>
    <w:p>
      <w:pPr>
        <w:pStyle w:val="32"/>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"_Toc497726798" </w:instrText>
      </w:r>
      <w:r>
        <w:fldChar w:fldCharType="separate"/>
      </w:r>
      <w:r>
        <w:rPr>
          <w:rStyle w:val="48"/>
          <w:rFonts w:hint="eastAsia" w:ascii="宋体" w:hAnsi="宋体"/>
          <w:kern w:val="0"/>
        </w:rPr>
        <w:t>第一章</w:t>
      </w:r>
      <w:r>
        <w:rPr>
          <w:rStyle w:val="48"/>
          <w:rFonts w:ascii="宋体" w:hAnsi="宋体"/>
          <w:kern w:val="0"/>
        </w:rPr>
        <w:t xml:space="preserve"> </w:t>
      </w:r>
      <w:r>
        <w:rPr>
          <w:rStyle w:val="48"/>
          <w:rFonts w:hint="eastAsia" w:ascii="宋体" w:hAnsi="宋体"/>
          <w:kern w:val="0"/>
        </w:rPr>
        <w:t>采购公告</w:t>
      </w:r>
      <w:r>
        <w:tab/>
      </w:r>
      <w:r>
        <w:fldChar w:fldCharType="begin"/>
      </w:r>
      <w:r>
        <w:instrText xml:space="preserve"> PAGEREF _Toc497726798 \h </w:instrText>
      </w:r>
      <w:r>
        <w:fldChar w:fldCharType="separate"/>
      </w:r>
      <w:r>
        <w:t>3</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"_Toc497726799" </w:instrText>
      </w:r>
      <w:r>
        <w:fldChar w:fldCharType="separate"/>
      </w:r>
      <w:r>
        <w:rPr>
          <w:rStyle w:val="48"/>
          <w:rFonts w:hint="eastAsia" w:ascii="宋体" w:hAnsi="宋体"/>
        </w:rPr>
        <w:t>第二章</w:t>
      </w:r>
      <w:r>
        <w:rPr>
          <w:rStyle w:val="48"/>
          <w:rFonts w:ascii="宋体" w:hAnsi="宋体"/>
        </w:rPr>
        <w:t xml:space="preserve"> </w:t>
      </w:r>
      <w:r>
        <w:rPr>
          <w:rStyle w:val="48"/>
          <w:rFonts w:hint="eastAsia" w:ascii="宋体" w:hAnsi="宋体"/>
        </w:rPr>
        <w:t>供应商须知</w:t>
      </w:r>
      <w:r>
        <w:tab/>
      </w:r>
      <w:r>
        <w:fldChar w:fldCharType="begin"/>
      </w:r>
      <w:r>
        <w:instrText xml:space="preserve"> PAGEREF _Toc497726799 \h </w:instrText>
      </w:r>
      <w:r>
        <w:fldChar w:fldCharType="separate"/>
      </w:r>
      <w:r>
        <w:t>5</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"_Toc497726800" </w:instrText>
      </w:r>
      <w:r>
        <w:fldChar w:fldCharType="separate"/>
      </w:r>
      <w:r>
        <w:rPr>
          <w:rStyle w:val="48"/>
          <w:rFonts w:hint="eastAsia" w:ascii="宋体" w:hAnsi="宋体"/>
        </w:rPr>
        <w:t>第三章</w:t>
      </w:r>
      <w:r>
        <w:rPr>
          <w:rStyle w:val="48"/>
          <w:rFonts w:ascii="宋体" w:hAnsi="宋体"/>
        </w:rPr>
        <w:t xml:space="preserve"> </w:t>
      </w:r>
      <w:r>
        <w:rPr>
          <w:rStyle w:val="48"/>
          <w:rFonts w:hint="eastAsia" w:ascii="宋体" w:hAnsi="宋体"/>
        </w:rPr>
        <w:t>合同与验收</w:t>
      </w:r>
      <w:r>
        <w:tab/>
      </w:r>
      <w:r>
        <w:fldChar w:fldCharType="begin"/>
      </w:r>
      <w:r>
        <w:instrText xml:space="preserve"> PAGEREF _Toc497726800 \h </w:instrText>
      </w:r>
      <w:r>
        <w:fldChar w:fldCharType="separate"/>
      </w:r>
      <w:r>
        <w:t>11</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"_Toc497726801" </w:instrText>
      </w:r>
      <w:r>
        <w:fldChar w:fldCharType="separate"/>
      </w:r>
      <w:r>
        <w:rPr>
          <w:rStyle w:val="48"/>
          <w:rFonts w:hint="eastAsia" w:ascii="宋体" w:hAnsi="宋体"/>
        </w:rPr>
        <w:t>第四章</w:t>
      </w:r>
      <w:r>
        <w:rPr>
          <w:rStyle w:val="48"/>
          <w:rFonts w:ascii="宋体" w:hAnsi="宋体"/>
        </w:rPr>
        <w:t xml:space="preserve"> </w:t>
      </w:r>
      <w:r>
        <w:rPr>
          <w:rStyle w:val="48"/>
          <w:rFonts w:hint="eastAsia" w:ascii="宋体" w:hAnsi="宋体"/>
        </w:rPr>
        <w:t>单一来源内容与技术要求</w:t>
      </w:r>
      <w:r>
        <w:tab/>
      </w:r>
      <w:r>
        <w:fldChar w:fldCharType="begin"/>
      </w:r>
      <w:r>
        <w:instrText xml:space="preserve"> PAGEREF _Toc497726801 \h </w:instrText>
      </w:r>
      <w:r>
        <w:fldChar w:fldCharType="separate"/>
      </w:r>
      <w:r>
        <w:t>14</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"_Toc497726802" </w:instrText>
      </w:r>
      <w:r>
        <w:fldChar w:fldCharType="separate"/>
      </w:r>
      <w:r>
        <w:rPr>
          <w:rStyle w:val="48"/>
          <w:rFonts w:hint="eastAsia" w:ascii="宋体" w:hAnsi="宋体"/>
        </w:rPr>
        <w:t>第五章</w:t>
      </w:r>
      <w:r>
        <w:rPr>
          <w:rStyle w:val="48"/>
          <w:rFonts w:ascii="宋体" w:hAnsi="宋体"/>
        </w:rPr>
        <w:t xml:space="preserve"> </w:t>
      </w:r>
      <w:r>
        <w:rPr>
          <w:rStyle w:val="48"/>
          <w:rFonts w:hint="eastAsia" w:ascii="宋体" w:hAnsi="宋体"/>
        </w:rPr>
        <w:t>供应商资格证明</w:t>
      </w:r>
      <w:r>
        <w:tab/>
      </w:r>
      <w:r>
        <w:fldChar w:fldCharType="begin"/>
      </w:r>
      <w:r>
        <w:instrText xml:space="preserve"> PAGEREF _Toc497726802 \h </w:instrText>
      </w:r>
      <w:r>
        <w:fldChar w:fldCharType="separate"/>
      </w:r>
      <w:r>
        <w:t>15</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"_Toc497726803" </w:instrText>
      </w:r>
      <w:r>
        <w:fldChar w:fldCharType="separate"/>
      </w:r>
      <w:r>
        <w:rPr>
          <w:rStyle w:val="48"/>
          <w:rFonts w:hint="eastAsia" w:ascii="宋体" w:hAnsi="宋体"/>
        </w:rPr>
        <w:t>第六章</w:t>
      </w:r>
      <w:r>
        <w:rPr>
          <w:rStyle w:val="48"/>
          <w:rFonts w:ascii="宋体" w:hAnsi="宋体"/>
        </w:rPr>
        <w:t xml:space="preserve"> </w:t>
      </w:r>
      <w:r>
        <w:rPr>
          <w:rStyle w:val="48"/>
          <w:rFonts w:hint="eastAsia" w:ascii="宋体" w:hAnsi="宋体"/>
        </w:rPr>
        <w:t>单一来源程序及方法</w:t>
      </w:r>
      <w:r>
        <w:tab/>
      </w:r>
      <w:r>
        <w:fldChar w:fldCharType="begin"/>
      </w:r>
      <w:r>
        <w:instrText xml:space="preserve"> PAGEREF _Toc497726803 \h </w:instrText>
      </w:r>
      <w:r>
        <w:fldChar w:fldCharType="separate"/>
      </w:r>
      <w:r>
        <w:t>16</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"_Toc497726804" </w:instrText>
      </w:r>
      <w:r>
        <w:fldChar w:fldCharType="separate"/>
      </w:r>
      <w:r>
        <w:rPr>
          <w:rStyle w:val="48"/>
          <w:rFonts w:hint="eastAsia" w:ascii="宋体" w:hAnsi="宋体"/>
        </w:rPr>
        <w:t>第七章</w:t>
      </w:r>
      <w:r>
        <w:rPr>
          <w:rStyle w:val="48"/>
          <w:rFonts w:ascii="宋体" w:hAnsi="宋体"/>
        </w:rPr>
        <w:t xml:space="preserve"> </w:t>
      </w:r>
      <w:r>
        <w:rPr>
          <w:rStyle w:val="48"/>
          <w:rFonts w:hint="eastAsia" w:ascii="宋体" w:hAnsi="宋体"/>
        </w:rPr>
        <w:t>响应文件格式与要求</w:t>
      </w:r>
      <w:r>
        <w:tab/>
      </w:r>
      <w:r>
        <w:fldChar w:fldCharType="begin"/>
      </w:r>
      <w:r>
        <w:instrText xml:space="preserve"> PAGEREF _Toc497726804 \h </w:instrText>
      </w:r>
      <w:r>
        <w:fldChar w:fldCharType="separate"/>
      </w:r>
      <w:r>
        <w:t>18</w:t>
      </w:r>
      <w:r>
        <w:fldChar w:fldCharType="end"/>
      </w:r>
      <w:r>
        <w:fldChar w:fldCharType="end"/>
      </w:r>
    </w:p>
    <w:p>
      <w:pPr>
        <w:pStyle w:val="32"/>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"_Toc497726806" </w:instrText>
      </w:r>
      <w:r>
        <w:fldChar w:fldCharType="separate"/>
      </w:r>
      <w:r>
        <w:rPr>
          <w:rStyle w:val="48"/>
          <w:rFonts w:hint="eastAsia" w:ascii="宋体" w:hAnsi="宋体"/>
        </w:rPr>
        <w:t>温馨提示</w:t>
      </w:r>
      <w:r>
        <w:tab/>
      </w:r>
      <w:r>
        <w:fldChar w:fldCharType="begin"/>
      </w:r>
      <w:r>
        <w:instrText xml:space="preserve"> PAGEREF _Toc497726806 \h </w:instrText>
      </w:r>
      <w:r>
        <w:fldChar w:fldCharType="separate"/>
      </w:r>
      <w:r>
        <w:t>37</w:t>
      </w:r>
      <w:r>
        <w:fldChar w:fldCharType="end"/>
      </w:r>
      <w:r>
        <w:fldChar w:fldCharType="end"/>
      </w:r>
    </w:p>
    <w:p>
      <w:pPr>
        <w:pStyle w:val="2"/>
        <w:keepNext w:val="0"/>
        <w:keepLines w:val="0"/>
        <w:spacing w:line="360" w:lineRule="auto"/>
        <w:jc w:val="both"/>
        <w:rPr>
          <w:rFonts w:ascii="宋体" w:hAnsi="宋体"/>
          <w:b w:val="0"/>
          <w:color w:val="000000"/>
          <w:sz w:val="28"/>
          <w:szCs w:val="28"/>
          <w:lang w:eastAsia="zh-CN"/>
        </w:rPr>
      </w:pPr>
      <w:r>
        <w:rPr>
          <w:rFonts w:ascii="宋体" w:hAnsi="宋体"/>
          <w:b w:val="0"/>
          <w:color w:val="000000"/>
          <w:sz w:val="28"/>
          <w:szCs w:val="28"/>
        </w:rPr>
        <w:fldChar w:fldCharType="end"/>
      </w:r>
      <w:bookmarkEnd w:id="0"/>
      <w:bookmarkEnd w:id="1"/>
      <w:bookmarkStart w:id="2" w:name="_Toc253045125"/>
      <w:bookmarkStart w:id="3" w:name="_Toc266431116"/>
      <w:r>
        <w:rPr>
          <w:rFonts w:ascii="宋体" w:hAnsi="宋体"/>
          <w:b w:val="0"/>
          <w:color w:val="000000"/>
          <w:sz w:val="28"/>
          <w:szCs w:val="28"/>
        </w:rPr>
        <w:br w:type="page"/>
      </w:r>
    </w:p>
    <w:p>
      <w:pPr>
        <w:spacing w:line="360" w:lineRule="auto"/>
        <w:ind w:firstLine="3373" w:firstLineChars="1400"/>
        <w:outlineLvl w:val="0"/>
        <w:rPr>
          <w:rFonts w:ascii="宋体" w:hAnsi="宋体"/>
          <w:b/>
          <w:bCs/>
          <w:color w:val="000000"/>
          <w:kern w:val="0"/>
          <w:sz w:val="24"/>
          <w:szCs w:val="24"/>
        </w:rPr>
      </w:pPr>
      <w:bookmarkStart w:id="4" w:name="_Toc497726798"/>
      <w:r>
        <w:rPr>
          <w:rFonts w:hint="eastAsia" w:ascii="宋体" w:hAnsi="宋体"/>
          <w:b/>
          <w:bCs/>
          <w:color w:val="000000"/>
          <w:kern w:val="0"/>
          <w:sz w:val="24"/>
          <w:szCs w:val="24"/>
        </w:rPr>
        <w:t>第一章 采购公告</w:t>
      </w:r>
      <w:bookmarkEnd w:id="4"/>
    </w:p>
    <w:p>
      <w:pPr>
        <w:spacing w:line="360" w:lineRule="auto"/>
        <w:jc w:val="center"/>
        <w:rPr>
          <w:rFonts w:ascii="宋体" w:hAnsi="宋体"/>
          <w:sz w:val="24"/>
          <w:szCs w:val="24"/>
        </w:rPr>
      </w:pPr>
      <w:r>
        <w:rPr>
          <w:rFonts w:hint="eastAsia" w:ascii="宋体" w:hAnsi="宋体"/>
          <w:b/>
          <w:sz w:val="24"/>
          <w:szCs w:val="24"/>
        </w:rPr>
        <w:t>准格尔旗中蒙医院采购财务软件项目单一来源公告</w:t>
      </w:r>
    </w:p>
    <w:p>
      <w:pPr>
        <w:spacing w:line="360" w:lineRule="auto"/>
        <w:ind w:firstLine="480" w:firstLineChars="200"/>
        <w:rPr>
          <w:rFonts w:ascii="宋体" w:hAnsi="宋体"/>
          <w:color w:val="000000"/>
          <w:sz w:val="24"/>
          <w:szCs w:val="24"/>
        </w:rPr>
      </w:pPr>
      <w:r>
        <w:rPr>
          <w:rFonts w:hint="eastAsia" w:ascii="宋体" w:hAnsi="宋体"/>
          <w:sz w:val="24"/>
          <w:szCs w:val="24"/>
          <w:lang w:eastAsia="zh-CN"/>
        </w:rPr>
        <w:t>鄂尔多斯市准格尔旗公共资源交易中心</w:t>
      </w:r>
      <w:r>
        <w:rPr>
          <w:rFonts w:hint="eastAsia" w:ascii="宋体" w:hAnsi="宋体"/>
          <w:sz w:val="24"/>
          <w:szCs w:val="24"/>
        </w:rPr>
        <w:t>受</w:t>
      </w:r>
      <w:r>
        <w:rPr>
          <w:rFonts w:hint="eastAsia" w:ascii="宋体" w:hAnsi="宋体"/>
          <w:sz w:val="24"/>
          <w:szCs w:val="24"/>
          <w:lang w:eastAsia="zh-CN"/>
        </w:rPr>
        <w:t>准格尔旗中蒙医院</w:t>
      </w:r>
      <w:r>
        <w:rPr>
          <w:rFonts w:hint="eastAsia" w:ascii="宋体" w:hAnsi="宋体"/>
          <w:sz w:val="24"/>
          <w:szCs w:val="24"/>
        </w:rPr>
        <w:t>委托，采用单一来源方式采购财务软件项目</w:t>
      </w:r>
      <w:r>
        <w:rPr>
          <w:rFonts w:hint="eastAsia" w:ascii="宋体" w:hAnsi="宋体"/>
          <w:color w:val="000000"/>
          <w:sz w:val="24"/>
          <w:szCs w:val="24"/>
        </w:rPr>
        <w:t>。欢迎符合资格条件的供应商前来报名参加。</w:t>
      </w:r>
    </w:p>
    <w:p>
      <w:pPr>
        <w:pStyle w:val="67"/>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67"/>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rPr>
        <w:t>项目名称：准格尔旗中蒙医院采购财务软件项目</w:t>
      </w:r>
    </w:p>
    <w:p>
      <w:pPr>
        <w:spacing w:line="360" w:lineRule="auto"/>
        <w:ind w:firstLine="480" w:firstLineChars="200"/>
        <w:jc w:val="left"/>
        <w:rPr>
          <w:rFonts w:hint="eastAsia" w:ascii="宋体" w:hAnsi="宋体" w:eastAsia="微软雅黑"/>
          <w:color w:val="FF0000"/>
          <w:sz w:val="24"/>
          <w:szCs w:val="24"/>
          <w:lang w:val="en-US" w:eastAsia="zh-CN"/>
        </w:rPr>
      </w:pPr>
      <w:r>
        <w:rPr>
          <w:rFonts w:hint="eastAsia" w:ascii="宋体" w:hAnsi="宋体"/>
          <w:sz w:val="24"/>
          <w:szCs w:val="24"/>
        </w:rPr>
        <w:t>项目编号：</w:t>
      </w:r>
      <w:r>
        <w:rPr>
          <w:rFonts w:hint="eastAsia" w:ascii="宋体" w:hAnsi="宋体"/>
          <w:sz w:val="24"/>
          <w:szCs w:val="24"/>
          <w:lang w:val="en-US" w:eastAsia="zh-CN"/>
        </w:rPr>
        <w:t xml:space="preserve"> </w:t>
      </w:r>
      <w:r>
        <w:rPr>
          <w:rFonts w:ascii="微软雅黑" w:hAnsi="微软雅黑" w:eastAsia="微软雅黑" w:cs="微软雅黑"/>
          <w:color w:val="333333"/>
          <w:sz w:val="21"/>
          <w:szCs w:val="21"/>
          <w:bdr w:val="none" w:color="auto" w:sz="0" w:space="0"/>
        </w:rPr>
        <w:t>CG2019HDY147</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50"/>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467"/>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服务名称</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财务软件项目</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详见单一来源文件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val="en-US" w:eastAsia="zh-CN"/>
              </w:rPr>
            </w:pPr>
            <w:r>
              <w:rPr>
                <w:rFonts w:hint="eastAsia" w:ascii="宋体" w:hAnsi="宋体"/>
                <w:sz w:val="24"/>
                <w:szCs w:val="24"/>
                <w:lang w:val="en-US" w:eastAsia="zh-CN"/>
              </w:rPr>
              <w:t>25万</w:t>
            </w:r>
          </w:p>
        </w:tc>
      </w:tr>
    </w:tbl>
    <w:p>
      <w:pPr>
        <w:pStyle w:val="67"/>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left="560" w:leftChars="200"/>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.内蒙古孜衡网络科技有限公司</w:t>
      </w:r>
    </w:p>
    <w:p>
      <w:pPr>
        <w:spacing w:line="360" w:lineRule="auto"/>
        <w:ind w:left="560" w:leftChars="200"/>
        <w:rPr>
          <w:rFonts w:ascii="宋体" w:hAnsi="宋体"/>
          <w:b/>
          <w:color w:val="000000"/>
          <w:sz w:val="24"/>
          <w:szCs w:val="24"/>
        </w:rPr>
      </w:pPr>
      <w:r>
        <w:rPr>
          <w:rFonts w:hint="eastAsia" w:ascii="宋体" w:hAnsi="宋体"/>
          <w:b/>
          <w:color w:val="000000"/>
          <w:sz w:val="24"/>
          <w:szCs w:val="24"/>
        </w:rPr>
        <w:t>三.获取单一来源文件的时间、地点、方式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2</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日起登录内蒙古自治区政府采购网、内蒙古自治区公共资源交易网、鄂尔多斯市政府采购网或鄂尔多斯市公共资源交易网站获取单一来源文件。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3.鄂尔多斯市政府采购网（http://www.ordoscg.gov.cn）。登陆网站页面，点击“政府采购公告”，查询采购信息，点击信息公告页面中“下载单一来源文件”可浏览、下载单一来源文件。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4.鄂尔多斯市公共资源交易网（http://www.ordosggzyjy.com）。登陆网站页面，点击“政府采购”中的“信息公告”栏，查询采购信息，点击信息公告页面左下角“附件”即可浏览、下载单一来源文件。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5.准格尔旗公共资源交易</w:t>
      </w:r>
      <w:r>
        <w:rPr>
          <w:rFonts w:hint="eastAsia" w:ascii="宋体" w:hAnsi="宋体"/>
          <w:sz w:val="24"/>
          <w:szCs w:val="24"/>
          <w:lang w:eastAsia="zh-CN"/>
        </w:rPr>
        <w:t>网</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（http://www.ordosggzyjy.org.cn/TPFront_zgeq/zgeq/）登陆网站页面，点击“政府采购”中的“信息公告”栏，查询采购信息，点击信息公告页面左下角“附件”即可浏览、下载招标文件。</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五.递交投标（响应）文件截止时间、商定时间及地点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2</w:t>
      </w:r>
      <w:r>
        <w:rPr>
          <w:rFonts w:hint="eastAsia" w:ascii="宋体" w:hAnsi="宋体"/>
          <w:sz w:val="24"/>
          <w:szCs w:val="24"/>
        </w:rPr>
        <w:t>月</w:t>
      </w:r>
      <w:r>
        <w:rPr>
          <w:rFonts w:hint="eastAsia" w:ascii="宋体" w:hAnsi="宋体"/>
          <w:sz w:val="24"/>
          <w:szCs w:val="24"/>
          <w:lang w:val="en-US" w:eastAsia="zh-CN"/>
        </w:rPr>
        <w:t>26</w:t>
      </w:r>
      <w:r>
        <w:rPr>
          <w:rFonts w:hint="eastAsia" w:ascii="宋体" w:hAnsi="宋体"/>
          <w:sz w:val="24"/>
          <w:szCs w:val="24"/>
        </w:rPr>
        <w:t>日</w:t>
      </w:r>
      <w:r>
        <w:rPr>
          <w:rFonts w:hint="eastAsia" w:ascii="宋体" w:hAnsi="宋体"/>
          <w:sz w:val="24"/>
          <w:szCs w:val="24"/>
          <w:lang w:val="en-US" w:eastAsia="zh-CN"/>
        </w:rPr>
        <w:t>09</w:t>
      </w:r>
      <w:r>
        <w:rPr>
          <w:rFonts w:hint="eastAsia" w:ascii="宋体" w:hAnsi="宋体"/>
          <w:sz w:val="24"/>
          <w:szCs w:val="24"/>
        </w:rPr>
        <w:t>时</w:t>
      </w:r>
      <w:r>
        <w:rPr>
          <w:rFonts w:hint="eastAsia" w:ascii="宋体" w:hAnsi="宋体"/>
          <w:sz w:val="24"/>
          <w:szCs w:val="24"/>
          <w:lang w:val="en-US" w:eastAsia="zh-CN"/>
        </w:rPr>
        <w:t>40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商定时间：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2</w:t>
      </w:r>
      <w:r>
        <w:rPr>
          <w:rFonts w:hint="eastAsia" w:ascii="宋体" w:hAnsi="宋体"/>
          <w:sz w:val="24"/>
          <w:szCs w:val="24"/>
        </w:rPr>
        <w:t>月</w:t>
      </w:r>
      <w:r>
        <w:rPr>
          <w:rFonts w:hint="eastAsia" w:ascii="宋体" w:hAnsi="宋体"/>
          <w:sz w:val="24"/>
          <w:szCs w:val="24"/>
          <w:lang w:val="en-US" w:eastAsia="zh-CN"/>
        </w:rPr>
        <w:t>26</w:t>
      </w:r>
      <w:r>
        <w:rPr>
          <w:rFonts w:hint="eastAsia" w:ascii="宋体" w:hAnsi="宋体"/>
          <w:sz w:val="24"/>
          <w:szCs w:val="24"/>
        </w:rPr>
        <w:t>日</w:t>
      </w:r>
      <w:r>
        <w:rPr>
          <w:rFonts w:hint="eastAsia" w:ascii="宋体" w:hAnsi="宋体"/>
          <w:sz w:val="24"/>
          <w:szCs w:val="24"/>
          <w:lang w:val="en-US" w:eastAsia="zh-CN"/>
        </w:rPr>
        <w:t>09</w:t>
      </w:r>
      <w:r>
        <w:rPr>
          <w:rFonts w:hint="eastAsia" w:ascii="宋体" w:hAnsi="宋体"/>
          <w:sz w:val="24"/>
          <w:szCs w:val="24"/>
        </w:rPr>
        <w:t>时</w:t>
      </w:r>
      <w:r>
        <w:rPr>
          <w:rFonts w:hint="eastAsia" w:ascii="宋体" w:hAnsi="宋体"/>
          <w:sz w:val="24"/>
          <w:szCs w:val="24"/>
          <w:lang w:val="en-US" w:eastAsia="zh-CN"/>
        </w:rPr>
        <w:t>40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商定地点：鄂尔多斯市公共资源交易中心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u w:val="none"/>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采购代理机构名称：</w:t>
      </w:r>
      <w:r>
        <w:rPr>
          <w:rFonts w:hint="eastAsia" w:ascii="宋体" w:hAnsi="宋体"/>
          <w:sz w:val="24"/>
          <w:szCs w:val="24"/>
          <w:lang w:eastAsia="zh-CN"/>
        </w:rPr>
        <w:t>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鄂尔多斯市公共资源交易中心</w:t>
      </w:r>
      <w:r>
        <w:rPr>
          <w:rFonts w:hint="eastAsia" w:ascii="宋体" w:hAnsi="宋体"/>
          <w:color w:val="000000"/>
          <w:sz w:val="24"/>
          <w:szCs w:val="24"/>
          <w:lang w:eastAsia="zh-CN"/>
        </w:rPr>
        <w:t>二</w:t>
      </w:r>
      <w:r>
        <w:rPr>
          <w:rFonts w:hint="eastAsia" w:ascii="宋体" w:hAnsi="宋体"/>
          <w:color w:val="000000"/>
          <w:sz w:val="24"/>
          <w:szCs w:val="24"/>
        </w:rPr>
        <w:t>楼</w:t>
      </w:r>
      <w:r>
        <w:rPr>
          <w:rFonts w:hint="eastAsia" w:ascii="宋体" w:hAnsi="宋体"/>
          <w:color w:val="000000"/>
          <w:sz w:val="24"/>
          <w:szCs w:val="24"/>
          <w:lang w:val="en-US" w:eastAsia="zh-CN"/>
        </w:rPr>
        <w:t>204</w:t>
      </w:r>
      <w:r>
        <w:rPr>
          <w:rFonts w:hint="eastAsia" w:ascii="宋体" w:hAnsi="宋体"/>
          <w:color w:val="000000"/>
          <w:sz w:val="24"/>
          <w:szCs w:val="24"/>
        </w:rPr>
        <w:t>室（鄂尔多斯市</w:t>
      </w:r>
      <w:r>
        <w:rPr>
          <w:rFonts w:hint="eastAsia" w:ascii="宋体" w:hAnsi="宋体"/>
          <w:color w:val="000000"/>
          <w:sz w:val="24"/>
          <w:szCs w:val="24"/>
          <w:lang w:eastAsia="zh-CN"/>
        </w:rPr>
        <w:t>准格尔旗大路新区</w:t>
      </w:r>
      <w:r>
        <w:rPr>
          <w:rFonts w:hint="eastAsia"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0477-3864233</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采购单位名称</w:t>
      </w:r>
      <w:r>
        <w:rPr>
          <w:rFonts w:hint="eastAsia" w:ascii="宋体" w:hAnsi="宋体"/>
          <w:sz w:val="24"/>
          <w:szCs w:val="24"/>
        </w:rPr>
        <w:t>：</w:t>
      </w:r>
      <w:r>
        <w:rPr>
          <w:rFonts w:hint="eastAsia" w:ascii="宋体" w:hAnsi="宋体"/>
          <w:sz w:val="24"/>
          <w:szCs w:val="24"/>
          <w:lang w:eastAsia="zh-CN"/>
        </w:rPr>
        <w:t>准格尔旗中蒙医院</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w:t>
      </w:r>
      <w:r>
        <w:rPr>
          <w:rFonts w:hint="eastAsia" w:ascii="宋体" w:hAnsi="宋体"/>
          <w:sz w:val="24"/>
          <w:szCs w:val="24"/>
          <w:lang w:eastAsia="zh-CN"/>
        </w:rPr>
        <w:t>准格尔旗薛家湾镇</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联系人：</w:t>
      </w:r>
      <w:r>
        <w:rPr>
          <w:rFonts w:hint="eastAsia" w:ascii="宋体" w:hAnsi="宋体"/>
          <w:sz w:val="24"/>
          <w:szCs w:val="24"/>
          <w:lang w:eastAsia="zh-CN"/>
        </w:rPr>
        <w:t>胡艳</w:t>
      </w:r>
      <w:r>
        <w:rPr>
          <w:rFonts w:hint="eastAsia" w:ascii="宋体" w:hAnsi="宋体"/>
          <w:sz w:val="24"/>
          <w:szCs w:val="24"/>
          <w:lang w:val="en-US" w:eastAsia="zh-CN"/>
        </w:rPr>
        <w:t xml:space="preserve">       </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lang w:val="en-US" w:eastAsia="zh-CN"/>
        </w:rPr>
        <w:t xml:space="preserve"> </w:t>
      </w:r>
      <w:r>
        <w:rPr>
          <w:rFonts w:hint="eastAsia" w:ascii="宋体" w:hAnsi="宋体"/>
          <w:sz w:val="24"/>
          <w:szCs w:val="24"/>
        </w:rPr>
        <w:t>联系电话：</w:t>
      </w:r>
      <w:r>
        <w:rPr>
          <w:rFonts w:hint="eastAsia" w:ascii="宋体" w:hAnsi="宋体"/>
          <w:sz w:val="24"/>
          <w:szCs w:val="24"/>
          <w:lang w:val="en-US" w:eastAsia="zh-CN"/>
        </w:rPr>
        <w:t>18147859525</w:t>
      </w:r>
    </w:p>
    <w:p>
      <w:pPr>
        <w:spacing w:line="360" w:lineRule="auto"/>
        <w:rPr>
          <w:rFonts w:ascii="宋体" w:hAnsi="宋体"/>
          <w:sz w:val="24"/>
          <w:szCs w:val="24"/>
        </w:rPr>
      </w:pPr>
    </w:p>
    <w:p>
      <w:pPr>
        <w:spacing w:line="360" w:lineRule="auto"/>
        <w:ind w:firstLine="600" w:firstLineChars="250"/>
        <w:rPr>
          <w:rFonts w:hint="eastAsia" w:ascii="宋体" w:hAnsi="宋体"/>
          <w:sz w:val="24"/>
          <w:szCs w:val="24"/>
        </w:rPr>
      </w:pPr>
      <w:r>
        <w:rPr>
          <w:rFonts w:hint="eastAsia" w:ascii="宋体" w:hAnsi="宋体"/>
          <w:sz w:val="24"/>
          <w:szCs w:val="24"/>
        </w:rPr>
        <w:t xml:space="preserve">                              </w:t>
      </w: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3720" w:firstLineChars="1550"/>
        <w:rPr>
          <w:rFonts w:hint="eastAsia" w:ascii="宋体" w:hAnsi="宋体" w:eastAsia="宋体"/>
          <w:sz w:val="24"/>
          <w:szCs w:val="24"/>
          <w:lang w:eastAsia="zh-CN"/>
        </w:rPr>
      </w:pPr>
      <w:r>
        <w:rPr>
          <w:rFonts w:hint="eastAsia" w:ascii="宋体" w:hAnsi="宋体"/>
          <w:sz w:val="24"/>
          <w:szCs w:val="24"/>
          <w:lang w:eastAsia="zh-CN"/>
        </w:rPr>
        <w:t>鄂尔多斯市准格尔旗公共资源交易中心</w:t>
      </w:r>
    </w:p>
    <w:p>
      <w:pPr>
        <w:tabs>
          <w:tab w:val="left" w:pos="3025"/>
          <w:tab w:val="center" w:pos="4595"/>
        </w:tabs>
        <w:spacing w:line="360" w:lineRule="auto"/>
        <w:ind w:firstLine="4560" w:firstLineChars="1900"/>
        <w:rPr>
          <w:rFonts w:ascii="宋体" w:hAnsi="宋体"/>
          <w:sz w:val="24"/>
          <w:szCs w:val="24"/>
        </w:rPr>
      </w:pP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2</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w:t>
      </w:r>
      <w:r>
        <w:rPr>
          <w:rFonts w:ascii="宋体" w:hAnsi="宋体"/>
          <w:sz w:val="24"/>
          <w:szCs w:val="24"/>
        </w:rPr>
        <w:br w:type="page"/>
      </w:r>
    </w:p>
    <w:p>
      <w:pPr>
        <w:pStyle w:val="42"/>
        <w:spacing w:line="360" w:lineRule="auto"/>
        <w:rPr>
          <w:rFonts w:ascii="宋体" w:hAnsi="宋体" w:eastAsia="宋体"/>
          <w:color w:val="000000"/>
          <w:sz w:val="24"/>
          <w:szCs w:val="24"/>
        </w:rPr>
      </w:pPr>
      <w:bookmarkStart w:id="5" w:name="_Toc497726799"/>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268"/>
        <w:gridCol w:w="6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000000"/>
                <w:sz w:val="24"/>
                <w:szCs w:val="24"/>
              </w:rPr>
            </w:pPr>
            <w:r>
              <w:rPr>
                <w:rFonts w:hint="eastAsia" w:ascii="宋体" w:hAnsi="宋体"/>
                <w:color w:val="000000"/>
                <w:sz w:val="24"/>
                <w:szCs w:val="24"/>
              </w:rPr>
              <w:t>采购人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lang w:eastAsia="zh-CN"/>
              </w:rPr>
            </w:pPr>
            <w:r>
              <w:rPr>
                <w:rFonts w:hint="eastAsia" w:ascii="宋体" w:hAnsi="宋体"/>
                <w:color w:val="000000"/>
                <w:sz w:val="24"/>
                <w:szCs w:val="24"/>
                <w:lang w:eastAsia="zh-CN"/>
              </w:rPr>
              <w:t>准格尔旗中蒙医院</w:t>
            </w:r>
          </w:p>
          <w:p>
            <w:pPr>
              <w:spacing w:line="360" w:lineRule="auto"/>
              <w:ind w:right="-140" w:rightChars="-50"/>
              <w:rPr>
                <w:rFonts w:hint="eastAsia" w:ascii="宋体" w:hAnsi="宋体"/>
                <w:color w:val="000000"/>
                <w:sz w:val="24"/>
                <w:szCs w:val="24"/>
                <w:lang w:val="en-US" w:eastAsia="zh-CN"/>
              </w:rPr>
            </w:pPr>
            <w:r>
              <w:rPr>
                <w:rFonts w:hint="eastAsia" w:ascii="宋体" w:hAnsi="宋体"/>
                <w:color w:val="000000"/>
                <w:sz w:val="24"/>
                <w:szCs w:val="24"/>
              </w:rPr>
              <w:t>联系人：</w:t>
            </w:r>
            <w:r>
              <w:rPr>
                <w:rFonts w:hint="eastAsia" w:ascii="宋体" w:hAnsi="宋体"/>
                <w:sz w:val="24"/>
                <w:szCs w:val="24"/>
                <w:lang w:eastAsia="zh-CN"/>
              </w:rPr>
              <w:t>胡艳</w:t>
            </w:r>
            <w:r>
              <w:rPr>
                <w:rFonts w:hint="eastAsia" w:ascii="宋体" w:hAnsi="宋体"/>
                <w:color w:val="000000"/>
                <w:sz w:val="24"/>
                <w:szCs w:val="24"/>
              </w:rPr>
              <w:t xml:space="preserve">         联系电话：</w:t>
            </w:r>
            <w:r>
              <w:rPr>
                <w:rFonts w:hint="eastAsia" w:ascii="宋体" w:hAnsi="宋体"/>
                <w:color w:val="000000"/>
                <w:sz w:val="24"/>
                <w:szCs w:val="24"/>
                <w:lang w:val="en-US" w:eastAsia="zh-CN"/>
              </w:rPr>
              <w:t>18147859525</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地址：</w:t>
            </w:r>
            <w:r>
              <w:rPr>
                <w:rFonts w:hint="eastAsia" w:ascii="宋体" w:hAnsi="宋体"/>
                <w:color w:val="000000"/>
                <w:sz w:val="24"/>
                <w:szCs w:val="24"/>
                <w:lang w:eastAsia="zh-CN"/>
              </w:rPr>
              <w:t>准格尔旗薛家湾镇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 xml:space="preserve"> </w:t>
            </w:r>
          </w:p>
          <w:p>
            <w:pPr>
              <w:spacing w:line="360" w:lineRule="auto"/>
              <w:ind w:right="-140" w:rightChars="-50"/>
              <w:rPr>
                <w:rFonts w:hint="eastAsia" w:ascii="宋体" w:hAnsi="宋体" w:eastAsia="宋体"/>
                <w:color w:val="000000"/>
                <w:sz w:val="24"/>
                <w:szCs w:val="24"/>
                <w:lang w:val="en-US" w:eastAsia="zh-CN"/>
              </w:rPr>
            </w:pPr>
            <w:r>
              <w:rPr>
                <w:rFonts w:hint="eastAsia" w:ascii="宋体" w:hAnsi="宋体"/>
                <w:color w:val="000000"/>
                <w:sz w:val="24"/>
                <w:szCs w:val="24"/>
              </w:rPr>
              <w:t>联系电话：</w:t>
            </w:r>
            <w:r>
              <w:rPr>
                <w:rFonts w:hint="eastAsia" w:ascii="宋体" w:hAnsi="宋体"/>
                <w:color w:val="000000"/>
                <w:sz w:val="24"/>
                <w:szCs w:val="24"/>
                <w:lang w:val="en-US" w:eastAsia="zh-CN"/>
              </w:rPr>
              <w:t>0477-3864233</w:t>
            </w:r>
          </w:p>
          <w:p>
            <w:pPr>
              <w:spacing w:line="360" w:lineRule="auto"/>
              <w:ind w:right="-140" w:rightChars="-50"/>
              <w:rPr>
                <w:rFonts w:ascii="宋体" w:hAnsi="宋体"/>
                <w:color w:val="000000"/>
                <w:sz w:val="24"/>
                <w:szCs w:val="24"/>
              </w:rPr>
            </w:pPr>
            <w:r>
              <w:rPr>
                <w:rFonts w:hint="eastAsia" w:ascii="宋体" w:hAnsi="宋体"/>
                <w:color w:val="000000"/>
                <w:sz w:val="24"/>
                <w:szCs w:val="24"/>
              </w:rPr>
              <w:t>地</w:t>
            </w:r>
            <w:r>
              <w:rPr>
                <w:rFonts w:hint="eastAsia" w:ascii="宋体" w:hAnsi="宋体"/>
                <w:color w:val="000000"/>
                <w:sz w:val="24"/>
                <w:szCs w:val="24"/>
                <w:lang w:val="en-US" w:eastAsia="zh-CN"/>
              </w:rPr>
              <w:t xml:space="preserve">    </w:t>
            </w:r>
            <w:r>
              <w:rPr>
                <w:rFonts w:hint="eastAsia" w:ascii="宋体" w:hAnsi="宋体"/>
                <w:color w:val="000000"/>
                <w:sz w:val="24"/>
                <w:szCs w:val="24"/>
              </w:rPr>
              <w:t>址：</w:t>
            </w:r>
            <w:r>
              <w:rPr>
                <w:rFonts w:hint="eastAsia" w:ascii="宋体" w:hAnsi="宋体"/>
                <w:color w:val="000000"/>
                <w:sz w:val="24"/>
                <w:szCs w:val="24"/>
                <w:lang w:eastAsia="zh-CN"/>
              </w:rPr>
              <w:t>准格尔旗薛家湾镇</w:t>
            </w:r>
            <w:r>
              <w:rPr>
                <w:rFonts w:hint="eastAsia" w:ascii="宋体" w:hAnsi="宋体"/>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sz w:val="24"/>
                <w:szCs w:val="24"/>
              </w:rPr>
              <w:t>项目内容及要求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textAlignment w:val="baseline"/>
              <w:rPr>
                <w:rFonts w:ascii="宋体" w:hAnsi="宋体"/>
                <w:color w:val="000000"/>
                <w:sz w:val="24"/>
                <w:szCs w:val="24"/>
              </w:rPr>
            </w:pPr>
            <w:r>
              <w:rPr>
                <w:rFonts w:hint="eastAsia" w:ascii="宋体" w:hAnsi="宋体"/>
                <w:color w:val="000000"/>
                <w:sz w:val="24"/>
                <w:szCs w:val="24"/>
              </w:rPr>
              <w:t>详见单一来源文件第四章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lang w:val="en-US" w:eastAsia="zh-CN"/>
              </w:rPr>
              <w:t>250000</w:t>
            </w:r>
            <w:r>
              <w:rPr>
                <w:rFonts w:hint="eastAsia" w:ascii="宋体" w:hAnsi="宋体"/>
                <w:color w:val="000000"/>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sym w:font="Wingdings 2" w:char="00A3"/>
            </w:r>
            <w:r>
              <w:rPr>
                <w:rFonts w:hint="eastAsia" w:ascii="宋体" w:hAnsi="宋体"/>
                <w:color w:val="000000"/>
                <w:sz w:val="24"/>
                <w:szCs w:val="24"/>
              </w:rPr>
              <w:t>国库集中支付、</w:t>
            </w:r>
            <w:r>
              <w:rPr>
                <w:rFonts w:hint="eastAsia" w:ascii="宋体" w:hAnsi="宋体"/>
                <w:color w:val="000000"/>
                <w:sz w:val="24"/>
                <w:szCs w:val="24"/>
              </w:rPr>
              <w:sym w:font="Wingdings 2" w:char="0052"/>
            </w:r>
            <w:r>
              <w:rPr>
                <w:rFonts w:hint="eastAsia" w:ascii="宋体" w:hAnsi="宋体"/>
                <w:color w:val="000000"/>
                <w:sz w:val="24"/>
                <w:szCs w:val="24"/>
              </w:rPr>
              <w:t>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单一来源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评标委员会依法组建，由采购人代表和评审专家组成共</w:t>
            </w:r>
            <w:r>
              <w:rPr>
                <w:rFonts w:hint="eastAsia" w:ascii="宋体" w:hAnsi="宋体"/>
                <w:sz w:val="24"/>
                <w:szCs w:val="24"/>
                <w:u w:val="single"/>
                <w:lang w:eastAsia="zh-CN"/>
              </w:rPr>
              <w:t>三</w:t>
            </w:r>
            <w:r>
              <w:rPr>
                <w:rFonts w:hint="eastAsia" w:ascii="宋体" w:hAnsi="宋体"/>
                <w:sz w:val="24"/>
                <w:szCs w:val="24"/>
              </w:rPr>
              <w:t>人</w:t>
            </w:r>
            <w:r>
              <w:rPr>
                <w:rFonts w:hint="eastAsia" w:ascii="宋体" w:hAnsi="宋体"/>
                <w:sz w:val="24"/>
                <w:szCs w:val="24"/>
                <w:lang w:eastAsia="zh-CN"/>
              </w:rPr>
              <w:t>及以上单数</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成交供应商确定</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sym w:font="Wingdings 2" w:char="0052"/>
            </w:r>
            <w:r>
              <w:rPr>
                <w:rFonts w:hint="eastAsia" w:ascii="宋体" w:hAnsi="宋体"/>
                <w:color w:val="000000"/>
                <w:sz w:val="24"/>
                <w:szCs w:val="24"/>
              </w:rPr>
              <w:t>采购人授权单一来源采购人员直接确定成交供应商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供应商资格要求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详见单一来源采购公告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商定之日起90日历天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12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响应文件递交时间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 xml:space="preserve"> 2</w:t>
            </w:r>
            <w:r>
              <w:rPr>
                <w:rFonts w:hint="eastAsia" w:ascii="宋体" w:hAnsi="宋体"/>
                <w:color w:val="000000"/>
                <w:sz w:val="24"/>
                <w:szCs w:val="24"/>
              </w:rPr>
              <w:t>月</w:t>
            </w:r>
            <w:r>
              <w:rPr>
                <w:rFonts w:hint="eastAsia" w:ascii="宋体" w:hAnsi="宋体"/>
                <w:color w:val="000000"/>
                <w:sz w:val="24"/>
                <w:szCs w:val="24"/>
                <w:lang w:val="en-US" w:eastAsia="zh-CN"/>
              </w:rPr>
              <w:t>26</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分--</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40</w:t>
            </w:r>
            <w:r>
              <w:rPr>
                <w:rFonts w:hint="eastAsia" w:ascii="宋体" w:hAnsi="宋体"/>
                <w:color w:val="000000"/>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 xml:space="preserve"> 2</w:t>
            </w:r>
            <w:r>
              <w:rPr>
                <w:rFonts w:hint="eastAsia" w:ascii="宋体" w:hAnsi="宋体"/>
                <w:color w:val="000000"/>
                <w:sz w:val="24"/>
                <w:szCs w:val="24"/>
              </w:rPr>
              <w:t>月</w:t>
            </w:r>
            <w:r>
              <w:rPr>
                <w:rFonts w:hint="eastAsia" w:ascii="宋体" w:hAnsi="宋体"/>
                <w:color w:val="000000"/>
                <w:sz w:val="24"/>
                <w:szCs w:val="24"/>
                <w:lang w:val="en-US" w:eastAsia="zh-CN"/>
              </w:rPr>
              <w:t>26</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40</w:t>
            </w:r>
            <w:r>
              <w:rPr>
                <w:rFonts w:hint="eastAsia" w:ascii="宋体" w:hAnsi="宋体"/>
                <w:color w:val="000000"/>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商定地点</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鄂尔多斯市公共资源交易中心</w:t>
            </w:r>
            <w:r>
              <w:rPr>
                <w:rFonts w:hint="eastAsia" w:ascii="宋体" w:hAnsi="宋体"/>
                <w:color w:val="000000"/>
                <w:sz w:val="24"/>
                <w:szCs w:val="24"/>
                <w:lang w:eastAsia="zh-CN"/>
              </w:rPr>
              <w:t>二</w:t>
            </w:r>
            <w:r>
              <w:rPr>
                <w:rFonts w:hint="eastAsia" w:ascii="宋体" w:hAnsi="宋体"/>
                <w:color w:val="000000"/>
                <w:sz w:val="24"/>
                <w:szCs w:val="24"/>
              </w:rPr>
              <w:t>楼</w:t>
            </w:r>
            <w:r>
              <w:rPr>
                <w:rFonts w:hint="eastAsia" w:ascii="宋体" w:hAnsi="宋体"/>
                <w:color w:val="000000"/>
                <w:sz w:val="24"/>
                <w:szCs w:val="24"/>
                <w:lang w:eastAsia="zh-CN"/>
              </w:rPr>
              <w:t>开标</w:t>
            </w:r>
            <w:r>
              <w:rPr>
                <w:rFonts w:hint="eastAsia" w:ascii="宋体" w:hAnsi="宋体"/>
                <w:color w:val="000000"/>
                <w:sz w:val="24"/>
                <w:szCs w:val="24"/>
              </w:rPr>
              <w:t>室（鄂尔多斯市</w:t>
            </w:r>
            <w:r>
              <w:rPr>
                <w:rFonts w:hint="eastAsia" w:ascii="宋体" w:hAnsi="宋体"/>
                <w:color w:val="000000"/>
                <w:sz w:val="24"/>
                <w:szCs w:val="24"/>
                <w:lang w:eastAsia="zh-CN"/>
              </w:rPr>
              <w:t>准格尔旗大路新区</w:t>
            </w:r>
            <w:r>
              <w:rPr>
                <w:rFonts w:hint="eastAsia" w:ascii="宋体" w:hAnsi="宋体"/>
                <w:color w:val="00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color w:val="000000"/>
                <w:sz w:val="24"/>
                <w:szCs w:val="24"/>
              </w:rPr>
            </w:pPr>
            <w:r>
              <w:rPr>
                <w:rFonts w:hint="eastAsia" w:ascii="宋体" w:hAnsi="宋体"/>
                <w:color w:val="000000"/>
                <w:sz w:val="24"/>
                <w:szCs w:val="24"/>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报名与投标保证金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200" w:right="750" w:hanging="1200" w:hangingChars="500"/>
              <w:rPr>
                <w:rFonts w:ascii="宋体" w:hAnsi="宋体"/>
                <w:color w:val="000000"/>
                <w:sz w:val="24"/>
                <w:szCs w:val="24"/>
              </w:rPr>
            </w:pPr>
            <w:r>
              <w:rPr>
                <w:rFonts w:hint="eastAsia" w:ascii="宋体" w:hAnsi="宋体"/>
                <w:color w:val="000000"/>
                <w:sz w:val="24"/>
                <w:szCs w:val="24"/>
              </w:rPr>
              <w:t>本项目无须网上报名、不收取投标保证金</w:t>
            </w:r>
          </w:p>
        </w:tc>
      </w:tr>
    </w:tbl>
    <w:p>
      <w:pPr>
        <w:spacing w:line="360" w:lineRule="auto"/>
        <w:ind w:firstLine="482" w:firstLineChars="200"/>
        <w:rPr>
          <w:rFonts w:ascii="宋体" w:hAnsi="宋体"/>
          <w:b/>
          <w:sz w:val="24"/>
          <w:szCs w:val="24"/>
        </w:rPr>
      </w:pPr>
      <w:r>
        <w:rPr>
          <w:rFonts w:hint="eastAsia" w:ascii="宋体" w:hAnsi="宋体"/>
          <w:b/>
          <w:sz w:val="24"/>
          <w:szCs w:val="24"/>
        </w:rPr>
        <w:t>二.说明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本单一来源文件依据《中华人民共和国政府采购法》、《中华人民共和国政府采购法实施条例》和《政府采购非招标采购方式管理办法》（财政部令第74号）及国家和自治区有关法律、法规、规章制度编制。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供应商应仔细阅读本单一来源文件的所有内容（包括答疑、补充、澄清以及修改等），按照单一来源文件要求以及格式编制响应文件，并保证其真实性，否则一切后果自负。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本次政府采购方式为单一来源，是指采购人从某一特定供应商处采购货物、工程和服务的采购方式。</w:t>
      </w:r>
    </w:p>
    <w:p>
      <w:pPr>
        <w:pStyle w:val="25"/>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本单一来源文件仅适用于本次单一来源采购公告中所涉及的项目和内容。</w:t>
      </w:r>
    </w:p>
    <w:p>
      <w:pPr>
        <w:pStyle w:val="25"/>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5"/>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w:t>
      </w:r>
      <w:r>
        <w:rPr>
          <w:rFonts w:hint="eastAsia" w:hAnsi="宋体"/>
          <w:sz w:val="24"/>
          <w:szCs w:val="24"/>
          <w:lang w:eastAsia="zh-CN"/>
        </w:rPr>
        <w:t>交易中心</w:t>
      </w:r>
      <w:r>
        <w:rPr>
          <w:rFonts w:hint="eastAsia" w:hAnsi="宋体" w:cs="Arial"/>
          <w:color w:val="000000"/>
          <w:kern w:val="2"/>
          <w:sz w:val="24"/>
          <w:szCs w:val="24"/>
        </w:rPr>
        <w:t>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依法进行政府采购的国家机关、事业单位、团体组织。本单一来源文件的采购人特指（</w:t>
      </w:r>
      <w:r>
        <w:rPr>
          <w:rFonts w:hint="eastAsia" w:ascii="宋体" w:hAnsi="宋体" w:cs="Arial"/>
          <w:color w:val="000000"/>
          <w:sz w:val="24"/>
          <w:szCs w:val="24"/>
          <w:lang w:eastAsia="zh-CN"/>
        </w:rPr>
        <w:t>准格尔旗中蒙医院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4.2“集中采购机构”是指人民政府依法设立的代理集中采购项目的执行机构。本单一来源文件的集中采购机构特指</w:t>
      </w: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（以下简称</w:t>
      </w:r>
      <w:r>
        <w:rPr>
          <w:rFonts w:hint="eastAsia" w:ascii="宋体" w:hAnsi="宋体"/>
          <w:color w:val="000000"/>
          <w:sz w:val="24"/>
          <w:szCs w:val="24"/>
          <w:lang w:eastAsia="zh-CN"/>
        </w:rPr>
        <w:t>交易中心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4.4“单一来源采购人员”是指根据《中华人民共和国政府采购法》等法律法规规定，由采购人代表和有关专家组成以确定成交供应商或者推荐成交候选人的临时组织。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4.5“成交供应商”是指经单一来源采购人员评审确定的对单一来源文件做出实质性响应，取得与采购人签订合同资格的供应商。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 符合本单一来源文件规定的资格要求，并按照要求提供相关证明材料。</w:t>
      </w:r>
    </w:p>
    <w:p>
      <w:pPr>
        <w:spacing w:line="360" w:lineRule="auto"/>
        <w:ind w:firstLine="482" w:firstLineChars="200"/>
        <w:rPr>
          <w:rFonts w:ascii="宋体" w:hAnsi="宋体"/>
          <w:b/>
          <w:sz w:val="24"/>
          <w:szCs w:val="24"/>
        </w:rPr>
      </w:pPr>
      <w:r>
        <w:rPr>
          <w:rFonts w:hint="eastAsia" w:ascii="宋体" w:hAnsi="宋体"/>
          <w:b/>
          <w:sz w:val="24"/>
          <w:szCs w:val="24"/>
        </w:rPr>
        <w:t>6.语言文字以及度量衡单位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6.1所有文件使用的语言文字为简体中文。专用术语使用外文的，应附有简体中文注释，否则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6.2所有计量均采用中国法定的计量单位。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6.3所有报价一律使用人民币，货币单位：元。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7.其他条款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三.单一来源文件的构成</w:t>
      </w:r>
    </w:p>
    <w:p>
      <w:pPr>
        <w:spacing w:line="360" w:lineRule="auto"/>
        <w:ind w:firstLine="480" w:firstLineChars="200"/>
        <w:rPr>
          <w:rFonts w:ascii="宋体" w:hAnsi="宋体"/>
          <w:b/>
          <w:sz w:val="24"/>
          <w:szCs w:val="24"/>
        </w:rPr>
      </w:pPr>
      <w:r>
        <w:rPr>
          <w:rFonts w:hint="eastAsia" w:ascii="宋体" w:hAnsi="宋体"/>
          <w:sz w:val="24"/>
          <w:szCs w:val="24"/>
        </w:rPr>
        <w:t>（1）单一来源采购公告；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（4）单一来源内容和技术要求；</w:t>
      </w:r>
    </w:p>
    <w:p>
      <w:pPr>
        <w:spacing w:line="360" w:lineRule="auto"/>
        <w:ind w:firstLine="480" w:firstLineChars="200"/>
        <w:rPr>
          <w:rFonts w:ascii="宋体" w:hAnsi="宋体"/>
          <w:sz w:val="24"/>
          <w:szCs w:val="24"/>
        </w:rPr>
      </w:pPr>
      <w:r>
        <w:rPr>
          <w:rFonts w:hint="eastAsia" w:ascii="宋体" w:hAnsi="宋体"/>
          <w:sz w:val="24"/>
          <w:szCs w:val="24"/>
        </w:rPr>
        <w:t>（5）单一来源程序及方法；</w:t>
      </w:r>
    </w:p>
    <w:p>
      <w:pPr>
        <w:spacing w:line="360" w:lineRule="auto"/>
        <w:ind w:firstLine="482" w:firstLineChars="200"/>
        <w:rPr>
          <w:rFonts w:ascii="宋体" w:hAnsi="宋体"/>
          <w:b/>
          <w:sz w:val="24"/>
          <w:szCs w:val="24"/>
        </w:rPr>
      </w:pPr>
      <w:r>
        <w:rPr>
          <w:rFonts w:hint="eastAsia" w:ascii="宋体" w:hAnsi="宋体"/>
          <w:b/>
          <w:sz w:val="24"/>
          <w:szCs w:val="24"/>
        </w:rPr>
        <w:t>四.响应文件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响应文件应按照单一来源文件第七章“响应文件格式”进行编写（可以增加附页），作为响应文件的组成部分。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供应商应按照“第四章单一来源内容与要求”的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责任范围以及合同条款进行报价。并按“开标一览表”和“分项报价明细表”规定的格式报出总价和分项价格</w:t>
      </w:r>
      <w:r>
        <w:rPr>
          <w:rFonts w:ascii="宋体" w:hAnsi="宋体"/>
          <w:kern w:val="0"/>
          <w:sz w:val="24"/>
          <w:szCs w:val="24"/>
        </w:rPr>
        <w:t>。投标总价中不得包含单一来源文件要求以外的内容，否则，在评审时不予核减。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围：本次投标报价为一次性报价。投标报价含本招标文件要求、合同履约需要及服务过程中所产生的全部费用。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2.4供应商应按单一来源文件《开标一览表》要求的统一格式填写。</w:t>
      </w:r>
    </w:p>
    <w:p>
      <w:pPr>
        <w:spacing w:line="360" w:lineRule="auto"/>
        <w:ind w:firstLine="480" w:firstLineChars="200"/>
        <w:rPr>
          <w:rFonts w:ascii="宋体" w:hAnsi="宋体"/>
          <w:sz w:val="24"/>
          <w:szCs w:val="24"/>
        </w:rPr>
      </w:pPr>
      <w:r>
        <w:rPr>
          <w:rFonts w:hint="eastAsia" w:ascii="宋体" w:hAnsi="宋体"/>
          <w:sz w:val="24"/>
          <w:szCs w:val="24"/>
        </w:rPr>
        <w:t>2.5</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0" w:firstLineChars="200"/>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3.1纸质响应文件编制要求：响应文件应用A4纸书写、打印，响应文件正本1份,副本2份。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注：供应商在响应文件及相关书面文件中的单位公章（包括印章、公章等）均指与供应商名称全称一致的标准公章，不得使用其他形式（如带有“专用章”、“财务章”、“业务章”等）的印章。</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的密封。供应商应使用密封袋将响应文件密封，电子文档可密封至响应文件中也可单独密封。密封封面上需注明“项目名称”、“项目编号”、“分包号”、“供应商全称”和《单一来源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3.4响应文件的密封。密封封面应注明条上需分别注明“项目名称”、“项目编号”、“分包号”、“供应商全称”和《响应文件》或《电子版》字样。（电子文档可密封至响应文件中也可单独密封）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供应商按上述规定进行密封和标记后，将响应文件按照单一来源文件的要求送达指定地点。如果未按上述规定进行密封和标记，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4.1在供应商须知前附表规定的投标有效期内，供应商不得要求撤销或修改其响应文件。</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w:t>
      </w:r>
    </w:p>
    <w:p>
      <w:pPr>
        <w:spacing w:line="360" w:lineRule="auto"/>
        <w:ind w:firstLine="482" w:firstLineChars="200"/>
        <w:rPr>
          <w:rFonts w:ascii="宋体" w:hAnsi="宋体"/>
          <w:color w:val="000000"/>
          <w:sz w:val="24"/>
          <w:szCs w:val="24"/>
        </w:rPr>
      </w:pPr>
      <w:r>
        <w:rPr>
          <w:rFonts w:hint="eastAsia" w:ascii="宋体" w:hAnsi="宋体"/>
          <w:b/>
          <w:sz w:val="24"/>
          <w:szCs w:val="24"/>
        </w:rPr>
        <w:t>5.</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w:t>
      </w:r>
      <w:r>
        <w:rPr>
          <w:rFonts w:hint="eastAsia" w:ascii="宋体" w:hAnsi="宋体"/>
          <w:sz w:val="24"/>
          <w:szCs w:val="24"/>
          <w:lang w:eastAsia="zh-CN"/>
        </w:rPr>
        <w:t>交易中心</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在递交响应文件截止时间后到单一来源文件规定的投标有效期终止之前，供应商不得补充、修改、替代或者撤回其响应文件。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6.响应文件的递交</w:t>
      </w:r>
    </w:p>
    <w:p>
      <w:pPr>
        <w:spacing w:line="360" w:lineRule="auto"/>
        <w:ind w:firstLine="480" w:firstLineChars="200"/>
        <w:rPr>
          <w:rFonts w:ascii="宋体" w:hAnsi="宋体"/>
          <w:sz w:val="24"/>
          <w:szCs w:val="24"/>
        </w:rPr>
      </w:pPr>
      <w:r>
        <w:rPr>
          <w:rFonts w:hint="eastAsia" w:ascii="宋体" w:hAnsi="宋体"/>
          <w:sz w:val="24"/>
          <w:szCs w:val="24"/>
        </w:rPr>
        <w:t>在单一来源文件要求提交响应文件的截止时间之后送达的响应文件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ind w:firstLine="482" w:firstLineChars="200"/>
        <w:rPr>
          <w:rFonts w:ascii="宋体" w:hAnsi="宋体"/>
          <w:b/>
          <w:sz w:val="24"/>
          <w:szCs w:val="24"/>
        </w:rPr>
      </w:pPr>
      <w:r>
        <w:rPr>
          <w:rFonts w:hint="eastAsia" w:ascii="宋体" w:hAnsi="宋体"/>
          <w:b/>
          <w:sz w:val="24"/>
          <w:szCs w:val="24"/>
        </w:rPr>
        <w:t>六.商定</w:t>
      </w:r>
    </w:p>
    <w:p>
      <w:pPr>
        <w:spacing w:line="360" w:lineRule="auto"/>
        <w:ind w:firstLine="482" w:firstLineChars="200"/>
        <w:rPr>
          <w:rFonts w:ascii="宋体" w:hAnsi="宋体"/>
          <w:b/>
          <w:sz w:val="24"/>
          <w:szCs w:val="24"/>
        </w:rPr>
      </w:pPr>
      <w:r>
        <w:rPr>
          <w:rFonts w:hint="eastAsia" w:ascii="宋体" w:hAnsi="宋体"/>
          <w:b/>
          <w:sz w:val="24"/>
          <w:szCs w:val="24"/>
        </w:rPr>
        <w:t>商定时间和地点</w:t>
      </w:r>
    </w:p>
    <w:p>
      <w:pPr>
        <w:spacing w:line="360" w:lineRule="auto"/>
        <w:ind w:firstLine="480" w:firstLineChars="200"/>
        <w:rPr>
          <w:rFonts w:ascii="宋体" w:hAnsi="宋体"/>
          <w:sz w:val="24"/>
          <w:szCs w:val="24"/>
        </w:rPr>
      </w:pPr>
      <w:r>
        <w:rPr>
          <w:rFonts w:hint="eastAsia" w:ascii="宋体" w:hAnsi="宋体"/>
          <w:sz w:val="24"/>
          <w:szCs w:val="24"/>
        </w:rPr>
        <w:t>1.商定时间与投标截止时间为同一时间；商定地点为单一来源文件规定的地点。</w:t>
      </w:r>
    </w:p>
    <w:p>
      <w:pPr>
        <w:spacing w:line="360" w:lineRule="auto"/>
        <w:ind w:firstLine="480" w:firstLineChars="200"/>
        <w:rPr>
          <w:rFonts w:ascii="宋体" w:hAnsi="宋体"/>
          <w:sz w:val="24"/>
          <w:szCs w:val="24"/>
        </w:rPr>
      </w:pPr>
      <w:r>
        <w:rPr>
          <w:rFonts w:hint="eastAsia" w:ascii="宋体" w:hAnsi="宋体"/>
          <w:sz w:val="24"/>
          <w:szCs w:val="24"/>
        </w:rPr>
        <w:t>2.采购人、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0" w:firstLineChars="200"/>
        <w:rPr>
          <w:rFonts w:ascii="宋体" w:hAnsi="宋体"/>
          <w:sz w:val="24"/>
          <w:szCs w:val="24"/>
        </w:rPr>
      </w:pPr>
      <w:r>
        <w:rPr>
          <w:rFonts w:hint="eastAsia" w:ascii="宋体" w:hAnsi="宋体"/>
          <w:sz w:val="24"/>
          <w:szCs w:val="24"/>
        </w:rPr>
        <w:t>1.单一来源采购人员</w:t>
      </w:r>
    </w:p>
    <w:p>
      <w:pPr>
        <w:spacing w:line="360" w:lineRule="auto"/>
        <w:ind w:firstLine="480" w:firstLineChars="200"/>
        <w:rPr>
          <w:rFonts w:ascii="宋体" w:hAnsi="宋体"/>
          <w:sz w:val="24"/>
          <w:szCs w:val="24"/>
        </w:rPr>
      </w:pPr>
      <w:r>
        <w:rPr>
          <w:rFonts w:hint="eastAsia" w:ascii="宋体" w:hAnsi="宋体"/>
          <w:sz w:val="24"/>
          <w:szCs w:val="24"/>
        </w:rPr>
        <w:t>1.1单一来源采购人员由采购人代表和评审专家共3人及以上单数组成，其中评审专家人数不得少于单一来源小组成员总数的2/3。</w:t>
      </w:r>
    </w:p>
    <w:p>
      <w:pPr>
        <w:spacing w:line="360" w:lineRule="auto"/>
        <w:ind w:firstLine="480" w:firstLineChars="200"/>
        <w:rPr>
          <w:rFonts w:ascii="宋体" w:hAnsi="宋体"/>
          <w:sz w:val="24"/>
          <w:szCs w:val="24"/>
        </w:rPr>
      </w:pPr>
      <w:r>
        <w:rPr>
          <w:rFonts w:hint="eastAsia" w:ascii="宋体" w:hAnsi="宋体"/>
          <w:sz w:val="24"/>
          <w:szCs w:val="24"/>
        </w:rPr>
        <w:t>1.2单一来源采购人员成员有下列情形之一的，应当回避：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2.单一来源原则</w:t>
      </w:r>
    </w:p>
    <w:p>
      <w:pPr>
        <w:spacing w:line="360" w:lineRule="auto"/>
        <w:ind w:firstLine="480" w:firstLineChars="200"/>
        <w:rPr>
          <w:rFonts w:ascii="宋体" w:hAnsi="宋体"/>
          <w:sz w:val="24"/>
          <w:szCs w:val="24"/>
        </w:rPr>
      </w:pPr>
      <w:r>
        <w:rPr>
          <w:rFonts w:hint="eastAsia" w:ascii="宋体" w:hAnsi="宋体"/>
          <w:sz w:val="24"/>
          <w:szCs w:val="24"/>
        </w:rPr>
        <w:t>单一来源活动遵循公平、公正、科学和择优的原则，以单一来源文件和响应文件为基本依据，并按照单一来源文件规定的方法和标准与供应商商定合理的成交价格并保证采购项目质量。</w:t>
      </w:r>
    </w:p>
    <w:p>
      <w:pPr>
        <w:spacing w:line="360" w:lineRule="auto"/>
        <w:ind w:firstLine="482" w:firstLineChars="200"/>
        <w:rPr>
          <w:rFonts w:ascii="宋体" w:hAnsi="宋体"/>
          <w:sz w:val="24"/>
          <w:szCs w:val="24"/>
        </w:rPr>
      </w:pPr>
      <w:r>
        <w:rPr>
          <w:rFonts w:hint="eastAsia" w:ascii="宋体" w:hAnsi="宋体"/>
          <w:b/>
          <w:sz w:val="24"/>
          <w:szCs w:val="24"/>
        </w:rPr>
        <w:t>3.采购活动终止的情形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出现下列情形之一的，采购人或者采购代理机构应当终止采购活动：</w:t>
      </w:r>
    </w:p>
    <w:p>
      <w:pPr>
        <w:spacing w:line="360" w:lineRule="auto"/>
        <w:ind w:firstLine="480" w:firstLineChars="200"/>
        <w:rPr>
          <w:rFonts w:ascii="宋体" w:hAnsi="宋体"/>
          <w:sz w:val="24"/>
          <w:szCs w:val="24"/>
        </w:rPr>
      </w:pPr>
      <w:r>
        <w:rPr>
          <w:rFonts w:hint="eastAsia" w:ascii="宋体" w:hAnsi="宋体"/>
          <w:sz w:val="24"/>
          <w:szCs w:val="24"/>
        </w:rPr>
        <w:t>（1）因情况变化，不再符合规定的单一来源采购方式适用情形的；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（3）报价超过采购预算的。</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（5）法律、法规以及单一来源文件规定其他情形。</w:t>
      </w:r>
    </w:p>
    <w:p>
      <w:pPr>
        <w:spacing w:line="360" w:lineRule="auto"/>
        <w:ind w:firstLine="482" w:firstLineChars="200"/>
        <w:rPr>
          <w:rFonts w:ascii="宋体" w:hAnsi="宋体"/>
          <w:b/>
          <w:sz w:val="24"/>
          <w:szCs w:val="24"/>
        </w:rPr>
      </w:pPr>
      <w:r>
        <w:rPr>
          <w:rFonts w:hint="eastAsia" w:ascii="宋体" w:hAnsi="宋体"/>
          <w:b/>
          <w:sz w:val="24"/>
          <w:szCs w:val="24"/>
        </w:rPr>
        <w:t>4.定标</w:t>
      </w:r>
    </w:p>
    <w:p>
      <w:pPr>
        <w:spacing w:line="360" w:lineRule="auto"/>
        <w:ind w:firstLine="480" w:firstLineChars="200"/>
        <w:rPr>
          <w:rFonts w:ascii="宋体" w:hAnsi="宋体"/>
          <w:sz w:val="24"/>
          <w:szCs w:val="24"/>
        </w:rPr>
      </w:pPr>
      <w:r>
        <w:rPr>
          <w:rFonts w:hint="eastAsia" w:ascii="宋体" w:hAnsi="宋体"/>
          <w:sz w:val="24"/>
          <w:szCs w:val="24"/>
        </w:rPr>
        <w:t>单一来源采购人员按照单一来源文件确定的方法、步骤、标准确定合理的成交价格并保证采购项目质量。</w:t>
      </w:r>
    </w:p>
    <w:p>
      <w:pPr>
        <w:spacing w:line="360" w:lineRule="auto"/>
        <w:ind w:firstLine="482" w:firstLineChars="200"/>
        <w:rPr>
          <w:rFonts w:ascii="宋体" w:hAnsi="宋体"/>
          <w:b/>
          <w:sz w:val="24"/>
          <w:szCs w:val="24"/>
        </w:rPr>
      </w:pPr>
      <w:r>
        <w:rPr>
          <w:rFonts w:hint="eastAsia" w:ascii="宋体" w:hAnsi="宋体"/>
          <w:b/>
          <w:sz w:val="24"/>
          <w:szCs w:val="24"/>
        </w:rPr>
        <w:t>5.成交结果公告</w:t>
      </w:r>
    </w:p>
    <w:p>
      <w:pPr>
        <w:spacing w:line="360" w:lineRule="auto"/>
        <w:ind w:firstLine="480" w:firstLineChars="200"/>
        <w:rPr>
          <w:rFonts w:ascii="宋体" w:hAnsi="宋体"/>
          <w:sz w:val="24"/>
          <w:szCs w:val="24"/>
        </w:rPr>
      </w:pPr>
      <w:r>
        <w:rPr>
          <w:rFonts w:hint="eastAsia" w:ascii="宋体" w:hAnsi="宋体"/>
          <w:sz w:val="24"/>
          <w:szCs w:val="24"/>
        </w:rPr>
        <w:t>5.1成交供应商确定后，</w:t>
      </w:r>
      <w:r>
        <w:rPr>
          <w:rFonts w:hint="eastAsia" w:ascii="宋体" w:hAnsi="宋体"/>
          <w:sz w:val="24"/>
          <w:szCs w:val="24"/>
          <w:lang w:eastAsia="zh-CN"/>
        </w:rPr>
        <w:t>交易中心</w:t>
      </w:r>
      <w:r>
        <w:rPr>
          <w:rFonts w:hint="eastAsia" w:ascii="宋体" w:hAnsi="宋体"/>
          <w:sz w:val="24"/>
          <w:szCs w:val="24"/>
        </w:rPr>
        <w:t>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pPr>
        <w:spacing w:line="360" w:lineRule="auto"/>
        <w:ind w:firstLine="482" w:firstLineChars="200"/>
        <w:rPr>
          <w:rFonts w:ascii="宋体" w:hAnsi="宋体"/>
          <w:b/>
          <w:sz w:val="24"/>
          <w:szCs w:val="24"/>
        </w:rPr>
      </w:pPr>
      <w:r>
        <w:rPr>
          <w:rFonts w:hint="eastAsia" w:ascii="宋体" w:hAnsi="宋体"/>
          <w:b/>
          <w:sz w:val="24"/>
          <w:szCs w:val="24"/>
        </w:rPr>
        <w:t>八.成交通知书发放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sz w:val="24"/>
          <w:szCs w:val="24"/>
          <w:lang w:eastAsia="zh-CN"/>
        </w:rPr>
        <w:t>鄂尔多斯市准格尔旗公共资源交易中心</w:t>
      </w:r>
      <w:r>
        <w:rPr>
          <w:rFonts w:hint="eastAsia" w:ascii="宋体" w:hAnsi="宋体"/>
          <w:sz w:val="24"/>
          <w:szCs w:val="24"/>
        </w:rPr>
        <w:t>领取。</w:t>
      </w:r>
    </w:p>
    <w:p>
      <w:pPr>
        <w:spacing w:line="360" w:lineRule="auto"/>
        <w:ind w:firstLine="480" w:firstLineChars="200"/>
        <w:rPr>
          <w:rFonts w:ascii="宋体" w:hAnsi="宋体"/>
          <w:sz w:val="24"/>
          <w:szCs w:val="24"/>
        </w:rPr>
      </w:pPr>
    </w:p>
    <w:bookmarkEnd w:id="2"/>
    <w:bookmarkEnd w:id="3"/>
    <w:p>
      <w:pPr>
        <w:spacing w:line="360" w:lineRule="auto"/>
        <w:rPr>
          <w:sz w:val="24"/>
          <w:szCs w:val="24"/>
          <w:lang w:val="zh-CN"/>
        </w:rPr>
      </w:pPr>
      <w:bookmarkStart w:id="6" w:name="_Toc447030612"/>
    </w:p>
    <w:p>
      <w:pPr>
        <w:pStyle w:val="42"/>
        <w:spacing w:line="360" w:lineRule="auto"/>
        <w:rPr>
          <w:rFonts w:ascii="宋体" w:hAnsi="宋体" w:eastAsia="宋体" w:cs="宋体"/>
          <w:sz w:val="24"/>
          <w:szCs w:val="24"/>
        </w:rPr>
      </w:pPr>
      <w:r>
        <w:rPr>
          <w:rFonts w:ascii="宋体" w:hAnsi="宋体" w:eastAsia="宋体" w:cs="宋体"/>
          <w:sz w:val="24"/>
          <w:szCs w:val="24"/>
        </w:rPr>
        <w:br w:type="page"/>
      </w:r>
      <w:bookmarkEnd w:id="6"/>
      <w:bookmarkStart w:id="7" w:name="_Toc497726800"/>
      <w:bookmarkStart w:id="8" w:name="_Toc494546020"/>
      <w:r>
        <w:rPr>
          <w:rFonts w:hint="eastAsia" w:ascii="宋体" w:hAnsi="宋体" w:eastAsia="宋体"/>
          <w:color w:val="000000"/>
          <w:sz w:val="24"/>
          <w:szCs w:val="24"/>
        </w:rPr>
        <w:t>第三章 合同与验收</w:t>
      </w:r>
      <w:bookmarkEnd w:id="7"/>
      <w:bookmarkEnd w:id="8"/>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1.1采购人应当自中标通知书发出之日起30日内，按照单一来源文件和中标人响应文件的规定，与中标人签订书面合同。所签订的合同不得对单一来源文件确定的事项和中标人响应文件作实质性修改。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自合同签订之日起2个工作日内，中标人应将政府采购合同送达至市公共资源交易中心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2.1具体格式见本单一来源文件后附拟签订的《合同文本》（部分合同条款），响应文件中可以不提供《合同文本》。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中标人在供货、工程竣工或服务结束后，采购人应及时组织验收，并按照单一来源文件、响应文件及合同约定填写验收单（下载地址：鄂尔多斯市公共资源交易网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w:t>
      </w:r>
      <w:r>
        <w:rPr>
          <w:rFonts w:hint="eastAsia" w:ascii="宋体" w:hAnsi="宋体"/>
          <w:sz w:val="24"/>
          <w:szCs w:val="24"/>
          <w:lang w:eastAsia="zh-CN"/>
        </w:rPr>
        <w:t>鄂尔多斯</w:t>
      </w:r>
      <w:r>
        <w:rPr>
          <w:rFonts w:hint="eastAsia" w:ascii="宋体" w:hAnsi="宋体"/>
          <w:sz w:val="24"/>
          <w:szCs w:val="24"/>
        </w:rPr>
        <w:t>市</w:t>
      </w:r>
      <w:r>
        <w:rPr>
          <w:rFonts w:hint="eastAsia" w:ascii="宋体" w:hAnsi="宋体"/>
          <w:sz w:val="24"/>
          <w:szCs w:val="24"/>
          <w:lang w:eastAsia="zh-CN"/>
        </w:rPr>
        <w:t>准格尔旗</w:t>
      </w:r>
      <w:r>
        <w:rPr>
          <w:rFonts w:hint="eastAsia" w:ascii="宋体" w:hAnsi="宋体"/>
          <w:sz w:val="24"/>
          <w:szCs w:val="24"/>
        </w:rPr>
        <w:t>公共资源交易中心</w:t>
      </w:r>
      <w:r>
        <w:rPr>
          <w:rFonts w:hint="eastAsia" w:ascii="宋体" w:hAnsi="宋体"/>
          <w:sz w:val="24"/>
          <w:szCs w:val="24"/>
          <w:lang w:val="en-US" w:eastAsia="zh-CN"/>
        </w:rPr>
        <w:t>204</w:t>
      </w:r>
      <w:r>
        <w:rPr>
          <w:rFonts w:hint="eastAsia" w:ascii="宋体" w:hAnsi="宋体"/>
          <w:sz w:val="24"/>
          <w:szCs w:val="24"/>
        </w:rPr>
        <w:t>室（联系电话：0477-</w:t>
      </w:r>
      <w:r>
        <w:rPr>
          <w:rFonts w:hint="eastAsia" w:ascii="宋体" w:hAnsi="宋体"/>
          <w:sz w:val="24"/>
          <w:szCs w:val="24"/>
          <w:lang w:val="en-US" w:eastAsia="zh-CN"/>
        </w:rPr>
        <w:t>3864233</w:t>
      </w:r>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eastAsia="zh-CN"/>
        </w:rPr>
      </w:pPr>
      <w:r>
        <w:rPr>
          <w:rFonts w:ascii="宋体" w:hAnsi="宋体"/>
          <w:b/>
          <w:bCs/>
          <w:color w:val="000000"/>
          <w:kern w:val="44"/>
          <w:sz w:val="24"/>
          <w:szCs w:val="24"/>
          <w:lang w:val="zh-CN" w:eastAsia="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w:t>
      </w:r>
      <w:r>
        <w:rPr>
          <w:rFonts w:asciiTheme="minorEastAsia" w:hAnsiTheme="minorEastAsia" w:eastAsiaTheme="minorEastAsia"/>
          <w:sz w:val="24"/>
          <w:szCs w:val="24"/>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2、向人民法院起诉。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w:t>
      </w:r>
      <w:r>
        <w:rPr>
          <w:rFonts w:hint="eastAsia" w:asciiTheme="minorEastAsia" w:hAnsiTheme="minorEastAsia" w:eastAsiaTheme="minorEastAsia"/>
          <w:sz w:val="24"/>
          <w:szCs w:val="24"/>
          <w:lang w:eastAsia="zh-CN"/>
        </w:rPr>
        <w:t>交易中心</w:t>
      </w:r>
      <w:r>
        <w:rPr>
          <w:rFonts w:hint="eastAsia" w:asciiTheme="minorEastAsia" w:hAnsiTheme="minorEastAsia" w:eastAsiaTheme="minorEastAsia"/>
          <w:sz w:val="24"/>
          <w:szCs w:val="24"/>
        </w:rPr>
        <w:t>、国库支付执行机构各一份，自双方签订之日起生效。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2"/>
        <w:keepNext w:val="0"/>
        <w:keepLines w:val="0"/>
        <w:spacing w:line="360" w:lineRule="auto"/>
        <w:rPr>
          <w:rFonts w:ascii="宋体" w:hAnsi="宋体"/>
          <w:color w:val="000000"/>
          <w:sz w:val="24"/>
          <w:szCs w:val="24"/>
        </w:rPr>
      </w:pPr>
      <w:bookmarkStart w:id="9" w:name="_Toc497726801"/>
      <w:r>
        <w:rPr>
          <w:rFonts w:hint="eastAsia" w:ascii="宋体" w:hAnsi="宋体"/>
          <w:color w:val="000000"/>
          <w:sz w:val="24"/>
          <w:szCs w:val="24"/>
        </w:rPr>
        <w:t>第四章 单一来源内容与技术要求</w:t>
      </w:r>
      <w:bookmarkEnd w:id="9"/>
    </w:p>
    <w:p>
      <w:pPr>
        <w:jc w:val="left"/>
        <w:rPr>
          <w:rFonts w:hAnsi="宋体"/>
          <w:sz w:val="24"/>
          <w:szCs w:val="24"/>
        </w:rPr>
      </w:pPr>
      <w:bookmarkStart w:id="10" w:name="_Toc397088603"/>
      <w:bookmarkStart w:id="11" w:name="_Toc303801500"/>
      <w:r>
        <w:rPr>
          <w:rFonts w:hint="eastAsia" w:ascii="宋体" w:hAnsi="宋体"/>
          <w:b/>
          <w:bCs/>
          <w:color w:val="000000"/>
          <w:kern w:val="44"/>
          <w:sz w:val="24"/>
          <w:szCs w:val="24"/>
        </w:rPr>
        <w:t>一.主要商务要求</w:t>
      </w:r>
    </w:p>
    <w:tbl>
      <w:tblPr>
        <w:tblStyle w:val="5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671" w:type="dxa"/>
            <w:vAlign w:val="center"/>
          </w:tcPr>
          <w:p>
            <w:pPr>
              <w:pStyle w:val="67"/>
              <w:ind w:firstLine="0" w:firstLineChars="0"/>
              <w:jc w:val="center"/>
              <w:rPr>
                <w:rFonts w:ascii="宋体" w:hAnsi="宋体"/>
                <w:sz w:val="24"/>
                <w:szCs w:val="24"/>
              </w:rPr>
            </w:pPr>
            <w:bookmarkStart w:id="12" w:name="_Toc491862079"/>
            <w:r>
              <w:rPr>
                <w:rFonts w:hint="eastAsia" w:ascii="宋体" w:hAnsi="宋体"/>
                <w:sz w:val="24"/>
                <w:szCs w:val="24"/>
              </w:rPr>
              <w:t xml:space="preserve">   主要商务条款</w:t>
            </w:r>
            <w:bookmarkEnd w:id="12"/>
          </w:p>
        </w:tc>
        <w:tc>
          <w:tcPr>
            <w:tcW w:w="6957" w:type="dxa"/>
            <w:vAlign w:val="center"/>
          </w:tcPr>
          <w:p>
            <w:pPr>
              <w:pStyle w:val="67"/>
              <w:ind w:firstLine="0" w:firstLineChars="0"/>
              <w:jc w:val="center"/>
              <w:rPr>
                <w:rFonts w:ascii="宋体" w:hAnsi="宋体"/>
                <w:sz w:val="24"/>
                <w:szCs w:val="24"/>
              </w:rPr>
            </w:pPr>
            <w:bookmarkStart w:id="13" w:name="_Toc491862080"/>
            <w:r>
              <w:rPr>
                <w:rFonts w:hint="eastAsia" w:ascii="宋体" w:hAnsi="宋体"/>
                <w:sz w:val="24"/>
                <w:szCs w:val="24"/>
              </w:rPr>
              <w:t>具体要求</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67"/>
              <w:ind w:firstLine="0" w:firstLineChars="0"/>
              <w:jc w:val="center"/>
              <w:rPr>
                <w:rFonts w:ascii="宋体" w:hAnsi="宋体"/>
                <w:sz w:val="24"/>
                <w:szCs w:val="24"/>
              </w:rPr>
            </w:pPr>
            <w:bookmarkStart w:id="14" w:name="_Toc491862082"/>
            <w:r>
              <w:rPr>
                <w:rFonts w:hint="eastAsia" w:ascii="宋体" w:hAnsi="宋体"/>
                <w:sz w:val="24"/>
                <w:szCs w:val="24"/>
              </w:rPr>
              <w:t xml:space="preserve">  采购预算</w:t>
            </w:r>
            <w:bookmarkEnd w:id="14"/>
          </w:p>
        </w:tc>
        <w:tc>
          <w:tcPr>
            <w:tcW w:w="6957" w:type="dxa"/>
            <w:vAlign w:val="center"/>
          </w:tcPr>
          <w:p>
            <w:pPr>
              <w:ind w:firstLine="480" w:firstLineChars="200"/>
              <w:rPr>
                <w:rFonts w:ascii="宋体" w:hAnsi="宋体"/>
                <w:sz w:val="24"/>
                <w:szCs w:val="24"/>
              </w:rPr>
            </w:pPr>
            <w:bookmarkStart w:id="15" w:name="_Toc491862083"/>
            <w:r>
              <w:rPr>
                <w:rFonts w:hint="eastAsia" w:ascii="宋体" w:hAnsi="宋体"/>
                <w:sz w:val="24"/>
                <w:szCs w:val="24"/>
                <w:lang w:val="en-US" w:eastAsia="zh-CN"/>
              </w:rPr>
              <w:t>250000</w:t>
            </w:r>
            <w:r>
              <w:rPr>
                <w:rFonts w:hint="eastAsia" w:ascii="宋体" w:hAnsi="宋体"/>
                <w:sz w:val="24"/>
                <w:szCs w:val="24"/>
              </w:rPr>
              <w:t>元</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spacing w:line="360" w:lineRule="auto"/>
              <w:jc w:val="center"/>
              <w:rPr>
                <w:rFonts w:ascii="宋体" w:hAnsi="宋体"/>
                <w:color w:val="00B0F0"/>
                <w:sz w:val="24"/>
                <w:szCs w:val="24"/>
              </w:rPr>
            </w:pPr>
            <w:r>
              <w:rPr>
                <w:rFonts w:hint="eastAsia" w:ascii="宋体" w:hAnsi="宋体"/>
                <w:color w:val="000000" w:themeColor="text1"/>
                <w:sz w:val="24"/>
                <w:szCs w:val="24"/>
                <w14:textFill>
                  <w14:solidFill>
                    <w14:schemeClr w14:val="tx1"/>
                  </w14:solidFill>
                </w14:textFill>
              </w:rPr>
              <w:t>服务时间</w:t>
            </w:r>
          </w:p>
        </w:tc>
        <w:tc>
          <w:tcPr>
            <w:tcW w:w="6957" w:type="dxa"/>
            <w:vAlign w:val="center"/>
          </w:tcPr>
          <w:p>
            <w:pPr>
              <w:spacing w:line="360" w:lineRule="auto"/>
              <w:jc w:val="left"/>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s="宋体"/>
                <w:sz w:val="24"/>
              </w:rPr>
              <w:t>从2</w:t>
            </w:r>
            <w:r>
              <w:rPr>
                <w:rFonts w:ascii="宋体" w:hAnsi="宋体" w:cs="宋体"/>
                <w:sz w:val="24"/>
              </w:rPr>
              <w:t>01</w:t>
            </w:r>
            <w:r>
              <w:rPr>
                <w:rFonts w:hint="eastAsia" w:ascii="宋体" w:hAnsi="宋体" w:cs="宋体"/>
                <w:sz w:val="24"/>
                <w:lang w:val="en-US" w:eastAsia="zh-CN"/>
              </w:rPr>
              <w:t>9</w:t>
            </w:r>
            <w:r>
              <w:rPr>
                <w:rFonts w:hint="eastAsia" w:ascii="宋体" w:hAnsi="宋体" w:cs="宋体"/>
                <w:sz w:val="24"/>
              </w:rPr>
              <w:t>年</w:t>
            </w:r>
            <w:r>
              <w:rPr>
                <w:rFonts w:hint="eastAsia" w:ascii="宋体" w:hAnsi="宋体" w:cs="宋体"/>
                <w:sz w:val="24"/>
                <w:lang w:val="en-US" w:eastAsia="zh-CN"/>
              </w:rPr>
              <w:t>03</w:t>
            </w:r>
            <w:r>
              <w:rPr>
                <w:rFonts w:hint="eastAsia" w:ascii="宋体" w:hAnsi="宋体" w:cs="宋体"/>
                <w:sz w:val="24"/>
              </w:rPr>
              <w:t>月01日至</w:t>
            </w:r>
            <w:r>
              <w:rPr>
                <w:rFonts w:ascii="宋体" w:hAnsi="宋体" w:cs="宋体"/>
                <w:sz w:val="24"/>
              </w:rPr>
              <w:t>20</w:t>
            </w:r>
            <w:r>
              <w:rPr>
                <w:rFonts w:hint="eastAsia" w:ascii="宋体" w:hAnsi="宋体" w:cs="宋体"/>
                <w:sz w:val="24"/>
                <w:lang w:val="en-US" w:eastAsia="zh-CN"/>
              </w:rPr>
              <w:t>19</w:t>
            </w:r>
            <w:r>
              <w:rPr>
                <w:rFonts w:hint="eastAsia" w:ascii="宋体" w:hAnsi="宋体" w:cs="宋体"/>
                <w:sz w:val="24"/>
              </w:rPr>
              <w:t>年</w:t>
            </w:r>
            <w:r>
              <w:rPr>
                <w:rFonts w:hint="eastAsia" w:ascii="宋体" w:hAnsi="宋体" w:cs="宋体"/>
                <w:sz w:val="24"/>
                <w:lang w:val="en-US" w:eastAsia="zh-CN"/>
              </w:rPr>
              <w:t>03</w:t>
            </w:r>
            <w:r>
              <w:rPr>
                <w:rFonts w:hint="eastAsia" w:ascii="宋体" w:hAnsi="宋体" w:cs="宋体"/>
                <w:sz w:val="24"/>
              </w:rPr>
              <w:t>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67"/>
              <w:ind w:firstLine="0" w:firstLineChars="0"/>
              <w:jc w:val="center"/>
              <w:rPr>
                <w:rFonts w:ascii="宋体" w:hAnsi="宋体"/>
                <w:sz w:val="24"/>
                <w:szCs w:val="24"/>
              </w:rPr>
            </w:pPr>
            <w:bookmarkStart w:id="16" w:name="_Toc491862089"/>
            <w:r>
              <w:rPr>
                <w:rFonts w:hint="eastAsia" w:ascii="宋体" w:hAnsi="宋体"/>
                <w:sz w:val="24"/>
                <w:szCs w:val="24"/>
              </w:rPr>
              <w:t>服务地点</w:t>
            </w:r>
            <w:bookmarkEnd w:id="16"/>
          </w:p>
        </w:tc>
        <w:tc>
          <w:tcPr>
            <w:tcW w:w="6957" w:type="dxa"/>
            <w:vAlign w:val="center"/>
          </w:tcPr>
          <w:p>
            <w:pPr>
              <w:pStyle w:val="67"/>
              <w:ind w:firstLine="0" w:firstLineChars="0"/>
              <w:rPr>
                <w:rFonts w:ascii="宋体" w:hAnsi="宋体"/>
                <w:color w:val="000000" w:themeColor="text1"/>
                <w:sz w:val="24"/>
                <w:szCs w:val="24"/>
                <w14:textFill>
                  <w14:solidFill>
                    <w14:schemeClr w14:val="tx1"/>
                  </w14:solidFill>
                </w14:textFill>
              </w:rPr>
            </w:pPr>
            <w:bookmarkStart w:id="17" w:name="_Toc491862090"/>
            <w:r>
              <w:rPr>
                <w:rFonts w:hint="eastAsia" w:ascii="宋体" w:hAnsi="宋体"/>
                <w:color w:val="000000" w:themeColor="text1"/>
                <w:sz w:val="24"/>
                <w:szCs w:val="24"/>
                <w14:textFill>
                  <w14:solidFill>
                    <w14:schemeClr w14:val="tx1"/>
                  </w14:solidFill>
                </w14:textFill>
              </w:rPr>
              <w:t>采购人指定地点。</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67"/>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67"/>
              <w:ind w:firstLine="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从提交投标文件的截止之日起</w:t>
            </w:r>
            <w:r>
              <w:rPr>
                <w:rFonts w:hint="eastAsia" w:ascii="宋体" w:hAnsi="宋体"/>
                <w:color w:val="000000" w:themeColor="text1"/>
                <w:sz w:val="24"/>
                <w:szCs w:val="24"/>
                <w:u w:val="single"/>
                <w:lang w:val="en-US" w:eastAsia="zh-CN"/>
                <w14:textFill>
                  <w14:solidFill>
                    <w14:schemeClr w14:val="tx1"/>
                  </w14:solidFill>
                </w14:textFill>
              </w:rPr>
              <w:t>90</w:t>
            </w:r>
            <w:r>
              <w:rPr>
                <w:rFonts w:hint="eastAsia" w:ascii="宋体" w:hAnsi="宋体"/>
                <w:color w:val="000000" w:themeColor="text1"/>
                <w:sz w:val="24"/>
                <w:szCs w:val="24"/>
                <w14:textFill>
                  <w14:solidFill>
                    <w14:schemeClr w14:val="tx1"/>
                  </w14:solidFill>
                </w14:textFill>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67"/>
              <w:ind w:firstLine="0" w:firstLineChars="0"/>
              <w:jc w:val="center"/>
              <w:rPr>
                <w:rFonts w:ascii="宋体" w:hAnsi="宋体"/>
                <w:color w:val="00B0F0"/>
                <w:sz w:val="24"/>
                <w:szCs w:val="24"/>
              </w:rPr>
            </w:pPr>
            <w:bookmarkStart w:id="18" w:name="_Toc491862095"/>
            <w:r>
              <w:rPr>
                <w:rFonts w:hint="eastAsia" w:ascii="宋体" w:hAnsi="宋体"/>
                <w:color w:val="000000" w:themeColor="text1"/>
                <w:sz w:val="24"/>
                <w:szCs w:val="24"/>
                <w14:textFill>
                  <w14:solidFill>
                    <w14:schemeClr w14:val="tx1"/>
                  </w14:solidFill>
                </w14:textFill>
              </w:rPr>
              <w:t>付款方式</w:t>
            </w:r>
            <w:bookmarkEnd w:id="18"/>
          </w:p>
        </w:tc>
        <w:tc>
          <w:tcPr>
            <w:tcW w:w="6957" w:type="dxa"/>
            <w:vAlign w:val="center"/>
          </w:tcPr>
          <w:p>
            <w:pPr>
              <w:pStyle w:val="67"/>
              <w:ind w:firstLine="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签订合同后安装完付100%</w:t>
            </w:r>
          </w:p>
        </w:tc>
      </w:tr>
    </w:tbl>
    <w:p>
      <w:pPr>
        <w:spacing w:line="360" w:lineRule="auto"/>
        <w:jc w:val="left"/>
        <w:rPr>
          <w:rFonts w:hAnsi="宋体"/>
          <w:b/>
          <w:sz w:val="24"/>
          <w:szCs w:val="24"/>
        </w:rPr>
      </w:pPr>
      <w:r>
        <w:rPr>
          <w:rFonts w:hint="eastAsia" w:hAnsi="宋体"/>
          <w:b/>
          <w:sz w:val="24"/>
          <w:szCs w:val="24"/>
        </w:rPr>
        <w:t>二.服务需求：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参数</w:t>
      </w:r>
    </w:p>
    <w:p>
      <w:pPr>
        <w:jc w:val="center"/>
        <w:rPr>
          <w:b/>
          <w:sz w:val="30"/>
          <w:szCs w:val="30"/>
        </w:rPr>
      </w:pPr>
      <w:r>
        <w:rPr>
          <w:rFonts w:hint="eastAsia"/>
          <w:b/>
          <w:sz w:val="30"/>
          <w:szCs w:val="30"/>
        </w:rPr>
        <w:t>准格尔旗中蒙医院管理系统服务费项目</w:t>
      </w:r>
    </w:p>
    <w:p>
      <w:pPr>
        <w:jc w:val="center"/>
        <w:rPr>
          <w:b/>
          <w:color w:val="000000"/>
          <w:sz w:val="30"/>
          <w:szCs w:val="30"/>
        </w:rPr>
      </w:pPr>
      <w:r>
        <w:rPr>
          <w:rFonts w:hint="eastAsia"/>
          <w:b/>
          <w:color w:val="0D203D"/>
          <w:sz w:val="30"/>
          <w:szCs w:val="30"/>
        </w:rPr>
        <w:t>单一来源采购招标文件</w:t>
      </w:r>
    </w:p>
    <w:p>
      <w:pPr>
        <w:jc w:val="center"/>
        <w:rPr>
          <w:rFonts w:hint="eastAsia"/>
          <w:b/>
          <w:color w:val="000000"/>
          <w:sz w:val="30"/>
          <w:szCs w:val="30"/>
        </w:rPr>
      </w:pPr>
    </w:p>
    <w:p>
      <w:pPr>
        <w:spacing w:line="360" w:lineRule="auto"/>
        <w:rPr>
          <w:rFonts w:asciiTheme="minorEastAsia" w:hAnsiTheme="minorEastAsia" w:cstheme="minorEastAsia"/>
          <w:b/>
          <w:sz w:val="32"/>
          <w:szCs w:val="32"/>
        </w:rPr>
      </w:pPr>
      <w:r>
        <w:rPr>
          <w:rFonts w:hint="eastAsia" w:asciiTheme="minorEastAsia" w:hAnsiTheme="minorEastAsia" w:cstheme="minorEastAsia"/>
          <w:b/>
          <w:sz w:val="32"/>
          <w:szCs w:val="32"/>
        </w:rPr>
        <w:t>1 总账报表系统</w:t>
      </w:r>
    </w:p>
    <w:p>
      <w:pPr>
        <w:spacing w:line="360" w:lineRule="auto"/>
        <w:ind w:firstLine="640" w:firstLineChars="200"/>
        <w:rPr>
          <w:rFonts w:asciiTheme="minorEastAsia" w:hAnsiTheme="minorEastAsia" w:cstheme="minorEastAsia"/>
          <w:sz w:val="32"/>
          <w:szCs w:val="32"/>
        </w:rPr>
      </w:pPr>
      <w:r>
        <w:rPr>
          <w:rFonts w:asciiTheme="minorEastAsia" w:hAnsiTheme="minorEastAsia" w:cstheme="minorEastAsia"/>
          <w:sz w:val="32"/>
          <w:szCs w:val="32"/>
        </w:rPr>
        <w:t>支持政府新会计制度管理</w:t>
      </w:r>
      <w:r>
        <w:rPr>
          <w:rFonts w:hint="eastAsia" w:asciiTheme="minorEastAsia" w:hAnsiTheme="minorEastAsia" w:cstheme="minorEastAsia"/>
          <w:sz w:val="32"/>
          <w:szCs w:val="32"/>
        </w:rPr>
        <w:t>。一套财务核算账簿的模式之下，搭建财务会计科目+预算会计科目的会计科目体系，凭证制单节点显示财务会计和预算会计两个凭证界面，对平行记账的经济业务根据财务会计凭证自动生成预算会计凭证；业务系统自动生成的财务凭证根据凭证中会计科目性质自动判断和生成预算会计凭证。根据财务会计科目形成财务会计账，出具财务会计报表，根据预算会计科目形成预算会计账和决算报告。</w:t>
      </w:r>
    </w:p>
    <w:p>
      <w:pPr>
        <w:spacing w:line="360" w:lineRule="auto"/>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满足了制度的核算要求，积极响应和推进改革，顺利实施政府会计制度，保留医疗行业业务特色及信息要求，平稳过渡，安全、高效的衔接医院业务。</w:t>
      </w:r>
    </w:p>
    <w:p>
      <w:pPr>
        <w:spacing w:line="360" w:lineRule="auto"/>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总账系统主要用来进行凭证处理、账簿管理、同时还可处理客户及供应商往来管理、个人往来款管理、部门管理、项目核算和出纳管理等等。</w:t>
      </w:r>
    </w:p>
    <w:p>
      <w:pPr>
        <w:pStyle w:val="67"/>
        <w:numPr>
          <w:ilvl w:val="0"/>
          <w:numId w:val="6"/>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新增平行记账功能，匹配政府新制度的管理模式。</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根据预算会计科目形成预算会计账和决算报告。</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由用户根据自己的需要建立财务应用环境，设置适合本单位实际需要的专用模块。包括：自由定义科目代码长度、科目级次、汇率、凭证类别、凭证格式、提供包括部门、个人、客户、供应商、项目、功能分类、经济分类、病人档案等10 多种组合的辅助核算功能。</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提供严密的制单控制，保证制单的正确性。制单时提供资金赤字控制、支票控制、预算控制、外币折算误差控制，并提供操作员权限控制，加强对发生的业务进行及时的控制。</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支持与HIS 收费系统集成，自动获取数据信息生成会计凭证。</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提供批量审核和单张审核功能，并支持对照式审核</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提供明细账、总账、凭证、原始单据联查功能。</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自动完成月末分摊、计提、对应转账、销售成本、汇兑损益、期间损益结转等业务。</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进行试算平衡、对账、结账、生成月末工作报告。</w:t>
      </w:r>
    </w:p>
    <w:p>
      <w:pPr>
        <w:pStyle w:val="67"/>
        <w:numPr>
          <w:ilvl w:val="0"/>
          <w:numId w:val="7"/>
        </w:numPr>
        <w:spacing w:line="360" w:lineRule="auto"/>
        <w:ind w:firstLineChars="0"/>
        <w:rPr>
          <w:rFonts w:asciiTheme="minorEastAsia" w:hAnsiTheme="minorEastAsia" w:cstheme="minorEastAsia"/>
          <w:sz w:val="32"/>
          <w:szCs w:val="32"/>
        </w:rPr>
      </w:pPr>
      <w:r>
        <w:rPr>
          <w:rFonts w:hint="eastAsia" w:asciiTheme="minorEastAsia" w:hAnsiTheme="minorEastAsia" w:cstheme="minorEastAsia"/>
          <w:sz w:val="32"/>
          <w:szCs w:val="32"/>
        </w:rPr>
        <w:t>灵活的自定义转账功能可满足各类业务的转账需要。</w:t>
      </w:r>
    </w:p>
    <w:p>
      <w:pPr>
        <w:pStyle w:val="67"/>
        <w:numPr>
          <w:ilvl w:val="0"/>
          <w:numId w:val="7"/>
        </w:numPr>
        <w:spacing w:line="360" w:lineRule="auto"/>
        <w:ind w:firstLineChars="0"/>
        <w:rPr>
          <w:rFonts w:asciiTheme="minorEastAsia" w:hAnsiTheme="minorEastAsia" w:cstheme="minorEastAsia"/>
          <w:sz w:val="32"/>
          <w:szCs w:val="32"/>
        </w:rPr>
      </w:pPr>
      <w:r>
        <w:rPr>
          <w:rFonts w:asciiTheme="minorEastAsia" w:hAnsiTheme="minorEastAsia" w:cstheme="minorEastAsia"/>
          <w:sz w:val="32"/>
          <w:szCs w:val="32"/>
        </w:rPr>
        <w:t>报表平台预制政府会计制度报表</w:t>
      </w:r>
      <w:r>
        <w:rPr>
          <w:rFonts w:hint="eastAsia" w:asciiTheme="minorEastAsia" w:hAnsiTheme="minorEastAsia" w:cstheme="minorEastAsia"/>
          <w:sz w:val="32"/>
          <w:szCs w:val="32"/>
        </w:rPr>
        <w:t>，并</w:t>
      </w:r>
      <w:r>
        <w:rPr>
          <w:rFonts w:asciiTheme="minorEastAsia" w:hAnsiTheme="minorEastAsia" w:cstheme="minorEastAsia"/>
          <w:sz w:val="32"/>
          <w:szCs w:val="32"/>
        </w:rPr>
        <w:t>可根据需求增加自定义报表</w:t>
      </w:r>
      <w:r>
        <w:rPr>
          <w:rFonts w:hint="eastAsia" w:asciiTheme="minorEastAsia" w:hAnsiTheme="minorEastAsia" w:cstheme="minorEastAsia"/>
          <w:sz w:val="32"/>
          <w:szCs w:val="32"/>
        </w:rPr>
        <w:t>。</w:t>
      </w:r>
    </w:p>
    <w:p>
      <w:pPr>
        <w:spacing w:line="360" w:lineRule="auto"/>
        <w:rPr>
          <w:rFonts w:asciiTheme="minorEastAsia" w:hAnsiTheme="minorEastAsia" w:cstheme="minorEastAsia"/>
          <w:b/>
          <w:sz w:val="32"/>
          <w:szCs w:val="32"/>
        </w:rPr>
      </w:pPr>
      <w:r>
        <w:rPr>
          <w:rFonts w:hint="eastAsia" w:asciiTheme="minorEastAsia" w:hAnsiTheme="minorEastAsia" w:cstheme="minorEastAsia"/>
          <w:b/>
          <w:sz w:val="32"/>
          <w:szCs w:val="32"/>
        </w:rPr>
        <w:t>2 资产卡片管理</w:t>
      </w:r>
    </w:p>
    <w:p>
      <w:pPr>
        <w:spacing w:line="360" w:lineRule="auto"/>
        <w:ind w:firstLine="640" w:firstLineChars="200"/>
        <w:rPr>
          <w:rFonts w:asciiTheme="minorEastAsia" w:hAnsiTheme="minorEastAsia" w:cstheme="minorEastAsia"/>
          <w:sz w:val="32"/>
          <w:szCs w:val="32"/>
        </w:rPr>
      </w:pPr>
      <w:r>
        <w:rPr>
          <w:rFonts w:hint="eastAsia" w:asciiTheme="minorEastAsia" w:hAnsiTheme="minorEastAsia" w:cstheme="minorEastAsia"/>
          <w:sz w:val="32"/>
          <w:szCs w:val="32"/>
        </w:rPr>
        <w:t>满足</w:t>
      </w:r>
      <w:r>
        <w:rPr>
          <w:rFonts w:asciiTheme="minorEastAsia" w:hAnsiTheme="minorEastAsia" w:cstheme="minorEastAsia"/>
          <w:sz w:val="32"/>
          <w:szCs w:val="32"/>
        </w:rPr>
        <w:t>政府新会计制度的资产卡片管理</w:t>
      </w:r>
      <w:r>
        <w:rPr>
          <w:rFonts w:hint="eastAsia" w:asciiTheme="minorEastAsia" w:hAnsiTheme="minorEastAsia" w:cstheme="minorEastAsia"/>
          <w:sz w:val="32"/>
          <w:szCs w:val="32"/>
        </w:rPr>
        <w:t>，</w:t>
      </w:r>
      <w:r>
        <w:rPr>
          <w:rFonts w:asciiTheme="minorEastAsia" w:hAnsiTheme="minorEastAsia" w:cstheme="minorEastAsia"/>
          <w:sz w:val="32"/>
          <w:szCs w:val="32"/>
        </w:rPr>
        <w:t>按制度预制资产分类</w:t>
      </w:r>
      <w:r>
        <w:rPr>
          <w:rFonts w:hint="eastAsia" w:asciiTheme="minorEastAsia" w:hAnsiTheme="minorEastAsia" w:cstheme="minorEastAsia"/>
          <w:sz w:val="32"/>
          <w:szCs w:val="32"/>
        </w:rPr>
        <w:t>，</w:t>
      </w:r>
      <w:r>
        <w:rPr>
          <w:rFonts w:asciiTheme="minorEastAsia" w:hAnsiTheme="minorEastAsia" w:cstheme="minorEastAsia"/>
          <w:sz w:val="32"/>
          <w:szCs w:val="32"/>
        </w:rPr>
        <w:t>实现卡片的新增</w:t>
      </w:r>
      <w:r>
        <w:rPr>
          <w:rFonts w:hint="eastAsia" w:asciiTheme="minorEastAsia" w:hAnsiTheme="minorEastAsia" w:cstheme="minorEastAsia"/>
          <w:sz w:val="32"/>
          <w:szCs w:val="32"/>
        </w:rPr>
        <w:t>、</w:t>
      </w:r>
      <w:r>
        <w:rPr>
          <w:rFonts w:asciiTheme="minorEastAsia" w:hAnsiTheme="minorEastAsia" w:cstheme="minorEastAsia"/>
          <w:sz w:val="32"/>
          <w:szCs w:val="32"/>
        </w:rPr>
        <w:t>变动</w:t>
      </w:r>
      <w:r>
        <w:rPr>
          <w:rFonts w:hint="eastAsia" w:asciiTheme="minorEastAsia" w:hAnsiTheme="minorEastAsia" w:cstheme="minorEastAsia"/>
          <w:sz w:val="32"/>
          <w:szCs w:val="32"/>
        </w:rPr>
        <w:t>、</w:t>
      </w:r>
      <w:r>
        <w:rPr>
          <w:rFonts w:asciiTheme="minorEastAsia" w:hAnsiTheme="minorEastAsia" w:cstheme="minorEastAsia"/>
          <w:sz w:val="32"/>
          <w:szCs w:val="32"/>
        </w:rPr>
        <w:t>报废</w:t>
      </w:r>
      <w:r>
        <w:rPr>
          <w:rFonts w:hint="eastAsia" w:asciiTheme="minorEastAsia" w:hAnsiTheme="minorEastAsia" w:cstheme="minorEastAsia"/>
          <w:sz w:val="32"/>
          <w:szCs w:val="32"/>
        </w:rPr>
        <w:t>、</w:t>
      </w:r>
      <w:r>
        <w:rPr>
          <w:rFonts w:asciiTheme="minorEastAsia" w:hAnsiTheme="minorEastAsia" w:cstheme="minorEastAsia"/>
          <w:sz w:val="32"/>
          <w:szCs w:val="32"/>
        </w:rPr>
        <w:t>折旧等管理</w:t>
      </w:r>
      <w:r>
        <w:rPr>
          <w:rFonts w:hint="eastAsia" w:asciiTheme="minorEastAsia" w:hAnsiTheme="minorEastAsia" w:cstheme="minorEastAsia"/>
          <w:sz w:val="32"/>
          <w:szCs w:val="32"/>
        </w:rPr>
        <w:t>，</w:t>
      </w:r>
      <w:r>
        <w:rPr>
          <w:rFonts w:asciiTheme="minorEastAsia" w:hAnsiTheme="minorEastAsia" w:cstheme="minorEastAsia"/>
          <w:sz w:val="32"/>
          <w:szCs w:val="32"/>
        </w:rPr>
        <w:t>并自动生成总账凭证</w:t>
      </w:r>
      <w:r>
        <w:rPr>
          <w:rFonts w:hint="eastAsia" w:asciiTheme="minorEastAsia" w:hAnsiTheme="minorEastAsia" w:cstheme="minorEastAsia"/>
          <w:sz w:val="32"/>
          <w:szCs w:val="32"/>
        </w:rPr>
        <w:t>。在HRP固定资产管理系统中引入条码技术,在管理系统的支持下，对固定资产标签的制定、填写或打印、粘贴、资产状态的跟踪，盘点等工作方式进行改进，完美地解决了数量大，种类多，地点分散，人工录入信息错误等原有问题。通过条码接口和HRP系统的的对接轻松实现实实的数据采集传输，通过ERP系统的处理汇总资产的盘点结果。</w:t>
      </w:r>
    </w:p>
    <w:p>
      <w:pPr>
        <w:autoSpaceDE w:val="0"/>
        <w:autoSpaceDN w:val="0"/>
        <w:adjustRightInd w:val="0"/>
        <w:spacing w:line="360" w:lineRule="auto"/>
        <w:jc w:val="left"/>
        <w:rPr>
          <w:rFonts w:asciiTheme="minorEastAsia" w:hAnsiTheme="minorEastAsia" w:cstheme="minorEastAsia"/>
          <w:sz w:val="32"/>
          <w:szCs w:val="32"/>
        </w:rPr>
      </w:pPr>
      <w:r>
        <w:rPr>
          <w:rFonts w:hint="eastAsia" w:asciiTheme="minorEastAsia" w:hAnsiTheme="minorEastAsia" w:cstheme="minorEastAsia"/>
          <w:sz w:val="32"/>
          <w:szCs w:val="32"/>
        </w:rPr>
        <w:t>资产卡片系统提供卡片管理、资产折旧、资产盘点等功能。</w:t>
      </w:r>
    </w:p>
    <w:p>
      <w:pPr>
        <w:pStyle w:val="67"/>
        <w:numPr>
          <w:ilvl w:val="0"/>
          <w:numId w:val="8"/>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支持卡片样式及卡片项目自定义，可以满足不同用户的不同需求。</w:t>
      </w:r>
    </w:p>
    <w:p>
      <w:pPr>
        <w:pStyle w:val="67"/>
        <w:numPr>
          <w:ilvl w:val="0"/>
          <w:numId w:val="8"/>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系统提供附属设备信息管理；系统提供固定资产卡片批量变动及从其他账套引入的功能，极大地提高了卡片录入效率。</w:t>
      </w:r>
    </w:p>
    <w:p>
      <w:pPr>
        <w:pStyle w:val="67"/>
        <w:numPr>
          <w:ilvl w:val="0"/>
          <w:numId w:val="9"/>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系统可处理各种资产变动业务，包括原值变动、部门转移、使用状况变动、使用年限调整、折旧方法调整、净残值（率）调整、工作总量调整、累计折旧调整、资产类别调整、减值准备调整、增值税调整、院内原值变动、院内折旧方法调整、院内使用年限调整、院内期满折旧率调整等。</w:t>
      </w:r>
    </w:p>
    <w:p>
      <w:pPr>
        <w:pStyle w:val="67"/>
        <w:numPr>
          <w:ilvl w:val="0"/>
          <w:numId w:val="9"/>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支持新会计制度，增加资金来源页签。配备硬件（一台资产标签打印机、一台手持PDA移动扫码设备、标签纸、专用碳带）、手持PDA设备的软件安装调试。系统支持卡片批量打印和条码批量打印的功能。</w:t>
      </w:r>
    </w:p>
    <w:p>
      <w:pPr>
        <w:pStyle w:val="67"/>
        <w:numPr>
          <w:ilvl w:val="0"/>
          <w:numId w:val="10"/>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资产盘点主要是满足医院内部管理的需要，辅助医院快速生成盘点单，依据盘点结果做盘盈盘亏处理。</w:t>
      </w:r>
    </w:p>
    <w:p>
      <w:pPr>
        <w:pStyle w:val="67"/>
        <w:numPr>
          <w:ilvl w:val="0"/>
          <w:numId w:val="11"/>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“资产清查”主要是满足财政部门清查的要求，可以按财政要求的格式，生成医院资产数据，并提供了导出接口。</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资产折旧，系统同时满足两种折旧的计算“财务折旧”和“院内折旧”，提供平均年限法、工作量法、年数总和法、双倍余额递减法等多种计提算法。财务折旧符合医院新会计制度要求按资金来源进行处理，财务折旧的结果可以自动生成财务凭证；院内折旧可以按医院管理的需要灵活设置折旧方法。</w:t>
      </w:r>
    </w:p>
    <w:p>
      <w:pPr>
        <w:spacing w:line="360" w:lineRule="auto"/>
        <w:rPr>
          <w:rFonts w:asciiTheme="minorEastAsia" w:hAnsiTheme="minorEastAsia" w:cstheme="minorEastAsia"/>
          <w:b/>
          <w:sz w:val="32"/>
          <w:szCs w:val="32"/>
        </w:rPr>
      </w:pPr>
      <w:r>
        <w:rPr>
          <w:rFonts w:hint="eastAsia" w:asciiTheme="minorEastAsia" w:hAnsiTheme="minorEastAsia" w:cstheme="minorEastAsia"/>
          <w:b/>
          <w:sz w:val="32"/>
          <w:szCs w:val="32"/>
        </w:rPr>
        <w:t>2.3 薪资管理</w:t>
      </w:r>
    </w:p>
    <w:p>
      <w:pPr>
        <w:autoSpaceDE w:val="0"/>
        <w:autoSpaceDN w:val="0"/>
        <w:adjustRightInd w:val="0"/>
        <w:spacing w:line="360" w:lineRule="auto"/>
        <w:ind w:firstLine="640" w:firstLineChars="200"/>
        <w:jc w:val="left"/>
        <w:rPr>
          <w:rFonts w:asciiTheme="minorEastAsia" w:hAnsiTheme="minorEastAsia" w:cstheme="minorEastAsia"/>
          <w:sz w:val="32"/>
          <w:szCs w:val="32"/>
        </w:rPr>
      </w:pPr>
      <w:r>
        <w:rPr>
          <w:rFonts w:hint="eastAsia" w:asciiTheme="minorEastAsia" w:hAnsiTheme="minorEastAsia" w:cstheme="minorEastAsia"/>
          <w:sz w:val="32"/>
          <w:szCs w:val="32"/>
        </w:rPr>
        <w:t>薪资管理能适应多工资类别多次发放工资模式，可与总账对接生成工资凭证，可直接生成银行格式工资文件，提高工资处理效率，协助医院落实创新的工资管理制度与体系。</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支持新旧个税计算方式的衔接切换。</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支持医院多次薪资发放。</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支持员工基本工资与奖金发放至不同银行账户。</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支持员工所得税扣缴，银行代发。</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与总账系统无缝集成，自动生成总账工资凭证。</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凭证摘要可自由组合。</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支持薪资数据批量导入。</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支持员工工资分段计薪。</w:t>
      </w:r>
    </w:p>
    <w:p>
      <w:pPr>
        <w:pStyle w:val="67"/>
        <w:numPr>
          <w:ilvl w:val="0"/>
          <w:numId w:val="12"/>
        </w:numPr>
        <w:autoSpaceDE w:val="0"/>
        <w:autoSpaceDN w:val="0"/>
        <w:adjustRightInd w:val="0"/>
        <w:spacing w:line="360" w:lineRule="auto"/>
        <w:ind w:firstLineChars="0"/>
        <w:jc w:val="left"/>
        <w:rPr>
          <w:rFonts w:asciiTheme="minorEastAsia" w:hAnsiTheme="minorEastAsia" w:cstheme="minorEastAsia"/>
          <w:sz w:val="32"/>
          <w:szCs w:val="32"/>
        </w:rPr>
      </w:pPr>
      <w:r>
        <w:rPr>
          <w:rFonts w:hint="eastAsia" w:asciiTheme="minorEastAsia" w:hAnsiTheme="minorEastAsia" w:cstheme="minorEastAsia"/>
          <w:sz w:val="32"/>
          <w:szCs w:val="32"/>
        </w:rPr>
        <w:t>支持工资发放条打印隐藏无数据列。</w:t>
      </w:r>
    </w:p>
    <w:p>
      <w:pPr>
        <w:pStyle w:val="67"/>
        <w:autoSpaceDE w:val="0"/>
        <w:autoSpaceDN w:val="0"/>
        <w:adjustRightInd w:val="0"/>
        <w:spacing w:line="360" w:lineRule="auto"/>
        <w:ind w:left="420" w:firstLine="0" w:firstLineChars="0"/>
        <w:jc w:val="left"/>
        <w:rPr>
          <w:rFonts w:hint="eastAsia" w:asciiTheme="minorEastAsia" w:hAnsiTheme="minorEastAsia" w:cstheme="minorEastAsia"/>
          <w:sz w:val="32"/>
          <w:szCs w:val="32"/>
        </w:rPr>
      </w:pPr>
    </w:p>
    <w:p>
      <w:bookmarkStart w:id="39" w:name="_GoBack"/>
      <w:bookmarkEnd w:id="39"/>
    </w:p>
    <w:p/>
    <w:p>
      <w:pPr>
        <w:rPr>
          <w:rFonts w:hint="eastAsia"/>
          <w:lang w:eastAsia="zh-CN"/>
        </w:rPr>
      </w:pPr>
    </w:p>
    <w:p>
      <w:pPr>
        <w:rPr>
          <w:rFonts w:hint="eastAsia"/>
          <w:lang w:eastAsia="zh-CN"/>
        </w:rPr>
      </w:pPr>
    </w:p>
    <w:p>
      <w:pPr>
        <w:spacing w:line="360" w:lineRule="auto"/>
        <w:ind w:right="57"/>
        <w:rPr>
          <w:rFonts w:hint="eastAsia" w:ascii="宋体" w:hAnsi="宋体" w:cs="宋体"/>
          <w:b/>
          <w:sz w:val="24"/>
          <w:szCs w:val="24"/>
        </w:rPr>
      </w:pPr>
    </w:p>
    <w:p>
      <w:pPr>
        <w:spacing w:line="360" w:lineRule="auto"/>
        <w:ind w:right="57"/>
        <w:rPr>
          <w:rFonts w:ascii="宋体" w:hAnsi="宋体" w:cs="宋体"/>
          <w:b/>
          <w:sz w:val="24"/>
          <w:szCs w:val="24"/>
        </w:rPr>
      </w:pPr>
      <w:r>
        <w:rPr>
          <w:rFonts w:hint="eastAsia" w:ascii="宋体" w:hAnsi="宋体" w:cs="宋体"/>
          <w:b/>
          <w:sz w:val="24"/>
          <w:szCs w:val="24"/>
        </w:rPr>
        <w:t>2.服务需求一览表：</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2322"/>
        <w:gridCol w:w="3433"/>
        <w:gridCol w:w="1049"/>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707"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322"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1049"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117"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707" w:type="dxa"/>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322" w:type="dxa"/>
            <w:vAlign w:val="center"/>
          </w:tcPr>
          <w:p>
            <w:pPr>
              <w:widowControl/>
              <w:spacing w:line="360" w:lineRule="auto"/>
              <w:jc w:val="center"/>
              <w:rPr>
                <w:rFonts w:ascii="宋体" w:hAnsi="宋体"/>
                <w:kern w:val="0"/>
                <w:sz w:val="24"/>
                <w:szCs w:val="24"/>
              </w:rPr>
            </w:pP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r>
              <w:rPr>
                <w:rFonts w:ascii="宋体" w:hAnsi="宋体" w:cs="宋体"/>
                <w:sz w:val="24"/>
                <w:szCs w:val="24"/>
              </w:rPr>
              <w:t>1</w:t>
            </w:r>
          </w:p>
        </w:tc>
        <w:tc>
          <w:tcPr>
            <w:tcW w:w="1049" w:type="dxa"/>
            <w:vAlign w:val="center"/>
          </w:tcPr>
          <w:p>
            <w:pPr>
              <w:widowControl/>
              <w:spacing w:line="360" w:lineRule="auto"/>
              <w:jc w:val="center"/>
              <w:rPr>
                <w:rFonts w:ascii="宋体" w:hAnsi="宋体" w:cs="宋体"/>
                <w:kern w:val="0"/>
                <w:sz w:val="24"/>
                <w:szCs w:val="24"/>
              </w:rPr>
            </w:pPr>
          </w:p>
        </w:tc>
        <w:tc>
          <w:tcPr>
            <w:tcW w:w="1117" w:type="dxa"/>
            <w:vAlign w:val="center"/>
          </w:tcPr>
          <w:p>
            <w:pPr>
              <w:widowControl/>
              <w:spacing w:line="360" w:lineRule="auto"/>
              <w:jc w:val="center"/>
              <w:rPr>
                <w:rFonts w:ascii="宋体" w:hAnsi="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707" w:type="dxa"/>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2322" w:type="dxa"/>
            <w:vAlign w:val="center"/>
          </w:tcPr>
          <w:p>
            <w:pPr>
              <w:widowControl/>
              <w:spacing w:line="360" w:lineRule="auto"/>
              <w:jc w:val="center"/>
              <w:rPr>
                <w:rFonts w:ascii="宋体" w:hAnsi="宋体"/>
                <w:kern w:val="0"/>
                <w:sz w:val="24"/>
                <w:szCs w:val="24"/>
              </w:rPr>
            </w:pPr>
          </w:p>
        </w:tc>
        <w:tc>
          <w:tcPr>
            <w:tcW w:w="3433" w:type="dxa"/>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详见附表2</w:t>
            </w:r>
          </w:p>
        </w:tc>
        <w:tc>
          <w:tcPr>
            <w:tcW w:w="1049" w:type="dxa"/>
            <w:vAlign w:val="center"/>
          </w:tcPr>
          <w:p>
            <w:pPr>
              <w:widowControl/>
              <w:spacing w:line="360" w:lineRule="auto"/>
              <w:jc w:val="center"/>
              <w:rPr>
                <w:rFonts w:ascii="宋体" w:hAnsi="宋体"/>
                <w:kern w:val="0"/>
                <w:sz w:val="24"/>
                <w:szCs w:val="24"/>
              </w:rPr>
            </w:pPr>
          </w:p>
        </w:tc>
        <w:tc>
          <w:tcPr>
            <w:tcW w:w="1117" w:type="dxa"/>
            <w:vAlign w:val="center"/>
          </w:tcPr>
          <w:p>
            <w:pPr>
              <w:widowControl/>
              <w:spacing w:line="360" w:lineRule="auto"/>
              <w:ind w:firstLine="482" w:firstLineChars="201"/>
              <w:jc w:val="center"/>
              <w:rPr>
                <w:rFonts w:ascii="宋体" w:hAnsi="宋体"/>
                <w:kern w:val="0"/>
                <w:sz w:val="24"/>
                <w:szCs w:val="24"/>
              </w:rPr>
            </w:pPr>
          </w:p>
        </w:tc>
      </w:tr>
    </w:tbl>
    <w:p>
      <w:pPr>
        <w:spacing w:line="360" w:lineRule="auto"/>
        <w:rPr>
          <w:rFonts w:ascii="宋体" w:hAnsi="宋体" w:cs="宋体"/>
          <w:b/>
          <w:sz w:val="24"/>
          <w:szCs w:val="24"/>
        </w:rPr>
      </w:pPr>
      <w:r>
        <w:rPr>
          <w:rFonts w:hint="eastAsia" w:ascii="宋体" w:hAnsi="宋体" w:cs="宋体"/>
          <w:b/>
          <w:sz w:val="24"/>
          <w:szCs w:val="24"/>
        </w:rPr>
        <w:t>附表1</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406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15"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061"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4252" w:type="dxa"/>
            <w:vAlign w:val="center"/>
          </w:tcPr>
          <w:p>
            <w:pPr>
              <w:widowControl/>
              <w:spacing w:line="360" w:lineRule="auto"/>
              <w:rPr>
                <w:rFonts w:ascii="宋体" w:hAnsi="宋体" w:cs="宋体"/>
                <w:sz w:val="24"/>
                <w:szCs w:val="24"/>
              </w:rPr>
            </w:pPr>
            <w:r>
              <w:rPr>
                <w:rFonts w:hint="eastAsia" w:ascii="宋体" w:hAnsi="宋体" w:cs="宋体"/>
                <w:sz w:val="24"/>
                <w:szCs w:val="24"/>
              </w:rPr>
              <w:t>其他要求（如截图、演示要求等）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315"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315"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bl>
    <w:p>
      <w:pPr>
        <w:spacing w:line="360" w:lineRule="auto"/>
        <w:rPr>
          <w:rFonts w:ascii="宋体" w:hAnsi="宋体" w:cs="宋体"/>
          <w:b/>
          <w:sz w:val="24"/>
          <w:szCs w:val="24"/>
        </w:rPr>
      </w:pPr>
      <w:r>
        <w:rPr>
          <w:rFonts w:hint="eastAsia" w:ascii="宋体" w:hAnsi="宋体" w:cs="宋体"/>
          <w:b/>
          <w:sz w:val="24"/>
          <w:szCs w:val="24"/>
        </w:rPr>
        <w:t>附表2</w:t>
      </w:r>
      <w:r>
        <w:rPr>
          <w:rFonts w:hint="eastAsia" w:ascii="宋体" w:hAnsi="宋体" w:cs="宋体"/>
          <w:b/>
          <w:kern w:val="0"/>
          <w:sz w:val="24"/>
          <w:szCs w:val="24"/>
        </w:rPr>
        <w:t>服务要求及标准</w:t>
      </w:r>
      <w:r>
        <w:rPr>
          <w:rFonts w:hint="eastAsia" w:ascii="宋体" w:hAnsi="宋体" w:cs="宋体"/>
          <w:b/>
          <w:sz w:val="24"/>
          <w:szCs w:val="24"/>
        </w:rPr>
        <w:t>。</w:t>
      </w:r>
      <w:r>
        <w:rPr>
          <w:rFonts w:hint="eastAsia" w:ascii="宋体" w:hAnsi="宋体" w:cs="宋体"/>
          <w:b/>
          <w:kern w:val="0"/>
          <w:sz w:val="24"/>
          <w:szCs w:val="24"/>
        </w:rPr>
        <w:t>服务项目：</w:t>
      </w:r>
      <w:r>
        <w:rPr>
          <w:rFonts w:hint="eastAsia" w:ascii="宋体" w:hAnsi="宋体" w:cs="宋体"/>
          <w:b/>
          <w:kern w:val="0"/>
          <w:sz w:val="24"/>
          <w:szCs w:val="24"/>
          <w:u w:val="single"/>
        </w:rPr>
        <w:t xml:space="preserve">       </w:t>
      </w:r>
      <w:r>
        <w:rPr>
          <w:rFonts w:hint="eastAsia" w:ascii="宋体" w:hAnsi="宋体" w:cs="宋体"/>
          <w:b/>
          <w:kern w:val="0"/>
          <w:sz w:val="24"/>
          <w:szCs w:val="24"/>
        </w:rPr>
        <w:t>。</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4061"/>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315"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4061"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c>
          <w:tcPr>
            <w:tcW w:w="4252" w:type="dxa"/>
            <w:vAlign w:val="center"/>
          </w:tcPr>
          <w:p>
            <w:pPr>
              <w:widowControl/>
              <w:spacing w:line="360" w:lineRule="auto"/>
              <w:jc w:val="center"/>
              <w:rPr>
                <w:rFonts w:ascii="宋体" w:hAnsi="宋体" w:cs="宋体"/>
                <w:sz w:val="24"/>
                <w:szCs w:val="24"/>
              </w:rPr>
            </w:pPr>
            <w:r>
              <w:rPr>
                <w:rFonts w:hint="eastAsia" w:ascii="宋体" w:hAnsi="宋体" w:cs="宋体"/>
                <w:sz w:val="24"/>
                <w:szCs w:val="24"/>
              </w:rPr>
              <w:t>其他要求（如截图、演示要求等）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315" w:type="dxa"/>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315" w:type="dxa"/>
            <w:vAlign w:val="center"/>
          </w:tcPr>
          <w:p>
            <w:pPr>
              <w:widowControl/>
              <w:spacing w:line="360" w:lineRule="auto"/>
              <w:jc w:val="center"/>
              <w:rPr>
                <w:rFonts w:ascii="宋体" w:hAnsi="宋体"/>
                <w:kern w:val="0"/>
                <w:sz w:val="24"/>
                <w:szCs w:val="24"/>
                <w:lang w:bidi="lo-LA"/>
              </w:rPr>
            </w:pPr>
            <w:r>
              <w:rPr>
                <w:rFonts w:hint="eastAsia" w:ascii="宋体" w:hAnsi="宋体"/>
                <w:kern w:val="0"/>
                <w:sz w:val="24"/>
                <w:szCs w:val="24"/>
                <w:lang w:bidi="lo-LA"/>
              </w:rPr>
              <w:t>2</w:t>
            </w:r>
          </w:p>
        </w:tc>
        <w:tc>
          <w:tcPr>
            <w:tcW w:w="4061" w:type="dxa"/>
            <w:vAlign w:val="center"/>
          </w:tcPr>
          <w:p>
            <w:pPr>
              <w:widowControl/>
              <w:spacing w:line="360" w:lineRule="auto"/>
              <w:jc w:val="left"/>
              <w:rPr>
                <w:rFonts w:ascii="宋体" w:hAnsi="宋体" w:cs="宋体"/>
                <w:kern w:val="0"/>
                <w:sz w:val="24"/>
                <w:szCs w:val="24"/>
                <w:lang w:bidi="lo-LA"/>
              </w:rPr>
            </w:pPr>
          </w:p>
        </w:tc>
        <w:tc>
          <w:tcPr>
            <w:tcW w:w="4252" w:type="dxa"/>
            <w:vAlign w:val="center"/>
          </w:tcPr>
          <w:p>
            <w:pPr>
              <w:widowControl/>
              <w:spacing w:line="360" w:lineRule="auto"/>
              <w:jc w:val="left"/>
              <w:rPr>
                <w:rFonts w:ascii="宋体" w:hAnsi="宋体" w:cs="宋体"/>
                <w:kern w:val="0"/>
                <w:sz w:val="24"/>
                <w:szCs w:val="24"/>
                <w:lang w:bidi="lo-LA"/>
              </w:rPr>
            </w:pPr>
          </w:p>
        </w:tc>
      </w:tr>
    </w:tbl>
    <w:p>
      <w:pPr>
        <w:widowControl/>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2"/>
        <w:keepNext w:val="0"/>
        <w:keepLines w:val="0"/>
        <w:spacing w:line="360" w:lineRule="auto"/>
        <w:rPr>
          <w:rFonts w:ascii="宋体" w:hAnsi="宋体"/>
          <w:color w:val="000000"/>
          <w:sz w:val="24"/>
          <w:szCs w:val="24"/>
        </w:rPr>
      </w:pPr>
      <w:bookmarkStart w:id="19" w:name="_Toc497726802"/>
      <w:r>
        <w:rPr>
          <w:rFonts w:hint="eastAsia" w:ascii="宋体" w:hAnsi="宋体"/>
          <w:color w:val="000000"/>
          <w:sz w:val="24"/>
          <w:szCs w:val="24"/>
        </w:rPr>
        <w:t>第五章 供应商资格证明</w:t>
      </w:r>
      <w:bookmarkEnd w:id="19"/>
    </w:p>
    <w:p>
      <w:pPr>
        <w:spacing w:line="360" w:lineRule="auto"/>
        <w:ind w:firstLine="482" w:firstLineChars="200"/>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sz w:val="24"/>
          <w:szCs w:val="24"/>
        </w:rPr>
      </w:pPr>
      <w:r>
        <w:rPr>
          <w:rFonts w:ascii="宋体" w:hAnsi="宋体" w:cs="宋体"/>
          <w:sz w:val="24"/>
          <w:szCs w:val="24"/>
        </w:rPr>
        <w:t xml:space="preserve">1. </w:t>
      </w:r>
      <w:r>
        <w:rPr>
          <w:rFonts w:hint="eastAsia" w:ascii="宋体" w:hAnsi="宋体" w:cs="宋体"/>
          <w:sz w:val="24"/>
          <w:szCs w:val="24"/>
        </w:rPr>
        <w:t>法人营业执照副本（三证合一）；</w:t>
      </w:r>
    </w:p>
    <w:p>
      <w:pPr>
        <w:pStyle w:val="25"/>
        <w:adjustRightInd w:val="0"/>
        <w:snapToGrid w:val="0"/>
        <w:spacing w:line="360" w:lineRule="auto"/>
        <w:ind w:firstLine="482" w:firstLineChars="201"/>
        <w:rPr>
          <w:rFonts w:hAnsi="宋体"/>
          <w:spacing w:val="-4"/>
          <w:sz w:val="24"/>
          <w:szCs w:val="24"/>
        </w:rPr>
      </w:pPr>
      <w:r>
        <w:rPr>
          <w:rFonts w:hAnsi="宋体"/>
          <w:sz w:val="24"/>
          <w:szCs w:val="24"/>
        </w:rPr>
        <w:t>2</w:t>
      </w:r>
      <w:r>
        <w:rPr>
          <w:rFonts w:hint="eastAsia" w:hAnsi="宋体"/>
          <w:sz w:val="24"/>
          <w:szCs w:val="24"/>
        </w:rPr>
        <w:t>．委托代表投标时的法人代表授权书；</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．上一年度的财务状况报告，应附经会计师事务所出具的财务审计报告或其基本开户银行近一年出具的资信证明；</w:t>
      </w:r>
      <w:r>
        <w:rPr>
          <w:rFonts w:ascii="宋体" w:hAnsi="宋体" w:cs="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．投标企业近一年内任意一个月的依法缴纳税收证明（以税务机关提供的纳税凭证或银行入账单为准）；</w:t>
      </w:r>
    </w:p>
    <w:p>
      <w:pPr>
        <w:spacing w:line="360" w:lineRule="auto"/>
        <w:ind w:firstLine="482" w:firstLineChars="201"/>
        <w:rPr>
          <w:rFonts w:ascii="宋体" w:hAnsi="宋体"/>
          <w:color w:val="0000FF"/>
          <w:sz w:val="24"/>
          <w:szCs w:val="24"/>
        </w:rPr>
      </w:pPr>
      <w:r>
        <w:rPr>
          <w:rFonts w:ascii="宋体" w:hAnsi="宋体" w:cs="宋体"/>
          <w:sz w:val="24"/>
          <w:szCs w:val="24"/>
        </w:rPr>
        <w:t>5</w:t>
      </w:r>
      <w:r>
        <w:rPr>
          <w:rFonts w:hint="eastAsia" w:ascii="宋体" w:hAnsi="宋体" w:cs="宋体"/>
          <w:sz w:val="24"/>
          <w:szCs w:val="24"/>
        </w:rPr>
        <w:t>．投标企业近一年内任意一个月的为企业员工缴纳社保资金的凭证（以社保机构出具的缴纳纪录凭证或银行入账单为准）；</w:t>
      </w:r>
    </w:p>
    <w:p>
      <w:pPr>
        <w:autoSpaceDE w:val="0"/>
        <w:autoSpaceDN w:val="0"/>
        <w:adjustRightInd w:val="0"/>
        <w:snapToGrid w:val="0"/>
        <w:spacing w:line="360" w:lineRule="auto"/>
        <w:ind w:right="32" w:firstLine="482" w:firstLineChars="201"/>
        <w:rPr>
          <w:rFonts w:ascii="宋体" w:hAnsi="宋体" w:cs="宋体"/>
          <w:kern w:val="0"/>
          <w:sz w:val="24"/>
          <w:szCs w:val="24"/>
        </w:rPr>
      </w:pPr>
      <w:r>
        <w:rPr>
          <w:rFonts w:ascii="宋体" w:hAnsi="宋体" w:cs="宋体"/>
          <w:sz w:val="24"/>
          <w:szCs w:val="24"/>
        </w:rPr>
        <w:t>6</w:t>
      </w:r>
      <w:r>
        <w:rPr>
          <w:rFonts w:hint="eastAsia" w:ascii="宋体" w:hAnsi="宋体" w:cs="宋体"/>
          <w:sz w:val="24"/>
          <w:szCs w:val="24"/>
        </w:rPr>
        <w:t>．投标企业参加政府采购前</w:t>
      </w:r>
      <w:r>
        <w:rPr>
          <w:rFonts w:hint="eastAsia" w:ascii="宋体" w:hAnsi="宋体" w:cs="宋体"/>
          <w:kern w:val="0"/>
          <w:sz w:val="24"/>
          <w:szCs w:val="24"/>
        </w:rPr>
        <w:t>三年内在经营活动中没有重大违法记录书面声明；</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w:t>
      </w:r>
      <w:r>
        <w:rPr>
          <w:rFonts w:hint="eastAsia" w:ascii="宋体" w:hAnsi="宋体" w:cs="宋体"/>
          <w:sz w:val="24"/>
          <w:szCs w:val="24"/>
        </w:rPr>
        <w:t xml:space="preserve"> </w:t>
      </w:r>
      <w:r>
        <w:rPr>
          <w:rFonts w:hint="eastAsia" w:ascii="宋体" w:hAnsi="宋体"/>
          <w:sz w:val="24"/>
          <w:szCs w:val="24"/>
        </w:rPr>
        <w:t xml:space="preserve"> 单一来源文件对供应商的其他资格要求。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以上文件除要求提供“原件”以外，均应在响应文件中提供复印件并加盖供应商公章，未提供或提供的文件过期、失效的，均为无效投标。</w:t>
      </w:r>
    </w:p>
    <w:p>
      <w:pPr>
        <w:spacing w:line="360" w:lineRule="auto"/>
        <w:ind w:firstLine="482" w:firstLineChars="201"/>
        <w:rPr>
          <w:rFonts w:ascii="宋体" w:hAnsi="宋体"/>
          <w:sz w:val="24"/>
          <w:szCs w:val="24"/>
        </w:rPr>
      </w:pPr>
      <w:r>
        <w:rPr>
          <w:rFonts w:ascii="宋体" w:hAnsi="宋体"/>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20" w:name="_Toc497726803"/>
      <w:r>
        <w:rPr>
          <w:rFonts w:hint="eastAsia" w:ascii="宋体" w:hAnsi="宋体"/>
          <w:color w:val="000000"/>
          <w:sz w:val="24"/>
          <w:szCs w:val="24"/>
        </w:rPr>
        <w:t>第</w:t>
      </w:r>
      <w:r>
        <w:rPr>
          <w:rFonts w:hint="eastAsia" w:ascii="宋体" w:hAnsi="宋体"/>
          <w:color w:val="000000"/>
          <w:sz w:val="24"/>
          <w:szCs w:val="24"/>
          <w:lang w:eastAsia="zh-CN"/>
        </w:rPr>
        <w:t>六</w:t>
      </w:r>
      <w:r>
        <w:rPr>
          <w:rFonts w:hint="eastAsia" w:ascii="宋体" w:hAnsi="宋体"/>
          <w:color w:val="000000"/>
          <w:sz w:val="24"/>
          <w:szCs w:val="24"/>
        </w:rPr>
        <w:t>章</w:t>
      </w:r>
      <w:r>
        <w:rPr>
          <w:rFonts w:hint="eastAsia" w:ascii="宋体" w:hAnsi="宋体"/>
          <w:color w:val="000000"/>
          <w:sz w:val="24"/>
          <w:szCs w:val="24"/>
          <w:lang w:eastAsia="zh-CN"/>
        </w:rPr>
        <w:t xml:space="preserve"> </w:t>
      </w:r>
      <w:r>
        <w:rPr>
          <w:rFonts w:hint="eastAsia" w:ascii="宋体" w:hAnsi="宋体"/>
          <w:sz w:val="24"/>
          <w:szCs w:val="24"/>
        </w:rPr>
        <w:t>单一来源程序及方法</w:t>
      </w:r>
      <w:bookmarkEnd w:id="10"/>
      <w:bookmarkEnd w:id="20"/>
    </w:p>
    <w:p>
      <w:pPr>
        <w:spacing w:after="120" w:line="360" w:lineRule="auto"/>
        <w:ind w:firstLine="446" w:firstLineChars="186"/>
        <w:rPr>
          <w:rFonts w:ascii="宋体" w:hAnsi="宋体"/>
          <w:kern w:val="0"/>
          <w:sz w:val="24"/>
          <w:szCs w:val="24"/>
        </w:rPr>
      </w:pPr>
      <w:bookmarkStart w:id="21" w:name="_Toc355703360"/>
      <w:bookmarkStart w:id="22" w:name="_Toc355703243"/>
      <w:bookmarkStart w:id="23" w:name="_Toc257983096"/>
      <w:r>
        <w:rPr>
          <w:rFonts w:hint="eastAsia" w:ascii="宋体" w:hAnsi="宋体"/>
          <w:kern w:val="0"/>
          <w:sz w:val="24"/>
          <w:szCs w:val="24"/>
        </w:rPr>
        <w:t>一.单一来源</w:t>
      </w:r>
      <w:bookmarkEnd w:id="21"/>
      <w:bookmarkEnd w:id="22"/>
      <w:bookmarkEnd w:id="23"/>
      <w:r>
        <w:rPr>
          <w:rFonts w:hint="eastAsia" w:ascii="宋体" w:hAnsi="宋体"/>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单一来源</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w:t>
      </w:r>
      <w:r>
        <w:rPr>
          <w:rFonts w:ascii="宋体" w:hAnsi="宋体"/>
          <w:kern w:val="0"/>
          <w:sz w:val="24"/>
          <w:szCs w:val="24"/>
        </w:rPr>
        <w:t>进行审查，以确定</w:t>
      </w:r>
      <w:r>
        <w:rPr>
          <w:rFonts w:hint="eastAsia" w:ascii="宋体" w:hAnsi="宋体"/>
          <w:kern w:val="0"/>
          <w:sz w:val="24"/>
          <w:szCs w:val="24"/>
        </w:rPr>
        <w:t>供应商是否具备商定资格</w:t>
      </w:r>
      <w:r>
        <w:rPr>
          <w:rFonts w:ascii="宋体" w:hAnsi="宋体"/>
          <w:kern w:val="0"/>
          <w:sz w:val="24"/>
          <w:szCs w:val="24"/>
        </w:rPr>
        <w:t>。</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2.第二阶段：商定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（2）商定双方进行价格及质量商定。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3.第三阶段：最终报价</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供应商按照采购要求和商定内容的承诺将最后报价填写至《最终报价表》（该表在单一来源过程中由工作人员发放），并在规定的时间内递交至单一来源采购人员或</w:t>
      </w:r>
      <w:r>
        <w:rPr>
          <w:rFonts w:hint="eastAsia" w:ascii="宋体" w:hAnsi="宋体"/>
          <w:kern w:val="0"/>
          <w:sz w:val="24"/>
          <w:szCs w:val="24"/>
          <w:lang w:eastAsia="zh-CN"/>
        </w:rPr>
        <w:t>交易中心</w:t>
      </w:r>
      <w:r>
        <w:rPr>
          <w:rFonts w:hint="eastAsia" w:ascii="宋体" w:hAnsi="宋体"/>
          <w:kern w:val="0"/>
          <w:sz w:val="24"/>
          <w:szCs w:val="24"/>
        </w:rPr>
        <w:t>。</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二.确定成交供应商</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通过商定，最终确定成交价格，并由单一来源采购人员编写协商情况记录。</w:t>
      </w: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三．评审表：</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04</w:t>
            </w:r>
            <w:r>
              <w:rPr>
                <w:rFonts w:hint="eastAsia" w:ascii="宋体" w:hAnsi="宋体"/>
                <w:sz w:val="24"/>
                <w:szCs w:val="24"/>
              </w:rPr>
              <w:t>月至开标当日的任意一个月缴纳税</w:t>
            </w:r>
            <w:r>
              <w:rPr>
                <w:rFonts w:hint="eastAsia" w:ascii="宋体" w:hAnsi="宋体"/>
                <w:sz w:val="24"/>
                <w:szCs w:val="24"/>
                <w:lang w:eastAsia="zh-CN"/>
              </w:rPr>
              <w:t>款</w:t>
            </w:r>
            <w:r>
              <w:rPr>
                <w:rFonts w:hint="eastAsia" w:ascii="宋体" w:hAnsi="宋体"/>
                <w:sz w:val="24"/>
                <w:szCs w:val="24"/>
              </w:rPr>
              <w:t>的凭据。</w:t>
            </w:r>
          </w:p>
          <w:p>
            <w:pPr>
              <w:jc w:val="left"/>
              <w:rPr>
                <w:rFonts w:ascii="宋体" w:hAnsi="宋体"/>
                <w:sz w:val="24"/>
                <w:szCs w:val="24"/>
              </w:rPr>
            </w:pPr>
            <w:r>
              <w:rPr>
                <w:rFonts w:hint="eastAsia" w:ascii="宋体" w:hAnsi="宋体"/>
                <w:sz w:val="24"/>
                <w:szCs w:val="24"/>
              </w:rPr>
              <w:t>2.20</w:t>
            </w:r>
            <w:r>
              <w:rPr>
                <w:rFonts w:hint="eastAsia" w:ascii="宋体" w:hAnsi="宋体"/>
                <w:sz w:val="24"/>
                <w:szCs w:val="24"/>
                <w:lang w:val="en-US" w:eastAsia="zh-CN"/>
              </w:rPr>
              <w:t>18</w:t>
            </w:r>
            <w:r>
              <w:rPr>
                <w:rFonts w:hint="eastAsia" w:ascii="宋体" w:hAnsi="宋体"/>
                <w:sz w:val="24"/>
                <w:szCs w:val="24"/>
              </w:rPr>
              <w:t>年</w:t>
            </w:r>
            <w:r>
              <w:rPr>
                <w:rFonts w:hint="eastAsia" w:ascii="宋体" w:hAnsi="宋体"/>
                <w:sz w:val="24"/>
                <w:szCs w:val="24"/>
                <w:lang w:val="en-US" w:eastAsia="zh-CN"/>
              </w:rPr>
              <w:t>04</w:t>
            </w:r>
            <w:r>
              <w:rPr>
                <w:rFonts w:hint="eastAsia" w:ascii="宋体" w:hAnsi="宋体"/>
                <w:sz w:val="24"/>
                <w:szCs w:val="24"/>
              </w:rPr>
              <w:t>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w:t>
            </w:r>
            <w:r>
              <w:rPr>
                <w:rFonts w:hint="eastAsia" w:ascii="宋体" w:hAnsi="宋体"/>
                <w:sz w:val="24"/>
                <w:szCs w:val="24"/>
                <w:lang w:val="en-US" w:eastAsia="zh-CN"/>
              </w:rPr>
              <w:t>15</w:t>
            </w:r>
            <w:r>
              <w:rPr>
                <w:rFonts w:hint="eastAsia" w:ascii="宋体" w:hAnsi="宋体"/>
                <w:sz w:val="24"/>
                <w:szCs w:val="24"/>
              </w:rPr>
              <w:t xml:space="preserve"> 年至20</w:t>
            </w:r>
            <w:r>
              <w:rPr>
                <w:rFonts w:hint="eastAsia" w:ascii="宋体" w:hAnsi="宋体"/>
                <w:sz w:val="24"/>
                <w:szCs w:val="24"/>
                <w:lang w:val="en-US" w:eastAsia="zh-CN"/>
              </w:rPr>
              <w:t>17</w:t>
            </w:r>
            <w:r>
              <w:rPr>
                <w:rFonts w:hint="eastAsia" w:ascii="宋体" w:hAnsi="宋体"/>
                <w:sz w:val="24"/>
                <w:szCs w:val="24"/>
              </w:rPr>
              <w:t>年）供应商书面声明函；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供应商名称</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与单一来源公示中供应商名称一致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 w:val="24"/>
                <w:szCs w:val="24"/>
              </w:rPr>
            </w:pPr>
            <w:r>
              <w:rPr>
                <w:rFonts w:hint="eastAsia" w:ascii="宋体" w:hAnsi="宋体"/>
                <w:color w:val="000000"/>
                <w:sz w:val="24"/>
                <w:szCs w:val="24"/>
              </w:rPr>
              <w:t>法律法规规定的其它投标无效条款。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符合单一来源文件要求。（格式、填写要求、签署、盖章、委托人身份等）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符合单一来源文件要求。（格式、填写要求、签署、盖章等）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投标文件规范性、符合性</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投标文件的编制、密封、装订、签署、盖章、涂改、删除、插字、公章使用等符合单一来源文件要求；投标文件的格式、文字、目录、页码等符合单一来源文件要求或对投标无实质性影响。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满足单一来源文件关于</w:t>
            </w:r>
            <w:r>
              <w:rPr>
                <w:rFonts w:hint="eastAsia" w:ascii="宋体" w:hAnsi="宋体"/>
                <w:sz w:val="24"/>
                <w:szCs w:val="24"/>
                <w:lang w:eastAsia="zh-CN"/>
              </w:rPr>
              <w:t>维修时间</w:t>
            </w:r>
            <w:r>
              <w:rPr>
                <w:rFonts w:hint="eastAsia" w:ascii="宋体" w:hAnsi="宋体"/>
                <w:sz w:val="24"/>
                <w:szCs w:val="24"/>
              </w:rPr>
              <w:t>、付款方式要求。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bl>
    <w:p>
      <w:pPr>
        <w:spacing w:line="360" w:lineRule="auto"/>
        <w:rPr>
          <w:rFonts w:ascii="宋体" w:hAnsi="宋体"/>
          <w:b/>
          <w:sz w:val="24"/>
          <w:szCs w:val="24"/>
        </w:rPr>
      </w:pPr>
      <w:r>
        <w:rPr>
          <w:rFonts w:ascii="宋体" w:hAnsi="宋体"/>
          <w:b/>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24" w:name="_Toc497726804"/>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11"/>
      <w:bookmarkEnd w:id="24"/>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供应商提供响应文件应当按照以下格式急要求进行编制，且应不少于以下内容。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宋体"/>
          <w:sz w:val="24"/>
          <w:szCs w:val="24"/>
        </w:rPr>
      </w:pPr>
      <w:r>
        <w:rPr>
          <w:rFonts w:hint="eastAsia" w:ascii="宋体" w:hAnsi="宋体" w:cs="宋体"/>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5" w:name="_Toc482026546"/>
    </w:p>
    <w:bookmarkEnd w:id="25"/>
    <w:p>
      <w:pPr>
        <w:spacing w:line="360" w:lineRule="auto"/>
        <w:rPr>
          <w:rFonts w:ascii="宋体" w:hAnsi="宋体" w:cs="宋体"/>
          <w:sz w:val="24"/>
          <w:szCs w:val="24"/>
        </w:rPr>
      </w:pPr>
      <w:bookmarkStart w:id="26" w:name="_Toc482196940"/>
      <w:r>
        <w:rPr>
          <w:rFonts w:ascii="宋体" w:hAnsi="宋体" w:cs="宋体"/>
          <w:sz w:val="24"/>
          <w:szCs w:val="24"/>
        </w:rPr>
        <w:br w:type="page"/>
      </w:r>
    </w:p>
    <w:bookmarkEnd w:id="26"/>
    <w:p>
      <w:pPr>
        <w:spacing w:line="360" w:lineRule="auto"/>
        <w:rPr>
          <w:rFonts w:ascii="宋体" w:hAnsi="宋体" w:cs="宋体"/>
          <w:sz w:val="24"/>
          <w:szCs w:val="24"/>
        </w:rPr>
      </w:pPr>
      <w:r>
        <w:rPr>
          <w:rFonts w:hint="eastAsia" w:ascii="宋体" w:hAnsi="宋体" w:cs="宋体"/>
          <w:sz w:val="24"/>
          <w:szCs w:val="24"/>
        </w:rPr>
        <w:t>格式二：</w:t>
      </w:r>
    </w:p>
    <w:p>
      <w:pPr>
        <w:spacing w:line="360" w:lineRule="auto"/>
        <w:jc w:val="center"/>
        <w:rPr>
          <w:rFonts w:ascii="宋体" w:hAnsi="宋体" w:cs="宋体"/>
          <w:sz w:val="24"/>
          <w:szCs w:val="24"/>
        </w:rPr>
      </w:pPr>
      <w:r>
        <w:rPr>
          <w:rFonts w:hint="eastAsia" w:ascii="宋体" w:hAnsi="宋体" w:cs="宋体"/>
          <w:sz w:val="24"/>
          <w:szCs w:val="24"/>
        </w:rPr>
        <w:t>投标文件目录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三. 法定代表人身份证明………………………………………………… （ ）</w:t>
      </w:r>
    </w:p>
    <w:p>
      <w:pPr>
        <w:spacing w:line="360" w:lineRule="auto"/>
        <w:rPr>
          <w:rFonts w:ascii="宋体" w:hAnsi="宋体" w:cs="宋体"/>
          <w:sz w:val="24"/>
          <w:szCs w:val="24"/>
        </w:rPr>
      </w:pPr>
      <w:r>
        <w:rPr>
          <w:rFonts w:hint="eastAsia" w:ascii="宋体" w:hAnsi="宋体" w:cs="宋体"/>
          <w:sz w:val="24"/>
          <w:szCs w:val="24"/>
        </w:rPr>
        <w:t>四. 授权委托人身份证明</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 ）</w:t>
      </w:r>
    </w:p>
    <w:p>
      <w:pPr>
        <w:spacing w:line="360" w:lineRule="auto"/>
        <w:rPr>
          <w:rFonts w:ascii="宋体" w:hAnsi="宋体" w:cs="宋体"/>
          <w:sz w:val="24"/>
          <w:szCs w:val="24"/>
        </w:rPr>
      </w:pPr>
      <w:r>
        <w:rPr>
          <w:rFonts w:hint="eastAsia" w:ascii="宋体" w:hAnsi="宋体" w:cs="宋体"/>
          <w:sz w:val="24"/>
          <w:szCs w:val="24"/>
        </w:rPr>
        <w:t>五. 授权委托书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六．本项目服务人员简表………………………………………………… （ ）</w:t>
      </w:r>
    </w:p>
    <w:p>
      <w:pPr>
        <w:spacing w:line="360" w:lineRule="auto"/>
        <w:rPr>
          <w:rFonts w:ascii="宋体" w:hAnsi="宋体"/>
          <w:color w:val="000000"/>
          <w:sz w:val="24"/>
          <w:szCs w:val="24"/>
        </w:rPr>
      </w:pPr>
      <w:r>
        <w:rPr>
          <w:rFonts w:hint="eastAsia" w:ascii="宋体" w:hAnsi="宋体"/>
          <w:color w:val="000000"/>
          <w:sz w:val="24"/>
          <w:szCs w:val="24"/>
        </w:rPr>
        <w:t>七.分项报价明细表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color w:val="000000"/>
          <w:sz w:val="24"/>
          <w:szCs w:val="24"/>
        </w:rPr>
      </w:pPr>
      <w:r>
        <w:rPr>
          <w:rFonts w:hint="eastAsia" w:ascii="宋体" w:hAnsi="宋体"/>
          <w:color w:val="000000"/>
          <w:sz w:val="24"/>
          <w:szCs w:val="24"/>
        </w:rPr>
        <w:t>八.服务需求响应表………………………………………………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九.项目服务方案………………………………………………</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s="宋体"/>
          <w:sz w:val="24"/>
          <w:szCs w:val="24"/>
        </w:rPr>
      </w:pPr>
      <w:r>
        <w:rPr>
          <w:rFonts w:hint="eastAsia" w:ascii="宋体" w:hAnsi="宋体"/>
          <w:color w:val="000000"/>
          <w:sz w:val="24"/>
          <w:szCs w:val="24"/>
        </w:rPr>
        <w:t>十.商务规格响应表…………………………………………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十一. 上一年度财务会计制度… </w:t>
      </w:r>
      <w:r>
        <w:rPr>
          <w:rFonts w:ascii="宋体" w:hAnsi="宋体" w:cs="宋体"/>
          <w:sz w:val="24"/>
          <w:szCs w:val="24"/>
        </w:rPr>
        <w:t>…………………………………………</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十二. 缴纳增值税、营业税或企业所得税的凭据</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十三. 缴纳社会保险的凭据……………………………………………… （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十四.参加政府采购前三年内在经营活动中无重大违法记录书面声明</w:t>
      </w:r>
      <w:r>
        <w:rPr>
          <w:rFonts w:ascii="宋体" w:hAnsi="宋体" w:cs="宋体"/>
          <w:sz w:val="24"/>
          <w:szCs w:val="24"/>
        </w:rPr>
        <w:t>…</w:t>
      </w:r>
      <w:r>
        <w:rPr>
          <w:rFonts w:hint="eastAsia" w:ascii="宋体" w:hAnsi="宋体" w:cs="宋体"/>
          <w:sz w:val="24"/>
          <w:szCs w:val="24"/>
        </w:rPr>
        <w:t>（ ）</w:t>
      </w:r>
    </w:p>
    <w:p>
      <w:pPr>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eastAsia="zh-CN"/>
        </w:rPr>
        <w:t>五</w:t>
      </w:r>
      <w:r>
        <w:rPr>
          <w:rFonts w:hint="eastAsia" w:ascii="宋体" w:hAnsi="宋体" w:cs="宋体"/>
          <w:sz w:val="24"/>
          <w:szCs w:val="24"/>
        </w:rPr>
        <w:t>.各类证明材料…………………………………………………</w:t>
      </w:r>
      <w:r>
        <w:rPr>
          <w:rFonts w:ascii="宋体" w:hAnsi="宋体" w:cs="宋体"/>
          <w:sz w:val="24"/>
          <w:szCs w:val="24"/>
        </w:rPr>
        <w:t>……</w:t>
      </w:r>
      <w:r>
        <w:rPr>
          <w:rFonts w:hint="eastAsia" w:ascii="宋体" w:hAnsi="宋体" w:cs="宋体"/>
          <w:sz w:val="24"/>
          <w:szCs w:val="24"/>
        </w:rPr>
        <w:t xml:space="preserve">  （ ）</w:t>
      </w:r>
    </w:p>
    <w:p>
      <w:pPr>
        <w:pStyle w:val="3"/>
        <w:keepNext w:val="0"/>
        <w:keepLines w:val="0"/>
        <w:spacing w:line="360" w:lineRule="auto"/>
        <w:jc w:val="left"/>
        <w:rPr>
          <w:rFonts w:ascii="宋体" w:hAnsi="宋体" w:eastAsia="宋体"/>
          <w:color w:val="000000"/>
          <w:sz w:val="24"/>
          <w:szCs w:val="24"/>
          <w:lang w:eastAsia="zh-CN"/>
        </w:rPr>
      </w:pPr>
      <w:bookmarkStart w:id="27" w:name="_Toc482026547"/>
      <w:r>
        <w:rPr>
          <w:rFonts w:ascii="宋体" w:hAnsi="宋体" w:eastAsia="宋体"/>
          <w:color w:val="000000"/>
          <w:sz w:val="24"/>
          <w:szCs w:val="24"/>
          <w:lang w:eastAsia="zh-CN"/>
        </w:rPr>
        <w:br w:type="page"/>
      </w:r>
      <w:bookmarkEnd w:id="27"/>
    </w:p>
    <w:p>
      <w:pPr>
        <w:spacing w:line="360" w:lineRule="auto"/>
        <w:rPr>
          <w:rFonts w:ascii="宋体" w:hAnsi="宋体"/>
          <w:bCs/>
          <w:sz w:val="24"/>
          <w:szCs w:val="24"/>
        </w:rPr>
      </w:pPr>
      <w:r>
        <w:rPr>
          <w:rFonts w:hint="eastAsia" w:ascii="宋体" w:hAnsi="宋体"/>
          <w:bCs/>
          <w:sz w:val="24"/>
          <w:szCs w:val="24"/>
        </w:rPr>
        <w:t>格式三：</w:t>
      </w:r>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lang w:eastAsia="zh-CN"/>
        </w:rPr>
        <w:t>（采购单位名称）</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）单一来源文件要求，经我方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kern w:val="0"/>
          <w:sz w:val="24"/>
          <w:szCs w:val="24"/>
        </w:rPr>
        <w:t xml:space="preserve">6. </w:t>
      </w:r>
      <w:r>
        <w:rPr>
          <w:rFonts w:hint="eastAsia" w:ascii="宋体" w:hAnsi="宋体"/>
          <w:color w:val="000000"/>
          <w:kern w:val="0"/>
          <w:sz w:val="24"/>
          <w:szCs w:val="24"/>
        </w:rPr>
        <w:t>我单位如果出现违法违规情况，愿意承担取消中标资格、接受有关监督部门处罚等后果。</w:t>
      </w:r>
    </w:p>
    <w:p>
      <w:pPr>
        <w:spacing w:line="360" w:lineRule="auto"/>
        <w:ind w:firstLine="528" w:firstLineChars="220"/>
        <w:rPr>
          <w:rFonts w:ascii="宋体" w:hAnsi="宋体"/>
          <w:color w:val="000000"/>
          <w:kern w:val="0"/>
          <w:sz w:val="24"/>
          <w:szCs w:val="24"/>
        </w:rPr>
      </w:pPr>
    </w:p>
    <w:p>
      <w:pPr>
        <w:spacing w:line="360" w:lineRule="auto"/>
        <w:ind w:firstLine="528" w:firstLineChars="220"/>
        <w:rPr>
          <w:rFonts w:ascii="宋体" w:hAnsi="宋体"/>
          <w:color w:val="000000"/>
          <w:kern w:val="0"/>
          <w:sz w:val="24"/>
          <w:szCs w:val="24"/>
        </w:rPr>
      </w:pPr>
    </w:p>
    <w:p>
      <w:pPr>
        <w:spacing w:line="360" w:lineRule="auto"/>
        <w:ind w:firstLine="768" w:firstLineChars="32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 xml:space="preserve">供应商法人签字：            </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adjustRightInd w:val="0"/>
        <w:snapToGrid w:val="0"/>
        <w:spacing w:line="360" w:lineRule="auto"/>
        <w:rPr>
          <w:rFonts w:ascii="宋体" w:hAnsi="宋体"/>
          <w:sz w:val="24"/>
          <w:szCs w:val="24"/>
        </w:rPr>
      </w:pPr>
      <w:r>
        <w:rPr>
          <w:rFonts w:hint="eastAsia" w:ascii="宋体" w:hAnsi="宋体"/>
          <w:sz w:val="24"/>
          <w:szCs w:val="24"/>
        </w:rPr>
        <w:t>格式四：</w:t>
      </w:r>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25"/>
        <w:spacing w:line="360" w:lineRule="auto"/>
        <w:ind w:left="57" w:right="57" w:firstLine="57"/>
        <w:rPr>
          <w:rFonts w:hAnsi="宋体"/>
          <w:bCs/>
          <w:sz w:val="24"/>
          <w:szCs w:val="24"/>
        </w:rPr>
      </w:pPr>
    </w:p>
    <w:p>
      <w:pPr>
        <w:pStyle w:val="25"/>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50"/>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494"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28"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28" w:type="dxa"/>
            <w:vMerge w:val="restart"/>
            <w:vAlign w:val="center"/>
          </w:tcPr>
          <w:p>
            <w:pPr>
              <w:spacing w:line="360" w:lineRule="auto"/>
              <w:ind w:left="57" w:right="57" w:firstLine="57"/>
              <w:jc w:val="center"/>
              <w:outlineLvl w:val="0"/>
              <w:rPr>
                <w:rFonts w:ascii="宋体" w:hAnsi="宋体"/>
                <w:sz w:val="24"/>
                <w:szCs w:val="24"/>
              </w:rPr>
            </w:pPr>
            <w:bookmarkStart w:id="28" w:name="_Toc497726805"/>
            <w:r>
              <w:rPr>
                <w:rFonts w:hint="eastAsia" w:ascii="宋体" w:hAnsi="宋体"/>
                <w:sz w:val="24"/>
                <w:szCs w:val="24"/>
              </w:rPr>
              <w:t>合同生效后至</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28"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4920" w:firstLineChars="2050"/>
        <w:rPr>
          <w:rFonts w:asciiTheme="minorEastAsia" w:hAnsiTheme="minorEastAsia" w:eastAsiaTheme="minorEastAsia"/>
          <w:sz w:val="24"/>
          <w:szCs w:val="24"/>
        </w:rPr>
      </w:pPr>
    </w:p>
    <w:tbl>
      <w:tblPr>
        <w:tblStyle w:val="5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sz w:val="24"/>
          <w:szCs w:val="24"/>
        </w:rPr>
        <w:t xml:space="preserve">格式六： </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5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bookmarkStart w:id="29" w:name="_Toc496001220"/>
      <w:r>
        <w:rPr>
          <w:rFonts w:hint="eastAsia" w:asciiTheme="minorEastAsia" w:hAnsiTheme="minorEastAsia" w:eastAsiaTheme="minorEastAsia"/>
          <w:sz w:val="24"/>
          <w:szCs w:val="24"/>
        </w:rPr>
        <w:t>格式七</w:t>
      </w:r>
      <w:bookmarkEnd w:id="29"/>
      <w:r>
        <w:rPr>
          <w:rFonts w:hint="eastAsia" w:asciiTheme="minorEastAsia" w:hAnsiTheme="minorEastAsia" w:eastAsiaTheme="minorEastAsia"/>
          <w:sz w:val="24"/>
          <w:szCs w:val="24"/>
        </w:rPr>
        <w:t>：</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5"/>
        <w:spacing w:line="360" w:lineRule="auto"/>
        <w:ind w:right="57"/>
        <w:jc w:val="center"/>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pStyle w:val="25"/>
        <w:spacing w:line="360" w:lineRule="auto"/>
        <w:ind w:right="57"/>
        <w:jc w:val="center"/>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格式八：</w:t>
      </w:r>
    </w:p>
    <w:p>
      <w:pPr>
        <w:jc w:val="center"/>
        <w:rPr>
          <w:sz w:val="24"/>
          <w:szCs w:val="24"/>
          <w:lang w:val="zh-CN"/>
        </w:rPr>
      </w:pPr>
      <w:r>
        <w:rPr>
          <w:rFonts w:hint="eastAsia"/>
          <w:sz w:val="24"/>
          <w:szCs w:val="24"/>
          <w:lang w:val="zh-CN"/>
        </w:rPr>
        <w:t>本项目服务人员简表</w:t>
      </w:r>
    </w:p>
    <w:tbl>
      <w:tblPr>
        <w:tblStyle w:val="51"/>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708"/>
        <w:gridCol w:w="899"/>
        <w:gridCol w:w="802"/>
        <w:gridCol w:w="1418"/>
        <w:gridCol w:w="141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708" w:type="dxa"/>
            <w:vAlign w:val="center"/>
          </w:tcPr>
          <w:p>
            <w:pPr>
              <w:jc w:val="center"/>
              <w:rPr>
                <w:sz w:val="24"/>
                <w:szCs w:val="24"/>
                <w:lang w:val="zh-CN"/>
              </w:rPr>
            </w:pPr>
            <w:r>
              <w:rPr>
                <w:rFonts w:hint="eastAsia"/>
                <w:sz w:val="24"/>
                <w:szCs w:val="24"/>
                <w:lang w:val="zh-CN"/>
              </w:rPr>
              <w:t>职称</w:t>
            </w:r>
          </w:p>
        </w:tc>
        <w:tc>
          <w:tcPr>
            <w:tcW w:w="899" w:type="dxa"/>
            <w:vAlign w:val="center"/>
          </w:tcPr>
          <w:p>
            <w:pPr>
              <w:jc w:val="center"/>
              <w:rPr>
                <w:sz w:val="24"/>
                <w:szCs w:val="24"/>
                <w:lang w:val="zh-CN"/>
              </w:rPr>
            </w:pPr>
            <w:r>
              <w:rPr>
                <w:rFonts w:hint="eastAsia"/>
                <w:sz w:val="24"/>
                <w:szCs w:val="24"/>
                <w:lang w:val="zh-CN"/>
              </w:rPr>
              <w:t>职务</w:t>
            </w:r>
          </w:p>
        </w:tc>
        <w:tc>
          <w:tcPr>
            <w:tcW w:w="802" w:type="dxa"/>
            <w:vAlign w:val="center"/>
          </w:tcPr>
          <w:p>
            <w:pPr>
              <w:jc w:val="center"/>
              <w:rPr>
                <w:sz w:val="24"/>
                <w:szCs w:val="24"/>
                <w:lang w:val="zh-CN"/>
              </w:rPr>
            </w:pPr>
            <w:r>
              <w:rPr>
                <w:rFonts w:hint="eastAsia"/>
                <w:sz w:val="24"/>
                <w:szCs w:val="24"/>
                <w:lang w:val="zh-CN"/>
              </w:rPr>
              <w:t>学历</w:t>
            </w:r>
          </w:p>
        </w:tc>
        <w:tc>
          <w:tcPr>
            <w:tcW w:w="1418" w:type="dxa"/>
            <w:vAlign w:val="center"/>
          </w:tcPr>
          <w:p>
            <w:pPr>
              <w:jc w:val="center"/>
              <w:rPr>
                <w:sz w:val="24"/>
                <w:szCs w:val="24"/>
                <w:lang w:val="zh-CN"/>
              </w:rPr>
            </w:pPr>
            <w:r>
              <w:rPr>
                <w:rFonts w:hint="eastAsia"/>
                <w:sz w:val="24"/>
                <w:szCs w:val="24"/>
                <w:lang w:val="zh-CN"/>
              </w:rPr>
              <w:t>从事本工作年限</w:t>
            </w:r>
          </w:p>
        </w:tc>
        <w:tc>
          <w:tcPr>
            <w:tcW w:w="1417"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708" w:type="dxa"/>
            <w:vAlign w:val="center"/>
          </w:tcPr>
          <w:p>
            <w:pPr>
              <w:jc w:val="center"/>
              <w:rPr>
                <w:sz w:val="24"/>
                <w:szCs w:val="24"/>
                <w:lang w:val="zh-CN"/>
              </w:rPr>
            </w:pPr>
          </w:p>
        </w:tc>
        <w:tc>
          <w:tcPr>
            <w:tcW w:w="899" w:type="dxa"/>
            <w:vAlign w:val="center"/>
          </w:tcPr>
          <w:p>
            <w:pPr>
              <w:jc w:val="center"/>
              <w:rPr>
                <w:sz w:val="24"/>
                <w:szCs w:val="24"/>
                <w:lang w:val="zh-CN"/>
              </w:rPr>
            </w:pPr>
          </w:p>
        </w:tc>
        <w:tc>
          <w:tcPr>
            <w:tcW w:w="802" w:type="dxa"/>
            <w:vAlign w:val="center"/>
          </w:tcPr>
          <w:p>
            <w:pPr>
              <w:jc w:val="center"/>
              <w:rPr>
                <w:sz w:val="24"/>
                <w:szCs w:val="24"/>
                <w:lang w:val="zh-CN"/>
              </w:rPr>
            </w:pPr>
          </w:p>
        </w:tc>
        <w:tc>
          <w:tcPr>
            <w:tcW w:w="1418" w:type="dxa"/>
            <w:vAlign w:val="center"/>
          </w:tcPr>
          <w:p>
            <w:pPr>
              <w:jc w:val="center"/>
              <w:rPr>
                <w:sz w:val="24"/>
                <w:szCs w:val="24"/>
                <w:lang w:val="zh-CN"/>
              </w:rPr>
            </w:pPr>
          </w:p>
        </w:tc>
        <w:tc>
          <w:tcPr>
            <w:tcW w:w="1417" w:type="dxa"/>
            <w:vAlign w:val="center"/>
          </w:tcPr>
          <w:p>
            <w:pPr>
              <w:jc w:val="center"/>
              <w:rPr>
                <w:sz w:val="24"/>
                <w:szCs w:val="24"/>
                <w:lang w:val="zh-CN"/>
              </w:rPr>
            </w:pPr>
          </w:p>
        </w:tc>
        <w:tc>
          <w:tcPr>
            <w:tcW w:w="2148" w:type="dxa"/>
            <w:vAlign w:val="center"/>
          </w:tcPr>
          <w:p>
            <w:pPr>
              <w:jc w:val="center"/>
              <w:rPr>
                <w:sz w:val="24"/>
                <w:szCs w:val="24"/>
                <w:lang w:val="zh-CN"/>
              </w:rPr>
            </w:pPr>
          </w:p>
        </w:tc>
      </w:tr>
    </w:tbl>
    <w:p>
      <w:pPr>
        <w:rPr>
          <w:lang w:val="zh-CN"/>
        </w:rPr>
      </w:pPr>
    </w:p>
    <w:p>
      <w:pPr>
        <w:widowControl/>
        <w:jc w:val="left"/>
        <w:rPr>
          <w:lang w:val="zh-CN"/>
        </w:rPr>
      </w:pPr>
      <w:r>
        <w:rPr>
          <w:lang w:val="zh-CN"/>
        </w:rPr>
        <w:br w:type="page"/>
      </w:r>
    </w:p>
    <w:p>
      <w:pPr>
        <w:adjustRightInd w:val="0"/>
        <w:snapToGrid w:val="0"/>
        <w:spacing w:line="360" w:lineRule="auto"/>
        <w:jc w:val="left"/>
        <w:rPr>
          <w:rFonts w:hAnsi="宋体"/>
          <w:bCs/>
          <w:color w:val="000000"/>
          <w:sz w:val="24"/>
          <w:szCs w:val="24"/>
        </w:rPr>
      </w:pPr>
      <w:r>
        <w:rPr>
          <w:rFonts w:hint="eastAsia" w:hAnsi="宋体"/>
          <w:bCs/>
          <w:color w:val="000000"/>
          <w:sz w:val="24"/>
          <w:szCs w:val="24"/>
        </w:rPr>
        <w:t xml:space="preserve">格式九： </w:t>
      </w:r>
    </w:p>
    <w:p>
      <w:pPr>
        <w:adjustRightInd w:val="0"/>
        <w:snapToGrid w:val="0"/>
        <w:spacing w:line="360" w:lineRule="auto"/>
        <w:ind w:firstLine="3960" w:firstLineChars="1650"/>
        <w:jc w:val="left"/>
        <w:rPr>
          <w:rFonts w:ascii="宋体" w:hAnsi="宋体" w:cs="Courier New"/>
          <w:color w:val="000000"/>
          <w:kern w:val="0"/>
          <w:sz w:val="24"/>
          <w:szCs w:val="24"/>
        </w:rPr>
      </w:pPr>
      <w:r>
        <w:rPr>
          <w:rFonts w:hint="eastAsia" w:ascii="宋体" w:hAnsi="宋体" w:cs="Courier New"/>
          <w:color w:val="000000"/>
          <w:kern w:val="0"/>
          <w:sz w:val="24"/>
          <w:szCs w:val="24"/>
        </w:rPr>
        <w:t>分项报价明细表</w:t>
      </w:r>
    </w:p>
    <w:tbl>
      <w:tblPr>
        <w:tblStyle w:val="50"/>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4"/>
        <w:gridCol w:w="1892"/>
        <w:gridCol w:w="1807"/>
        <w:gridCol w:w="1410"/>
        <w:gridCol w:w="1154"/>
        <w:gridCol w:w="1332"/>
        <w:gridCol w:w="7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44"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892"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服务项目</w:t>
            </w:r>
          </w:p>
        </w:tc>
        <w:tc>
          <w:tcPr>
            <w:tcW w:w="1807"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主要服务内容</w:t>
            </w:r>
          </w:p>
        </w:tc>
        <w:tc>
          <w:tcPr>
            <w:tcW w:w="1410"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154"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332"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721"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89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Borders>
              <w:bottom w:val="single" w:color="auto" w:sz="4" w:space="0"/>
            </w:tcBorders>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bl>
    <w:p>
      <w:pPr>
        <w:adjustRightInd w:val="0"/>
        <w:snapToGrid w:val="0"/>
        <w:spacing w:line="360" w:lineRule="auto"/>
        <w:ind w:firstLine="3960" w:firstLineChars="1650"/>
        <w:jc w:val="left"/>
        <w:rPr>
          <w:rFonts w:ascii="宋体" w:hAnsi="宋体" w:cs="Courier New"/>
          <w:color w:val="000000"/>
          <w:kern w:val="0"/>
          <w:sz w:val="24"/>
          <w:szCs w:val="24"/>
        </w:rPr>
      </w:pPr>
    </w:p>
    <w:p>
      <w:pPr>
        <w:numPr>
          <w:ilvl w:val="0"/>
          <w:numId w:val="13"/>
        </w:numPr>
        <w:tabs>
          <w:tab w:val="left" w:pos="0"/>
        </w:tabs>
        <w:suppressAutoHyphens/>
        <w:spacing w:line="360" w:lineRule="auto"/>
        <w:ind w:left="432" w:hanging="432"/>
        <w:rPr>
          <w:rFonts w:ascii="宋体" w:hAnsi="宋体"/>
          <w:sz w:val="21"/>
          <w:szCs w:val="21"/>
          <w:lang w:val="en-GB"/>
        </w:rPr>
      </w:pPr>
      <w:r>
        <w:rPr>
          <w:rFonts w:hint="eastAsia" w:ascii="宋体" w:hAnsi="宋体"/>
          <w:sz w:val="21"/>
          <w:szCs w:val="21"/>
        </w:rPr>
        <w:t>注：</w:t>
      </w:r>
    </w:p>
    <w:p>
      <w:pPr>
        <w:numPr>
          <w:ilvl w:val="0"/>
          <w:numId w:val="13"/>
        </w:numPr>
        <w:tabs>
          <w:tab w:val="left" w:pos="0"/>
        </w:tabs>
        <w:suppressAutoHyphens/>
        <w:spacing w:line="360" w:lineRule="auto"/>
        <w:ind w:left="432" w:hanging="432"/>
        <w:rPr>
          <w:rFonts w:ascii="宋体" w:hAnsi="宋体"/>
          <w:sz w:val="21"/>
          <w:szCs w:val="21"/>
          <w:lang w:val="en-GB"/>
        </w:rPr>
      </w:pPr>
      <w:r>
        <w:rPr>
          <w:rFonts w:hint="eastAsia" w:ascii="宋体" w:hAnsi="宋体"/>
          <w:sz w:val="21"/>
          <w:szCs w:val="21"/>
          <w:lang w:val="en-GB"/>
        </w:rPr>
        <w:t>（1）以上内容必须全部填写；</w:t>
      </w:r>
    </w:p>
    <w:p>
      <w:pPr>
        <w:numPr>
          <w:ilvl w:val="0"/>
          <w:numId w:val="13"/>
        </w:numPr>
        <w:tabs>
          <w:tab w:val="left" w:pos="0"/>
        </w:tabs>
        <w:suppressAutoHyphens/>
        <w:spacing w:line="360" w:lineRule="auto"/>
        <w:ind w:left="432" w:hanging="432"/>
        <w:rPr>
          <w:rFonts w:ascii="宋体" w:hAnsi="宋体"/>
          <w:sz w:val="21"/>
          <w:szCs w:val="21"/>
          <w:lang w:val="en-GB"/>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13"/>
        </w:numPr>
        <w:tabs>
          <w:tab w:val="left" w:pos="0"/>
        </w:tabs>
        <w:suppressAutoHyphens/>
        <w:spacing w:line="360" w:lineRule="auto"/>
        <w:ind w:left="432" w:hanging="432"/>
        <w:rPr>
          <w:rFonts w:ascii="宋体" w:hAnsi="宋体"/>
          <w:sz w:val="21"/>
          <w:szCs w:val="21"/>
          <w:lang w:val="en-GB"/>
        </w:rPr>
      </w:pPr>
      <w:r>
        <w:rPr>
          <w:rFonts w:hint="eastAsia"/>
          <w:snapToGrid w:val="0"/>
          <w:sz w:val="21"/>
        </w:rPr>
        <w:t>（3）根据合同或本表未列明的其它可能产生的费用应由供应商支付、负责；</w:t>
      </w:r>
    </w:p>
    <w:p>
      <w:pPr>
        <w:numPr>
          <w:ilvl w:val="0"/>
          <w:numId w:val="13"/>
        </w:numPr>
        <w:tabs>
          <w:tab w:val="left" w:pos="0"/>
        </w:tabs>
        <w:suppressAutoHyphens/>
        <w:spacing w:line="360" w:lineRule="auto"/>
        <w:ind w:left="432" w:hanging="432"/>
        <w:rPr>
          <w:snapToGrid w:val="0"/>
          <w:sz w:val="21"/>
        </w:rPr>
      </w:pPr>
      <w:r>
        <w:rPr>
          <w:rFonts w:hint="eastAsia"/>
          <w:snapToGrid w:val="0"/>
          <w:sz w:val="21"/>
        </w:rPr>
        <w:t>（4）此表将随中标公告一并公示，请供应商认真填写；</w:t>
      </w:r>
    </w:p>
    <w:p>
      <w:pPr>
        <w:suppressAutoHyphens/>
        <w:snapToGrid w:val="0"/>
        <w:spacing w:line="360" w:lineRule="auto"/>
        <w:rPr>
          <w:rFonts w:ascii="宋体" w:hAnsi="宋体" w:cs="宋体"/>
          <w:sz w:val="21"/>
          <w:szCs w:val="21"/>
        </w:rPr>
      </w:pP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供应商名称（盖章）：</w:t>
      </w:r>
      <w:r>
        <w:rPr>
          <w:rFonts w:hint="eastAsia" w:ascii="宋体" w:hAnsi="宋体" w:cs="宋体"/>
          <w:sz w:val="21"/>
          <w:szCs w:val="21"/>
          <w:u w:val="single"/>
        </w:rPr>
        <w:t xml:space="preserve">                        </w:t>
      </w:r>
    </w:p>
    <w:p>
      <w:pPr>
        <w:suppressAutoHyphens/>
        <w:spacing w:line="360" w:lineRule="auto"/>
        <w:ind w:left="432"/>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color w:val="000000"/>
          <w:sz w:val="24"/>
          <w:szCs w:val="24"/>
        </w:rPr>
      </w:pPr>
    </w:p>
    <w:p>
      <w:pPr>
        <w:rPr>
          <w:b/>
          <w:sz w:val="24"/>
          <w:szCs w:val="24"/>
          <w:lang w:val="zh-CN"/>
        </w:rPr>
      </w:pPr>
      <w:r>
        <w:rPr>
          <w:b/>
          <w:sz w:val="24"/>
          <w:szCs w:val="24"/>
          <w:lang w:val="zh-CN"/>
        </w:rPr>
        <w:br w:type="page"/>
      </w:r>
    </w:p>
    <w:p>
      <w:pPr>
        <w:rPr>
          <w:sz w:val="24"/>
          <w:szCs w:val="24"/>
          <w:lang w:val="zh-CN"/>
        </w:rPr>
      </w:pPr>
      <w:r>
        <w:rPr>
          <w:rFonts w:hint="eastAsia"/>
          <w:sz w:val="24"/>
          <w:szCs w:val="24"/>
          <w:lang w:val="zh-CN"/>
        </w:rPr>
        <w:t>格式十：</w:t>
      </w:r>
    </w:p>
    <w:p>
      <w:pPr>
        <w:rPr>
          <w:sz w:val="24"/>
          <w:szCs w:val="24"/>
          <w:lang w:val="zh-CN"/>
        </w:rPr>
      </w:pPr>
    </w:p>
    <w:p>
      <w:pPr>
        <w:spacing w:line="360" w:lineRule="auto"/>
        <w:jc w:val="center"/>
        <w:rPr>
          <w:rFonts w:ascii="宋体" w:hAnsi="宋体"/>
          <w:color w:val="000000"/>
          <w:sz w:val="24"/>
          <w:szCs w:val="24"/>
        </w:rPr>
      </w:pPr>
      <w:r>
        <w:rPr>
          <w:rFonts w:hint="eastAsia" w:ascii="宋体" w:hAnsi="宋体"/>
          <w:color w:val="000000"/>
          <w:sz w:val="24"/>
          <w:szCs w:val="24"/>
        </w:rPr>
        <w:t>服务需求响应表</w:t>
      </w:r>
    </w:p>
    <w:p>
      <w:pPr>
        <w:spacing w:line="360" w:lineRule="auto"/>
        <w:rPr>
          <w:rFonts w:ascii="宋体" w:hAnsi="宋体"/>
          <w:b/>
          <w:color w:val="000000"/>
          <w:sz w:val="24"/>
          <w:szCs w:val="24"/>
        </w:rPr>
      </w:pPr>
      <w:r>
        <w:rPr>
          <w:rFonts w:hint="eastAsia" w:ascii="宋体" w:hAnsi="宋体" w:cs="宋体"/>
          <w:kern w:val="0"/>
          <w:sz w:val="24"/>
          <w:szCs w:val="24"/>
        </w:rPr>
        <w:t>1.服务项目名称：</w:t>
      </w:r>
    </w:p>
    <w:tbl>
      <w:tblPr>
        <w:tblStyle w:val="5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21"/>
        <w:gridCol w:w="1567"/>
        <w:gridCol w:w="1216"/>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82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5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1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598"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821"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6" w:type="dxa"/>
            <w:vAlign w:val="center"/>
          </w:tcPr>
          <w:p>
            <w:pPr>
              <w:spacing w:line="360" w:lineRule="auto"/>
              <w:rPr>
                <w:rFonts w:ascii="宋体" w:hAnsi="宋体"/>
                <w:color w:val="000000"/>
                <w:sz w:val="24"/>
                <w:szCs w:val="24"/>
              </w:rPr>
            </w:pPr>
          </w:p>
        </w:tc>
        <w:tc>
          <w:tcPr>
            <w:tcW w:w="2598" w:type="dxa"/>
            <w:vAlign w:val="center"/>
          </w:tcPr>
          <w:p>
            <w:pPr>
              <w:spacing w:line="360" w:lineRule="auto"/>
              <w:ind w:left="2201" w:leftChars="786"/>
              <w:rPr>
                <w:rFonts w:ascii="宋体" w:hAnsi="宋体"/>
                <w:color w:val="000000"/>
                <w:sz w:val="24"/>
                <w:szCs w:val="24"/>
              </w:rPr>
            </w:pPr>
          </w:p>
        </w:tc>
        <w:tc>
          <w:tcPr>
            <w:tcW w:w="1221"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821"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6" w:type="dxa"/>
            <w:vAlign w:val="center"/>
          </w:tcPr>
          <w:p>
            <w:pPr>
              <w:spacing w:line="360" w:lineRule="auto"/>
              <w:rPr>
                <w:rFonts w:ascii="宋体" w:hAnsi="宋体"/>
                <w:color w:val="000000"/>
                <w:sz w:val="24"/>
                <w:szCs w:val="24"/>
              </w:rPr>
            </w:pPr>
          </w:p>
        </w:tc>
        <w:tc>
          <w:tcPr>
            <w:tcW w:w="2598" w:type="dxa"/>
            <w:vAlign w:val="center"/>
          </w:tcPr>
          <w:p>
            <w:pPr>
              <w:spacing w:line="360" w:lineRule="auto"/>
              <w:rPr>
                <w:rFonts w:ascii="宋体" w:hAnsi="宋体"/>
                <w:color w:val="000000"/>
                <w:sz w:val="24"/>
                <w:szCs w:val="24"/>
              </w:rPr>
            </w:pPr>
          </w:p>
        </w:tc>
        <w:tc>
          <w:tcPr>
            <w:tcW w:w="1221" w:type="dxa"/>
          </w:tcPr>
          <w:p>
            <w:pPr>
              <w:spacing w:line="360" w:lineRule="auto"/>
              <w:rPr>
                <w:rFonts w:ascii="宋体" w:hAnsi="宋体"/>
                <w:color w:val="000000"/>
                <w:sz w:val="24"/>
                <w:szCs w:val="24"/>
              </w:rPr>
            </w:pPr>
          </w:p>
        </w:tc>
      </w:tr>
    </w:tbl>
    <w:p>
      <w:pPr>
        <w:spacing w:line="360" w:lineRule="auto"/>
        <w:rPr>
          <w:rFonts w:ascii="宋体" w:hAnsi="宋体"/>
          <w:b/>
          <w:color w:val="000000"/>
          <w:sz w:val="24"/>
          <w:szCs w:val="24"/>
        </w:rPr>
      </w:pPr>
      <w:r>
        <w:rPr>
          <w:rFonts w:hint="eastAsia" w:ascii="宋体" w:hAnsi="宋体" w:cs="宋体"/>
          <w:kern w:val="0"/>
          <w:sz w:val="24"/>
          <w:szCs w:val="24"/>
        </w:rPr>
        <w:t>2. 服务项目名称：：</w:t>
      </w:r>
    </w:p>
    <w:tbl>
      <w:tblPr>
        <w:tblStyle w:val="50"/>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19"/>
        <w:gridCol w:w="1567"/>
        <w:gridCol w:w="1218"/>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81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5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598"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819"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8" w:type="dxa"/>
            <w:vAlign w:val="center"/>
          </w:tcPr>
          <w:p>
            <w:pPr>
              <w:spacing w:line="360" w:lineRule="auto"/>
              <w:rPr>
                <w:rFonts w:ascii="宋体" w:hAnsi="宋体"/>
                <w:color w:val="000000"/>
                <w:sz w:val="24"/>
                <w:szCs w:val="24"/>
              </w:rPr>
            </w:pPr>
          </w:p>
        </w:tc>
        <w:tc>
          <w:tcPr>
            <w:tcW w:w="2598" w:type="dxa"/>
            <w:vAlign w:val="center"/>
          </w:tcPr>
          <w:p>
            <w:pPr>
              <w:spacing w:line="360" w:lineRule="auto"/>
              <w:ind w:left="2201" w:leftChars="786"/>
              <w:rPr>
                <w:rFonts w:ascii="宋体" w:hAnsi="宋体"/>
                <w:color w:val="000000"/>
                <w:sz w:val="24"/>
                <w:szCs w:val="24"/>
              </w:rPr>
            </w:pPr>
          </w:p>
        </w:tc>
        <w:tc>
          <w:tcPr>
            <w:tcW w:w="1221" w:type="dxa"/>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819"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8" w:type="dxa"/>
            <w:vAlign w:val="center"/>
          </w:tcPr>
          <w:p>
            <w:pPr>
              <w:spacing w:line="360" w:lineRule="auto"/>
              <w:rPr>
                <w:rFonts w:ascii="宋体" w:hAnsi="宋体"/>
                <w:color w:val="000000"/>
                <w:sz w:val="24"/>
                <w:szCs w:val="24"/>
              </w:rPr>
            </w:pPr>
          </w:p>
        </w:tc>
        <w:tc>
          <w:tcPr>
            <w:tcW w:w="2598" w:type="dxa"/>
            <w:vAlign w:val="center"/>
          </w:tcPr>
          <w:p>
            <w:pPr>
              <w:spacing w:line="360" w:lineRule="auto"/>
              <w:rPr>
                <w:rFonts w:ascii="宋体" w:hAnsi="宋体"/>
                <w:color w:val="000000"/>
                <w:sz w:val="24"/>
                <w:szCs w:val="24"/>
              </w:rPr>
            </w:pPr>
          </w:p>
        </w:tc>
        <w:tc>
          <w:tcPr>
            <w:tcW w:w="1221" w:type="dxa"/>
          </w:tcPr>
          <w:p>
            <w:pPr>
              <w:spacing w:line="360" w:lineRule="auto"/>
              <w:rPr>
                <w:rFonts w:ascii="宋体" w:hAnsi="宋体"/>
                <w:color w:val="000000"/>
                <w:sz w:val="24"/>
                <w:szCs w:val="24"/>
              </w:rPr>
            </w:pPr>
          </w:p>
        </w:tc>
      </w:tr>
    </w:tbl>
    <w:p>
      <w:pPr>
        <w:spacing w:line="360" w:lineRule="auto"/>
        <w:ind w:right="57"/>
        <w:rPr>
          <w:rFonts w:ascii="宋体" w:hAnsi="宋体"/>
          <w:b/>
          <w:bCs/>
          <w:color w:val="000000"/>
          <w:sz w:val="24"/>
          <w:szCs w:val="24"/>
        </w:rPr>
      </w:pPr>
    </w:p>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供应商应按照本招标文件第四章“服务需求一览表”中的要求，将</w:t>
      </w:r>
      <w:r>
        <w:rPr>
          <w:rFonts w:hint="eastAsia" w:ascii="宋体" w:hAnsi="宋体"/>
          <w:color w:val="000000"/>
          <w:sz w:val="24"/>
          <w:szCs w:val="24"/>
        </w:rPr>
        <w:t>服务要求及标准</w:t>
      </w:r>
      <w:r>
        <w:rPr>
          <w:rFonts w:hint="eastAsia" w:ascii="宋体" w:hAnsi="宋体" w:cs="宋体"/>
          <w:sz w:val="24"/>
          <w:szCs w:val="24"/>
        </w:rPr>
        <w:t>逐一列出，以证明供应商对招标文件要求的服务内容做出实质性响应。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供应商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color w:val="000000"/>
          <w:sz w:val="24"/>
          <w:szCs w:val="24"/>
        </w:rPr>
      </w:pPr>
      <w:r>
        <w:rPr>
          <w:rFonts w:hint="eastAsia"/>
          <w:sz w:val="24"/>
        </w:rPr>
        <w:t>格式十一：</w:t>
      </w:r>
    </w:p>
    <w:p>
      <w:pPr>
        <w:spacing w:line="480" w:lineRule="exact"/>
        <w:ind w:firstLine="3465" w:firstLineChars="1650"/>
        <w:rPr>
          <w:rFonts w:ascii="宋体" w:hAnsi="Courier New"/>
          <w:b/>
          <w:snapToGrid w:val="0"/>
          <w:kern w:val="0"/>
          <w:sz w:val="21"/>
          <w:szCs w:val="21"/>
        </w:rPr>
      </w:pPr>
      <w:r>
        <w:rPr>
          <w:rFonts w:hint="eastAsia" w:ascii="宋体" w:hAnsi="Courier New"/>
          <w:snapToGrid w:val="0"/>
          <w:kern w:val="0"/>
          <w:sz w:val="21"/>
          <w:szCs w:val="21"/>
        </w:rPr>
        <w:t>项目服务方案</w:t>
      </w:r>
      <w:r>
        <w:rPr>
          <w:rFonts w:hint="eastAsia" w:ascii="宋体" w:hAnsi="Courier New"/>
          <w:b/>
          <w:snapToGrid w:val="0"/>
          <w:kern w:val="0"/>
          <w:sz w:val="21"/>
          <w:szCs w:val="21"/>
        </w:rPr>
        <w:t>（</w:t>
      </w:r>
      <w:r>
        <w:rPr>
          <w:rFonts w:hint="eastAsia" w:ascii="宋体" w:hAnsi="宋体"/>
          <w:color w:val="000000"/>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（由供应商自行编制）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注：本部分内容应包含但不限于本招标文件服务要求的相关的内容。</w:t>
      </w:r>
    </w:p>
    <w:p>
      <w:r>
        <w:br w:type="page"/>
      </w:r>
    </w:p>
    <w:p>
      <w:pPr>
        <w:spacing w:line="360" w:lineRule="auto"/>
        <w:rPr>
          <w:rFonts w:ascii="宋体" w:hAnsi="宋体"/>
          <w:color w:val="000000"/>
          <w:sz w:val="24"/>
          <w:szCs w:val="24"/>
        </w:rPr>
      </w:pPr>
      <w:r>
        <w:rPr>
          <w:rFonts w:hint="eastAsia" w:ascii="宋体" w:hAnsi="宋体"/>
          <w:bCs/>
          <w:color w:val="000000"/>
          <w:kern w:val="0"/>
          <w:sz w:val="24"/>
          <w:szCs w:val="24"/>
          <w:lang w:val="zh-CN"/>
        </w:rPr>
        <w:t>格式十二：</w:t>
      </w:r>
    </w:p>
    <w:p>
      <w:pPr>
        <w:spacing w:line="360" w:lineRule="auto"/>
        <w:jc w:val="center"/>
        <w:rPr>
          <w:rFonts w:ascii="宋体" w:hAnsi="宋体"/>
          <w:b/>
          <w:bCs/>
          <w:color w:val="000000"/>
          <w:sz w:val="24"/>
          <w:szCs w:val="24"/>
        </w:rPr>
      </w:pPr>
      <w:r>
        <w:rPr>
          <w:rFonts w:hint="eastAsia" w:ascii="宋体" w:hAnsi="宋体"/>
          <w:sz w:val="24"/>
          <w:szCs w:val="24"/>
          <w:lang w:val="zh-CN"/>
        </w:rPr>
        <w:t>商务规格响应表</w:t>
      </w:r>
    </w:p>
    <w:tbl>
      <w:tblPr>
        <w:tblStyle w:val="50"/>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sz w:val="24"/>
          <w:szCs w:val="24"/>
        </w:rPr>
      </w:pPr>
      <w:r>
        <w:rPr>
          <w:rFonts w:hint="eastAsia" w:ascii="宋体" w:hAnsi="宋体"/>
          <w:b/>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rPr>
          <w:rFonts w:ascii="宋体" w:hAnsi="宋体"/>
          <w:sz w:val="24"/>
          <w:szCs w:val="24"/>
        </w:rPr>
      </w:pPr>
      <w:r>
        <w:rPr>
          <w:rFonts w:hint="eastAsia" w:ascii="宋体" w:hAnsi="宋体"/>
          <w:sz w:val="24"/>
          <w:szCs w:val="24"/>
        </w:rPr>
        <w:t>格式十三：</w:t>
      </w:r>
    </w:p>
    <w:p>
      <w:pPr>
        <w:spacing w:line="360" w:lineRule="auto"/>
        <w:jc w:val="center"/>
        <w:rPr>
          <w:rFonts w:ascii="宋体" w:hAnsi="宋体"/>
          <w:b/>
          <w:color w:val="000000"/>
          <w:sz w:val="24"/>
          <w:szCs w:val="24"/>
        </w:rPr>
      </w:pPr>
      <w:r>
        <w:rPr>
          <w:rFonts w:hint="eastAsia" w:ascii="宋体" w:hAnsi="宋体"/>
          <w:b/>
          <w:color w:val="000000"/>
          <w:sz w:val="24"/>
          <w:szCs w:val="24"/>
        </w:rPr>
        <w:t>上一年度财务会计制度</w:t>
      </w:r>
    </w:p>
    <w:p>
      <w:pPr>
        <w:spacing w:line="360" w:lineRule="auto"/>
        <w:rPr>
          <w:rFonts w:ascii="宋体" w:hAnsi="宋体"/>
          <w:sz w:val="24"/>
          <w:szCs w:val="24"/>
        </w:rPr>
      </w:pPr>
      <w:r>
        <w:rPr>
          <w:rFonts w:hint="eastAsia" w:ascii="宋体" w:hAnsi="宋体"/>
          <w:sz w:val="24"/>
          <w:szCs w:val="24"/>
        </w:rPr>
        <w:t>注：</w:t>
      </w:r>
    </w:p>
    <w:p>
      <w:pPr>
        <w:spacing w:line="360" w:lineRule="auto"/>
        <w:rPr>
          <w:rFonts w:ascii="宋体" w:hAnsi="宋体"/>
          <w:sz w:val="24"/>
          <w:szCs w:val="24"/>
        </w:rPr>
      </w:pPr>
      <w:r>
        <w:rPr>
          <w:rFonts w:hint="eastAsia" w:ascii="宋体" w:hAnsi="宋体"/>
          <w:sz w:val="24"/>
          <w:szCs w:val="24"/>
        </w:rPr>
        <w:t>1.提供上一年度财务审计报告的，须提供会计师事务所出具的经审计的财务报告。</w:t>
      </w:r>
    </w:p>
    <w:p>
      <w:pPr>
        <w:spacing w:line="360" w:lineRule="auto"/>
        <w:rPr>
          <w:rFonts w:ascii="宋体" w:hAnsi="宋体"/>
          <w:sz w:val="24"/>
          <w:szCs w:val="24"/>
        </w:rPr>
      </w:pPr>
      <w:r>
        <w:rPr>
          <w:rFonts w:hint="eastAsia" w:ascii="宋体" w:hAnsi="宋体"/>
          <w:sz w:val="24"/>
          <w:szCs w:val="24"/>
        </w:rPr>
        <w:t>2.提供银行资信证明的，同时提供基本开户银行的开户许可证。</w:t>
      </w:r>
      <w:bookmarkStart w:id="30" w:name="_Toc438655702"/>
      <w:bookmarkStart w:id="31" w:name="_Toc438714732"/>
      <w:bookmarkStart w:id="32" w:name="_Toc482026556"/>
    </w:p>
    <w:p>
      <w:pPr>
        <w:pStyle w:val="3"/>
        <w:keepNext w:val="0"/>
        <w:keepLines w:val="0"/>
        <w:spacing w:line="360" w:lineRule="auto"/>
        <w:rPr>
          <w:rFonts w:ascii="宋体" w:hAnsi="宋体" w:eastAsia="宋体"/>
          <w:b w:val="0"/>
          <w:color w:val="000000"/>
          <w:sz w:val="24"/>
          <w:szCs w:val="24"/>
          <w:lang w:val="en-US" w:eastAsia="zh-CN"/>
        </w:rPr>
      </w:pPr>
      <w:r>
        <w:rPr>
          <w:rFonts w:ascii="宋体" w:hAnsi="宋体" w:eastAsia="宋体"/>
          <w:b w:val="0"/>
          <w:color w:val="000000"/>
          <w:sz w:val="24"/>
          <w:szCs w:val="24"/>
          <w:lang w:val="en-US"/>
        </w:rPr>
        <w:br w:type="page"/>
      </w:r>
      <w:bookmarkEnd w:id="30"/>
      <w:bookmarkEnd w:id="31"/>
      <w:bookmarkEnd w:id="32"/>
    </w:p>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格式十四：</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缴纳增值税、营业税或企业所得税的凭据</w:t>
      </w: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20XX年XX月至XX月的任意一个月缴纳增值税、营业税或企业所得税的凭据。</w:t>
      </w:r>
    </w:p>
    <w:p>
      <w:pPr>
        <w:spacing w:line="360" w:lineRule="auto"/>
        <w:ind w:firstLine="602" w:firstLineChars="25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：供应商缴纳税收的证明材料主要是指供应商税务登记证（国税、地税，“三证合一”可不提供）和参加政府采购活动前一段时间内缴纳增值税、营业税和企业所得税（至少提供一种）的凭据。</w:t>
      </w:r>
      <w:bookmarkStart w:id="33" w:name="_Toc438714733"/>
      <w:bookmarkStart w:id="34" w:name="_Toc482026557"/>
      <w:bookmarkStart w:id="35" w:name="_Toc438655703"/>
    </w:p>
    <w:p>
      <w:pPr>
        <w:pStyle w:val="3"/>
        <w:keepNext w:val="0"/>
        <w:keepLines w:val="0"/>
        <w:spacing w:line="360" w:lineRule="auto"/>
        <w:rPr>
          <w:rFonts w:ascii="宋体" w:hAnsi="宋体" w:eastAsia="宋体"/>
          <w:b w:val="0"/>
          <w:color w:val="000000"/>
          <w:sz w:val="24"/>
          <w:szCs w:val="24"/>
          <w:lang w:val="en-US"/>
        </w:rPr>
      </w:pPr>
      <w:r>
        <w:rPr>
          <w:rFonts w:ascii="宋体" w:hAnsi="宋体" w:eastAsia="宋体"/>
          <w:b w:val="0"/>
          <w:color w:val="000000"/>
          <w:sz w:val="24"/>
          <w:szCs w:val="24"/>
          <w:lang w:val="en-US"/>
        </w:rPr>
        <w:br w:type="page"/>
      </w:r>
    </w:p>
    <w:bookmarkEnd w:id="33"/>
    <w:bookmarkEnd w:id="34"/>
    <w:bookmarkEnd w:id="35"/>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格式十五：</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缴纳社会保险的凭据</w:t>
      </w:r>
    </w:p>
    <w:p>
      <w:pPr>
        <w:autoSpaceDE w:val="0"/>
        <w:autoSpaceDN w:val="0"/>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20XX年XX月至XX月的任意一个月缴纳社会保险的凭据（专用收据或社保缴纳清单）。</w:t>
      </w:r>
    </w:p>
    <w:p>
      <w:pPr>
        <w:ind w:firstLine="482" w:firstLineChars="20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供应商缴纳社会保证资金的证明材料主要是指缴纳社会保险的凭据，提供社保缴纳清单的须加盖相关社保部门的公章。依法免税或不需要缴纳社会保障资金的供应商，应提供相应文件证明其依法免税或不需要缴纳社会保障资金。</w:t>
      </w:r>
      <w:bookmarkStart w:id="36" w:name="_Toc482026558"/>
    </w:p>
    <w:p>
      <w:pPr>
        <w:pStyle w:val="3"/>
        <w:keepNext w:val="0"/>
        <w:keepLines w:val="0"/>
        <w:spacing w:line="360" w:lineRule="auto"/>
        <w:rPr>
          <w:rFonts w:ascii="宋体" w:hAnsi="宋体" w:eastAsia="宋体"/>
          <w:b w:val="0"/>
          <w:color w:val="000000"/>
          <w:sz w:val="24"/>
          <w:szCs w:val="24"/>
          <w:lang w:val="en-US"/>
        </w:rPr>
      </w:pPr>
      <w:r>
        <w:rPr>
          <w:rFonts w:ascii="宋体" w:hAnsi="宋体" w:eastAsia="宋体"/>
          <w:b w:val="0"/>
          <w:color w:val="000000"/>
          <w:sz w:val="24"/>
          <w:szCs w:val="24"/>
          <w:lang w:val="en-US"/>
        </w:rPr>
        <w:br w:type="page"/>
      </w:r>
    </w:p>
    <w:bookmarkEnd w:id="36"/>
    <w:p>
      <w:pPr>
        <w:spacing w:line="360" w:lineRule="auto"/>
        <w:rPr>
          <w:rFonts w:ascii="宋体" w:hAnsi="宋体" w:cs="宋体"/>
          <w:kern w:val="0"/>
          <w:sz w:val="24"/>
          <w:szCs w:val="24"/>
        </w:rPr>
      </w:pPr>
      <w:r>
        <w:rPr>
          <w:rFonts w:hint="eastAsia" w:ascii="宋体" w:hAnsi="宋体" w:cs="宋体"/>
          <w:kern w:val="0"/>
          <w:sz w:val="24"/>
          <w:szCs w:val="24"/>
        </w:rPr>
        <w:t>格式十六：</w:t>
      </w:r>
    </w:p>
    <w:p>
      <w:pPr>
        <w:autoSpaceDE w:val="0"/>
        <w:autoSpaceDN w:val="0"/>
        <w:spacing w:line="360" w:lineRule="auto"/>
        <w:ind w:firstLine="2168" w:firstLineChars="900"/>
        <w:rPr>
          <w:rFonts w:ascii="宋体" w:hAnsi="宋体"/>
          <w:b/>
          <w:color w:val="000000"/>
          <w:sz w:val="24"/>
          <w:szCs w:val="24"/>
        </w:rPr>
      </w:pPr>
      <w:r>
        <w:rPr>
          <w:rFonts w:hint="eastAsia" w:ascii="宋体" w:hAnsi="宋体"/>
          <w:b/>
          <w:color w:val="000000"/>
          <w:sz w:val="24"/>
          <w:szCs w:val="24"/>
        </w:rPr>
        <w:t>参加政府采购前三年内在经营活动中无</w:t>
      </w:r>
    </w:p>
    <w:p>
      <w:pPr>
        <w:autoSpaceDE w:val="0"/>
        <w:autoSpaceDN w:val="0"/>
        <w:spacing w:line="360" w:lineRule="auto"/>
        <w:jc w:val="center"/>
        <w:rPr>
          <w:rFonts w:ascii="宋体" w:hAnsi="宋体"/>
          <w:b/>
          <w:color w:val="000000"/>
          <w:sz w:val="24"/>
          <w:szCs w:val="24"/>
        </w:rPr>
      </w:pPr>
      <w:r>
        <w:rPr>
          <w:rFonts w:hint="eastAsia" w:ascii="宋体" w:hAnsi="宋体"/>
          <w:b/>
          <w:color w:val="000000"/>
          <w:sz w:val="24"/>
          <w:szCs w:val="24"/>
        </w:rPr>
        <w:t>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（采购单位名称）</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48"/>
          <w:rFonts w:hint="eastAsia" w:ascii="宋体" w:hAnsi="宋体" w:cs="宋体"/>
          <w:kern w:val="0"/>
          <w:sz w:val="24"/>
          <w:szCs w:val="24"/>
        </w:rPr>
        <w:t>www.creditchina.gov.cn</w:t>
      </w:r>
      <w:r>
        <w:rPr>
          <w:rStyle w:val="48"/>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48"/>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3"/>
        <w:keepNext w:val="0"/>
        <w:keepLines w:val="0"/>
        <w:spacing w:line="360" w:lineRule="auto"/>
        <w:rPr>
          <w:rFonts w:ascii="宋体" w:hAnsi="宋体" w:eastAsia="宋体"/>
          <w:b w:val="0"/>
          <w:bCs w:val="0"/>
          <w:color w:val="000000"/>
          <w:kern w:val="2"/>
          <w:sz w:val="24"/>
          <w:szCs w:val="24"/>
          <w:lang w:val="en-US" w:eastAsia="zh-CN"/>
        </w:rPr>
      </w:pPr>
      <w:bookmarkStart w:id="37" w:name="_Toc482026559"/>
      <w:r>
        <w:rPr>
          <w:rFonts w:ascii="宋体" w:hAnsi="宋体" w:eastAsia="宋体"/>
          <w:b w:val="0"/>
          <w:bCs w:val="0"/>
          <w:color w:val="000000"/>
          <w:kern w:val="2"/>
          <w:sz w:val="24"/>
          <w:szCs w:val="24"/>
          <w:lang w:val="en-US" w:eastAsia="zh-CN"/>
        </w:rPr>
        <w:br w:type="page"/>
      </w:r>
    </w:p>
    <w:bookmarkEnd w:id="37"/>
    <w:p>
      <w:pPr>
        <w:autoSpaceDE w:val="0"/>
        <w:autoSpaceDN w:val="0"/>
        <w:spacing w:line="360" w:lineRule="auto"/>
        <w:rPr>
          <w:rFonts w:ascii="宋体" w:hAnsi="宋体"/>
          <w:sz w:val="24"/>
          <w:szCs w:val="24"/>
        </w:rPr>
      </w:pPr>
      <w:r>
        <w:rPr>
          <w:rFonts w:hint="eastAsia" w:ascii="宋体" w:hAnsi="宋体"/>
          <w:sz w:val="24"/>
          <w:szCs w:val="24"/>
        </w:rPr>
        <w:t>格式十</w:t>
      </w:r>
      <w:r>
        <w:rPr>
          <w:rFonts w:hint="eastAsia" w:ascii="宋体" w:hAnsi="宋体"/>
          <w:sz w:val="24"/>
          <w:szCs w:val="24"/>
          <w:lang w:eastAsia="zh-CN"/>
        </w:rPr>
        <w:t>七</w:t>
      </w:r>
      <w:r>
        <w:rPr>
          <w:rFonts w:hint="eastAsia" w:ascii="宋体" w:hAnsi="宋体"/>
          <w:sz w:val="24"/>
          <w:szCs w:val="24"/>
        </w:rPr>
        <w:t>：</w:t>
      </w:r>
    </w:p>
    <w:p>
      <w:pPr>
        <w:autoSpaceDE w:val="0"/>
        <w:autoSpaceDN w:val="0"/>
        <w:spacing w:line="360" w:lineRule="auto"/>
        <w:jc w:val="center"/>
        <w:rPr>
          <w:rFonts w:ascii="宋体" w:hAnsi="宋体"/>
          <w:b/>
          <w:color w:val="000000"/>
          <w:sz w:val="24"/>
          <w:szCs w:val="24"/>
          <w:lang w:val="zh-CN"/>
        </w:rPr>
      </w:pP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1.单一来源文件要求提供的其他资料。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3"/>
        <w:keepNext w:val="0"/>
        <w:keepLines w:val="0"/>
        <w:spacing w:line="360" w:lineRule="auto"/>
        <w:ind w:firstLine="3012" w:firstLineChars="125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pStyle w:val="2"/>
        <w:keepNext w:val="0"/>
        <w:keepLines w:val="0"/>
        <w:spacing w:line="360" w:lineRule="auto"/>
        <w:rPr>
          <w:rFonts w:ascii="宋体" w:hAnsi="宋体"/>
          <w:color w:val="000000"/>
          <w:sz w:val="24"/>
          <w:szCs w:val="24"/>
        </w:rPr>
      </w:pPr>
      <w:bookmarkStart w:id="38" w:name="_Toc497726806"/>
      <w:r>
        <w:rPr>
          <w:rFonts w:hint="eastAsia" w:ascii="宋体" w:hAnsi="宋体"/>
          <w:color w:val="000000"/>
          <w:sz w:val="24"/>
          <w:szCs w:val="24"/>
        </w:rPr>
        <w:t>温馨提示</w:t>
      </w:r>
      <w:bookmarkEnd w:id="38"/>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请在编制响应文件前请认真阅读并理解单一来源文件。现就容易导致废标或无效投标的条款特别提示如下：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及时查看投标项目的相关信息公告，如单一来源采购公告、变更公告、废标公告等。</w:t>
      </w:r>
    </w:p>
    <w:p>
      <w:pPr>
        <w:tabs>
          <w:tab w:val="left" w:pos="851"/>
        </w:tabs>
        <w:spacing w:line="360" w:lineRule="auto"/>
        <w:rPr>
          <w:rFonts w:ascii="宋体" w:hAnsi="宋体"/>
          <w:sz w:val="24"/>
          <w:szCs w:val="24"/>
        </w:rPr>
      </w:pPr>
      <w:r>
        <w:rPr>
          <w:rFonts w:hint="eastAsia" w:ascii="宋体" w:hAnsi="宋体"/>
          <w:sz w:val="24"/>
          <w:szCs w:val="24"/>
        </w:rPr>
        <w:t>2.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3. 按照单一来源文件规定的时间、地点，提前到达并递交响应文件。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4.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11" w:type="first"/>
          <w:footerReference r:id="rId14" w:type="first"/>
          <w:headerReference r:id="rId9" w:type="default"/>
          <w:footerReference r:id="rId12" w:type="default"/>
          <w:headerReference r:id="rId10" w:type="even"/>
          <w:footerReference r:id="rId13" w:type="even"/>
          <w:pgSz w:w="11906" w:h="16838"/>
          <w:pgMar w:top="1588" w:right="1474" w:bottom="1418" w:left="1588"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pPr>
        <w:pStyle w:val="3"/>
        <w:keepNext w:val="0"/>
        <w:keepLines w:val="0"/>
        <w:spacing w:line="360" w:lineRule="auto"/>
        <w:rPr>
          <w:rFonts w:ascii="宋体" w:hAnsi="宋体" w:eastAsia="宋体"/>
          <w:bCs w:val="0"/>
          <w:color w:val="000000"/>
          <w:kern w:val="2"/>
          <w:sz w:val="24"/>
          <w:szCs w:val="24"/>
          <w:lang w:val="en-US" w:eastAsia="zh-CN"/>
        </w:rPr>
      </w:pPr>
    </w:p>
    <w:sectPr>
      <w:headerReference r:id="rId15" w:type="default"/>
      <w:footerReference r:id="rId16" w:type="default"/>
      <w:footerReference r:id="rId17" w:type="even"/>
      <w:pgSz w:w="11907" w:h="16840"/>
      <w:pgMar w:top="1134" w:right="1134" w:bottom="1134" w:left="113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Align="top"/>
      <w:pBdr>
        <w:between w:val="none" w:color="auto" w:sz="0" w:space="0"/>
      </w:pBdr>
    </w:pPr>
    <w:r>
      <w:fldChar w:fldCharType="begin"/>
    </w:r>
    <w:r>
      <w:rPr>
        <w:rStyle w:val="45"/>
      </w:rPr>
      <w:instrText xml:space="preserve"> PAGE  </w:instrText>
    </w:r>
    <w:r>
      <w:fldChar w:fldCharType="separate"/>
    </w:r>
    <w:r>
      <w:rPr>
        <w:rStyle w:val="45"/>
      </w:rPr>
      <w:t>22</w:t>
    </w:r>
    <w:r>
      <w:fldChar w:fldCharType="end"/>
    </w: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Align="top"/>
      <w:pBdr>
        <w:between w:val="none" w:color="auto" w:sz="0" w:space="0"/>
      </w:pBdr>
    </w:pPr>
    <w:r>
      <w:fldChar w:fldCharType="begin"/>
    </w:r>
    <w:r>
      <w:rPr>
        <w:rStyle w:val="45"/>
      </w:rPr>
      <w:instrText xml:space="preserve"> PAGE  </w:instrText>
    </w:r>
    <w:r>
      <w:fldChar w:fldCharType="separate"/>
    </w:r>
    <w:r>
      <w:rPr>
        <w:rStyle w:val="45"/>
      </w:rPr>
      <w:t>37</w:t>
    </w:r>
    <w:r>
      <w:fldChar w:fldCharType="end"/>
    </w:r>
  </w:p>
  <w:p>
    <w:pPr>
      <w:pStyle w:val="3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5"/>
      </w:rPr>
    </w:pPr>
  </w:p>
  <w:p>
    <w:pPr>
      <w:pStyle w:val="30"/>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13970" t="8890" r="5080" b="1016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9525" t="10795" r="9525" b="825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5"/>
        <w:sz w:val="17"/>
        <w:szCs w:val="17"/>
      </w:rPr>
    </w:pPr>
    <w:r>
      <w:rPr>
        <w:rStyle w:val="45"/>
        <w:sz w:val="17"/>
        <w:szCs w:val="17"/>
      </w:rPr>
      <w:fldChar w:fldCharType="begin"/>
    </w:r>
    <w:r>
      <w:rPr>
        <w:rStyle w:val="45"/>
        <w:sz w:val="17"/>
        <w:szCs w:val="17"/>
      </w:rPr>
      <w:instrText xml:space="preserve">PAGE  </w:instrText>
    </w:r>
    <w:r>
      <w:rPr>
        <w:rStyle w:val="45"/>
        <w:sz w:val="17"/>
        <w:szCs w:val="17"/>
      </w:rPr>
      <w:fldChar w:fldCharType="end"/>
    </w:r>
  </w:p>
  <w:p>
    <w:pPr>
      <w:pStyle w:val="30"/>
      <w:ind w:right="360" w:firstLine="360"/>
      <w:rPr>
        <w:sz w:val="17"/>
        <w:szCs w:val="17"/>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sz w:val="24"/>
        <w:szCs w:val="24"/>
      </w:rPr>
    </w:pP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5"/>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8"/>
      <w:suff w:val="nothing"/>
      <w:lvlText w:val="%1%2.%3.%4　"/>
      <w:lvlJc w:val="left"/>
      <w:pPr>
        <w:ind w:left="0" w:firstLine="0"/>
      </w:pPr>
      <w:rPr>
        <w:rFonts w:hint="eastAsia" w:ascii="黑体" w:hAnsi="Times New Roman" w:eastAsia="黑体"/>
        <w:b w:val="0"/>
        <w:i w:val="0"/>
        <w:sz w:val="21"/>
      </w:rPr>
    </w:lvl>
    <w:lvl w:ilvl="4" w:tentative="0">
      <w:start w:val="1"/>
      <w:numFmt w:val="decimal"/>
      <w:pStyle w:val="18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20"/>
      <w:lvlText w:val="%3."/>
      <w:lvlJc w:val="right"/>
      <w:pPr>
        <w:tabs>
          <w:tab w:val="left" w:pos="1809"/>
        </w:tabs>
        <w:ind w:left="1809" w:hanging="420"/>
      </w:pPr>
    </w:lvl>
    <w:lvl w:ilvl="3" w:tentative="0">
      <w:start w:val="1"/>
      <w:numFmt w:val="decimal"/>
      <w:pStyle w:val="223"/>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3">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1"/>
      <w:numFmt w:val="bullet"/>
      <w:pStyle w:val="94"/>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0F6D0C0F"/>
    <w:multiLevelType w:val="multilevel"/>
    <w:tmpl w:val="0F6D0C0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27E1630"/>
    <w:multiLevelType w:val="multilevel"/>
    <w:tmpl w:val="127E163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33A5C53"/>
    <w:multiLevelType w:val="multilevel"/>
    <w:tmpl w:val="133A5C5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1A9C1472"/>
    <w:multiLevelType w:val="multilevel"/>
    <w:tmpl w:val="1A9C14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48D85BA7"/>
    <w:multiLevelType w:val="multilevel"/>
    <w:tmpl w:val="48D85B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60B55DC2"/>
    <w:multiLevelType w:val="multilevel"/>
    <w:tmpl w:val="60B55DC2"/>
    <w:lvl w:ilvl="0" w:tentative="0">
      <w:start w:val="1"/>
      <w:numFmt w:val="upperLetter"/>
      <w:pStyle w:val="221"/>
      <w:lvlText w:val="%1"/>
      <w:lvlJc w:val="left"/>
      <w:pPr>
        <w:tabs>
          <w:tab w:val="left" w:pos="0"/>
        </w:tabs>
        <w:ind w:left="0" w:hanging="425"/>
      </w:pPr>
    </w:lvl>
    <w:lvl w:ilvl="1" w:tentative="0">
      <w:start w:val="1"/>
      <w:numFmt w:val="decimal"/>
      <w:pStyle w:val="222"/>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abstractNum w:abstractNumId="11">
    <w:nsid w:val="71226867"/>
    <w:multiLevelType w:val="multilevel"/>
    <w:tmpl w:val="7122686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2">
    <w:nsid w:val="79F329D7"/>
    <w:multiLevelType w:val="multilevel"/>
    <w:tmpl w:val="79F329D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4"/>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12"/>
  </w:num>
  <w:num w:numId="10">
    <w:abstractNumId w:val="6"/>
  </w:num>
  <w:num w:numId="11">
    <w:abstractNumId w:val="8"/>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5"/>
    <w:rsid w:val="000019B5"/>
    <w:rsid w:val="00001E33"/>
    <w:rsid w:val="000037F2"/>
    <w:rsid w:val="00005FCE"/>
    <w:rsid w:val="000064F9"/>
    <w:rsid w:val="000124B7"/>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14"/>
    <w:rsid w:val="0004149A"/>
    <w:rsid w:val="00042767"/>
    <w:rsid w:val="0004317D"/>
    <w:rsid w:val="00043181"/>
    <w:rsid w:val="00044995"/>
    <w:rsid w:val="00044B0F"/>
    <w:rsid w:val="000521B0"/>
    <w:rsid w:val="0005504F"/>
    <w:rsid w:val="000554EC"/>
    <w:rsid w:val="000558A5"/>
    <w:rsid w:val="00060357"/>
    <w:rsid w:val="000629DD"/>
    <w:rsid w:val="00063168"/>
    <w:rsid w:val="0006359A"/>
    <w:rsid w:val="00071A78"/>
    <w:rsid w:val="00073FAA"/>
    <w:rsid w:val="000750A4"/>
    <w:rsid w:val="000750E1"/>
    <w:rsid w:val="00075906"/>
    <w:rsid w:val="00076D91"/>
    <w:rsid w:val="00077EEC"/>
    <w:rsid w:val="00080598"/>
    <w:rsid w:val="00082D2C"/>
    <w:rsid w:val="0008436C"/>
    <w:rsid w:val="00086144"/>
    <w:rsid w:val="0008633D"/>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45"/>
    <w:rsid w:val="000B5551"/>
    <w:rsid w:val="000B63B3"/>
    <w:rsid w:val="000B7161"/>
    <w:rsid w:val="000B7365"/>
    <w:rsid w:val="000C2322"/>
    <w:rsid w:val="000C5C82"/>
    <w:rsid w:val="000C612E"/>
    <w:rsid w:val="000C6D84"/>
    <w:rsid w:val="000D02AA"/>
    <w:rsid w:val="000D0A17"/>
    <w:rsid w:val="000D17C6"/>
    <w:rsid w:val="000D515C"/>
    <w:rsid w:val="000D5C01"/>
    <w:rsid w:val="000E15BD"/>
    <w:rsid w:val="000E550B"/>
    <w:rsid w:val="000E6319"/>
    <w:rsid w:val="000F0698"/>
    <w:rsid w:val="000F082D"/>
    <w:rsid w:val="000F333E"/>
    <w:rsid w:val="000F422E"/>
    <w:rsid w:val="000F6D0F"/>
    <w:rsid w:val="001016F2"/>
    <w:rsid w:val="00103E0C"/>
    <w:rsid w:val="00104530"/>
    <w:rsid w:val="00104570"/>
    <w:rsid w:val="00105203"/>
    <w:rsid w:val="001066A5"/>
    <w:rsid w:val="0010792E"/>
    <w:rsid w:val="001117FE"/>
    <w:rsid w:val="00111FA5"/>
    <w:rsid w:val="00117038"/>
    <w:rsid w:val="00117F1A"/>
    <w:rsid w:val="00120A63"/>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6AC8"/>
    <w:rsid w:val="00157C1F"/>
    <w:rsid w:val="00160171"/>
    <w:rsid w:val="00160C4C"/>
    <w:rsid w:val="00161123"/>
    <w:rsid w:val="001611B8"/>
    <w:rsid w:val="00161331"/>
    <w:rsid w:val="00162B44"/>
    <w:rsid w:val="00165EB9"/>
    <w:rsid w:val="00166437"/>
    <w:rsid w:val="00170333"/>
    <w:rsid w:val="00171AA8"/>
    <w:rsid w:val="00176355"/>
    <w:rsid w:val="00177528"/>
    <w:rsid w:val="00180D8E"/>
    <w:rsid w:val="0018304A"/>
    <w:rsid w:val="00183F40"/>
    <w:rsid w:val="00186AFA"/>
    <w:rsid w:val="00190BA3"/>
    <w:rsid w:val="001A0B92"/>
    <w:rsid w:val="001A22C1"/>
    <w:rsid w:val="001A3186"/>
    <w:rsid w:val="001A3257"/>
    <w:rsid w:val="001A4ADD"/>
    <w:rsid w:val="001A5910"/>
    <w:rsid w:val="001A6850"/>
    <w:rsid w:val="001B2547"/>
    <w:rsid w:val="001B4ECB"/>
    <w:rsid w:val="001B561C"/>
    <w:rsid w:val="001B631D"/>
    <w:rsid w:val="001C2945"/>
    <w:rsid w:val="001C4C6E"/>
    <w:rsid w:val="001C66C5"/>
    <w:rsid w:val="001C7085"/>
    <w:rsid w:val="001C780A"/>
    <w:rsid w:val="001C7988"/>
    <w:rsid w:val="001D1224"/>
    <w:rsid w:val="001D128E"/>
    <w:rsid w:val="001D3E3C"/>
    <w:rsid w:val="001D44B5"/>
    <w:rsid w:val="001D470F"/>
    <w:rsid w:val="001D4D24"/>
    <w:rsid w:val="001D7C35"/>
    <w:rsid w:val="001E146C"/>
    <w:rsid w:val="001E2F8C"/>
    <w:rsid w:val="001E6B2B"/>
    <w:rsid w:val="001F3324"/>
    <w:rsid w:val="001F38E6"/>
    <w:rsid w:val="001F46E4"/>
    <w:rsid w:val="001F50D5"/>
    <w:rsid w:val="001F7064"/>
    <w:rsid w:val="00200C69"/>
    <w:rsid w:val="002024F8"/>
    <w:rsid w:val="00203A97"/>
    <w:rsid w:val="00203C57"/>
    <w:rsid w:val="00204D35"/>
    <w:rsid w:val="00205A07"/>
    <w:rsid w:val="002138E0"/>
    <w:rsid w:val="002141C4"/>
    <w:rsid w:val="0021704B"/>
    <w:rsid w:val="00217885"/>
    <w:rsid w:val="00217F36"/>
    <w:rsid w:val="002216D2"/>
    <w:rsid w:val="002309C7"/>
    <w:rsid w:val="002349C2"/>
    <w:rsid w:val="002359DD"/>
    <w:rsid w:val="00236BF6"/>
    <w:rsid w:val="00236FE0"/>
    <w:rsid w:val="00246923"/>
    <w:rsid w:val="00247981"/>
    <w:rsid w:val="00247D3C"/>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33E4"/>
    <w:rsid w:val="002847EC"/>
    <w:rsid w:val="00285C3F"/>
    <w:rsid w:val="00285F7D"/>
    <w:rsid w:val="00286176"/>
    <w:rsid w:val="002900C6"/>
    <w:rsid w:val="00290210"/>
    <w:rsid w:val="00290AF1"/>
    <w:rsid w:val="00290EA5"/>
    <w:rsid w:val="0029262E"/>
    <w:rsid w:val="00292903"/>
    <w:rsid w:val="00293351"/>
    <w:rsid w:val="00294C80"/>
    <w:rsid w:val="002954F1"/>
    <w:rsid w:val="00297645"/>
    <w:rsid w:val="002A1E57"/>
    <w:rsid w:val="002A2412"/>
    <w:rsid w:val="002A3538"/>
    <w:rsid w:val="002A5FA3"/>
    <w:rsid w:val="002A7A89"/>
    <w:rsid w:val="002B07D2"/>
    <w:rsid w:val="002B086D"/>
    <w:rsid w:val="002B46C2"/>
    <w:rsid w:val="002B6555"/>
    <w:rsid w:val="002B6ACB"/>
    <w:rsid w:val="002C0752"/>
    <w:rsid w:val="002C1118"/>
    <w:rsid w:val="002C1AB6"/>
    <w:rsid w:val="002C2541"/>
    <w:rsid w:val="002C5CB7"/>
    <w:rsid w:val="002C5EBE"/>
    <w:rsid w:val="002C7284"/>
    <w:rsid w:val="002D274A"/>
    <w:rsid w:val="002D2ABF"/>
    <w:rsid w:val="002D3A79"/>
    <w:rsid w:val="002D3B81"/>
    <w:rsid w:val="002D565D"/>
    <w:rsid w:val="002D5A33"/>
    <w:rsid w:val="002D5B54"/>
    <w:rsid w:val="002E08E7"/>
    <w:rsid w:val="002E335C"/>
    <w:rsid w:val="002E3D50"/>
    <w:rsid w:val="002E5B7A"/>
    <w:rsid w:val="002E5EAB"/>
    <w:rsid w:val="002E5EDD"/>
    <w:rsid w:val="002E6E32"/>
    <w:rsid w:val="002E7AC9"/>
    <w:rsid w:val="002F14A2"/>
    <w:rsid w:val="002F4D72"/>
    <w:rsid w:val="002F4ECE"/>
    <w:rsid w:val="002F5386"/>
    <w:rsid w:val="002F5648"/>
    <w:rsid w:val="002F7057"/>
    <w:rsid w:val="002F7ADE"/>
    <w:rsid w:val="003028A1"/>
    <w:rsid w:val="00305086"/>
    <w:rsid w:val="0030511C"/>
    <w:rsid w:val="00305EF3"/>
    <w:rsid w:val="00307C6D"/>
    <w:rsid w:val="0031146F"/>
    <w:rsid w:val="00313BDC"/>
    <w:rsid w:val="003166E1"/>
    <w:rsid w:val="003175DD"/>
    <w:rsid w:val="00317A60"/>
    <w:rsid w:val="0032346F"/>
    <w:rsid w:val="003252DF"/>
    <w:rsid w:val="00330FBC"/>
    <w:rsid w:val="00331EF4"/>
    <w:rsid w:val="0033413C"/>
    <w:rsid w:val="0034009B"/>
    <w:rsid w:val="00340152"/>
    <w:rsid w:val="0034045A"/>
    <w:rsid w:val="00343DE1"/>
    <w:rsid w:val="003453A3"/>
    <w:rsid w:val="003456D5"/>
    <w:rsid w:val="00346797"/>
    <w:rsid w:val="00350415"/>
    <w:rsid w:val="00351A42"/>
    <w:rsid w:val="00354113"/>
    <w:rsid w:val="00354D79"/>
    <w:rsid w:val="0035512E"/>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583"/>
    <w:rsid w:val="00367DC0"/>
    <w:rsid w:val="00372CDD"/>
    <w:rsid w:val="00374800"/>
    <w:rsid w:val="0037604A"/>
    <w:rsid w:val="0037796F"/>
    <w:rsid w:val="003850C1"/>
    <w:rsid w:val="00386C41"/>
    <w:rsid w:val="00386F2E"/>
    <w:rsid w:val="00387C9F"/>
    <w:rsid w:val="00391691"/>
    <w:rsid w:val="0039586D"/>
    <w:rsid w:val="00396255"/>
    <w:rsid w:val="0039754F"/>
    <w:rsid w:val="003978E6"/>
    <w:rsid w:val="003A0038"/>
    <w:rsid w:val="003A059F"/>
    <w:rsid w:val="003A231E"/>
    <w:rsid w:val="003A585F"/>
    <w:rsid w:val="003A60CE"/>
    <w:rsid w:val="003A6F40"/>
    <w:rsid w:val="003A7970"/>
    <w:rsid w:val="003A79ED"/>
    <w:rsid w:val="003A7DC4"/>
    <w:rsid w:val="003A7FDC"/>
    <w:rsid w:val="003B5C3F"/>
    <w:rsid w:val="003C4C9F"/>
    <w:rsid w:val="003C57A9"/>
    <w:rsid w:val="003C62D0"/>
    <w:rsid w:val="003D1807"/>
    <w:rsid w:val="003D198A"/>
    <w:rsid w:val="003D305F"/>
    <w:rsid w:val="003D3113"/>
    <w:rsid w:val="003D3190"/>
    <w:rsid w:val="003D31B7"/>
    <w:rsid w:val="003D4292"/>
    <w:rsid w:val="003D4833"/>
    <w:rsid w:val="003D7194"/>
    <w:rsid w:val="003D73A0"/>
    <w:rsid w:val="003E0287"/>
    <w:rsid w:val="003E303A"/>
    <w:rsid w:val="003E309A"/>
    <w:rsid w:val="003E4CA7"/>
    <w:rsid w:val="003E53CD"/>
    <w:rsid w:val="003E61FE"/>
    <w:rsid w:val="003E6776"/>
    <w:rsid w:val="003E6B9C"/>
    <w:rsid w:val="003E7A65"/>
    <w:rsid w:val="003F1BED"/>
    <w:rsid w:val="003F4180"/>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2F0B"/>
    <w:rsid w:val="00456764"/>
    <w:rsid w:val="004575B1"/>
    <w:rsid w:val="00457780"/>
    <w:rsid w:val="0046293D"/>
    <w:rsid w:val="0046308F"/>
    <w:rsid w:val="00465FFD"/>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7D2"/>
    <w:rsid w:val="004A2023"/>
    <w:rsid w:val="004A2179"/>
    <w:rsid w:val="004A32E9"/>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378F"/>
    <w:rsid w:val="00523827"/>
    <w:rsid w:val="00523AF4"/>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4F6C"/>
    <w:rsid w:val="00545552"/>
    <w:rsid w:val="00547B46"/>
    <w:rsid w:val="00552AF4"/>
    <w:rsid w:val="00552C27"/>
    <w:rsid w:val="005541D2"/>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30D6"/>
    <w:rsid w:val="005A45E1"/>
    <w:rsid w:val="005A5BF4"/>
    <w:rsid w:val="005A63BF"/>
    <w:rsid w:val="005A75B9"/>
    <w:rsid w:val="005A75C8"/>
    <w:rsid w:val="005B0065"/>
    <w:rsid w:val="005B275E"/>
    <w:rsid w:val="005B37A7"/>
    <w:rsid w:val="005B71D9"/>
    <w:rsid w:val="005B72CA"/>
    <w:rsid w:val="005C0AAB"/>
    <w:rsid w:val="005C24D1"/>
    <w:rsid w:val="005C2E67"/>
    <w:rsid w:val="005C393D"/>
    <w:rsid w:val="005C46EF"/>
    <w:rsid w:val="005C7788"/>
    <w:rsid w:val="005D0F26"/>
    <w:rsid w:val="005D1575"/>
    <w:rsid w:val="005D18E5"/>
    <w:rsid w:val="005D20F2"/>
    <w:rsid w:val="005D450D"/>
    <w:rsid w:val="005D49D6"/>
    <w:rsid w:val="005D7B0E"/>
    <w:rsid w:val="005E0C34"/>
    <w:rsid w:val="005E0C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4375"/>
    <w:rsid w:val="006370B3"/>
    <w:rsid w:val="006378FD"/>
    <w:rsid w:val="00637903"/>
    <w:rsid w:val="00637E93"/>
    <w:rsid w:val="00637F2E"/>
    <w:rsid w:val="00641217"/>
    <w:rsid w:val="00643AFE"/>
    <w:rsid w:val="0064532B"/>
    <w:rsid w:val="0064782F"/>
    <w:rsid w:val="00650FB0"/>
    <w:rsid w:val="0065161B"/>
    <w:rsid w:val="00651831"/>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569A"/>
    <w:rsid w:val="006820F4"/>
    <w:rsid w:val="00685872"/>
    <w:rsid w:val="006869C4"/>
    <w:rsid w:val="0068719C"/>
    <w:rsid w:val="00687D18"/>
    <w:rsid w:val="0069019B"/>
    <w:rsid w:val="00691D72"/>
    <w:rsid w:val="006974C8"/>
    <w:rsid w:val="00697B24"/>
    <w:rsid w:val="00697EA9"/>
    <w:rsid w:val="006A06EE"/>
    <w:rsid w:val="006A25CE"/>
    <w:rsid w:val="006A3281"/>
    <w:rsid w:val="006A4BA2"/>
    <w:rsid w:val="006A7FBB"/>
    <w:rsid w:val="006B0D3C"/>
    <w:rsid w:val="006B0E96"/>
    <w:rsid w:val="006B1ADB"/>
    <w:rsid w:val="006B3C71"/>
    <w:rsid w:val="006B4351"/>
    <w:rsid w:val="006B6D1C"/>
    <w:rsid w:val="006C227A"/>
    <w:rsid w:val="006C287A"/>
    <w:rsid w:val="006C344B"/>
    <w:rsid w:val="006C3D88"/>
    <w:rsid w:val="006D30BE"/>
    <w:rsid w:val="006D567A"/>
    <w:rsid w:val="006D58D2"/>
    <w:rsid w:val="006D5943"/>
    <w:rsid w:val="006E010B"/>
    <w:rsid w:val="006E16A8"/>
    <w:rsid w:val="006E382F"/>
    <w:rsid w:val="006E3EC4"/>
    <w:rsid w:val="006E6765"/>
    <w:rsid w:val="006E6953"/>
    <w:rsid w:val="006F1AAC"/>
    <w:rsid w:val="006F2097"/>
    <w:rsid w:val="006F344D"/>
    <w:rsid w:val="006F5052"/>
    <w:rsid w:val="006F63B1"/>
    <w:rsid w:val="00700CD9"/>
    <w:rsid w:val="00701BA9"/>
    <w:rsid w:val="007020B5"/>
    <w:rsid w:val="007029E6"/>
    <w:rsid w:val="00703008"/>
    <w:rsid w:val="007055F3"/>
    <w:rsid w:val="00706DA6"/>
    <w:rsid w:val="007071EB"/>
    <w:rsid w:val="00710463"/>
    <w:rsid w:val="00710837"/>
    <w:rsid w:val="00710B71"/>
    <w:rsid w:val="00714859"/>
    <w:rsid w:val="00714F92"/>
    <w:rsid w:val="0071524A"/>
    <w:rsid w:val="00716EEF"/>
    <w:rsid w:val="00717FD3"/>
    <w:rsid w:val="00720C41"/>
    <w:rsid w:val="00722FBA"/>
    <w:rsid w:val="0072313F"/>
    <w:rsid w:val="00727F36"/>
    <w:rsid w:val="0073012D"/>
    <w:rsid w:val="00732742"/>
    <w:rsid w:val="0073370C"/>
    <w:rsid w:val="00733A3B"/>
    <w:rsid w:val="00744479"/>
    <w:rsid w:val="00744FCC"/>
    <w:rsid w:val="00747D32"/>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9EF"/>
    <w:rsid w:val="007A0737"/>
    <w:rsid w:val="007A1182"/>
    <w:rsid w:val="007A341B"/>
    <w:rsid w:val="007A5951"/>
    <w:rsid w:val="007A6419"/>
    <w:rsid w:val="007A6A02"/>
    <w:rsid w:val="007A7335"/>
    <w:rsid w:val="007B06C6"/>
    <w:rsid w:val="007B16B5"/>
    <w:rsid w:val="007B4372"/>
    <w:rsid w:val="007B4578"/>
    <w:rsid w:val="007B50EE"/>
    <w:rsid w:val="007B6C05"/>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E1654"/>
    <w:rsid w:val="007E1922"/>
    <w:rsid w:val="007E4109"/>
    <w:rsid w:val="007E6083"/>
    <w:rsid w:val="007E7F1E"/>
    <w:rsid w:val="007F425A"/>
    <w:rsid w:val="007F5E84"/>
    <w:rsid w:val="007F5F08"/>
    <w:rsid w:val="007F5FD5"/>
    <w:rsid w:val="007F6127"/>
    <w:rsid w:val="007F6812"/>
    <w:rsid w:val="007F7A75"/>
    <w:rsid w:val="00803208"/>
    <w:rsid w:val="00807358"/>
    <w:rsid w:val="00810769"/>
    <w:rsid w:val="00810B6E"/>
    <w:rsid w:val="008151FE"/>
    <w:rsid w:val="008160B8"/>
    <w:rsid w:val="008209C0"/>
    <w:rsid w:val="0082268F"/>
    <w:rsid w:val="008237E0"/>
    <w:rsid w:val="00823D48"/>
    <w:rsid w:val="008244AF"/>
    <w:rsid w:val="00825E02"/>
    <w:rsid w:val="008261CD"/>
    <w:rsid w:val="00827211"/>
    <w:rsid w:val="00827C96"/>
    <w:rsid w:val="008314C9"/>
    <w:rsid w:val="008314D1"/>
    <w:rsid w:val="00831F79"/>
    <w:rsid w:val="008342B6"/>
    <w:rsid w:val="0083503B"/>
    <w:rsid w:val="0083719D"/>
    <w:rsid w:val="008372F3"/>
    <w:rsid w:val="00837C3F"/>
    <w:rsid w:val="00840E26"/>
    <w:rsid w:val="00841F9C"/>
    <w:rsid w:val="00842A8E"/>
    <w:rsid w:val="00845391"/>
    <w:rsid w:val="00846755"/>
    <w:rsid w:val="00847B72"/>
    <w:rsid w:val="00852B2F"/>
    <w:rsid w:val="00853159"/>
    <w:rsid w:val="0085576F"/>
    <w:rsid w:val="00857D31"/>
    <w:rsid w:val="00860870"/>
    <w:rsid w:val="0086264D"/>
    <w:rsid w:val="00863661"/>
    <w:rsid w:val="00863D3F"/>
    <w:rsid w:val="008640A9"/>
    <w:rsid w:val="00865130"/>
    <w:rsid w:val="0086561A"/>
    <w:rsid w:val="00866326"/>
    <w:rsid w:val="00867A66"/>
    <w:rsid w:val="00867D40"/>
    <w:rsid w:val="0087042D"/>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61E1"/>
    <w:rsid w:val="008D03BD"/>
    <w:rsid w:val="008D0497"/>
    <w:rsid w:val="008D1CB0"/>
    <w:rsid w:val="008D4B46"/>
    <w:rsid w:val="008D51C7"/>
    <w:rsid w:val="008D6598"/>
    <w:rsid w:val="008D6D39"/>
    <w:rsid w:val="008D6E21"/>
    <w:rsid w:val="008D7F22"/>
    <w:rsid w:val="008E3AA7"/>
    <w:rsid w:val="008E5FD0"/>
    <w:rsid w:val="008E64B5"/>
    <w:rsid w:val="008F1E56"/>
    <w:rsid w:val="008F6418"/>
    <w:rsid w:val="008F7C65"/>
    <w:rsid w:val="00900237"/>
    <w:rsid w:val="00900C9C"/>
    <w:rsid w:val="009023CD"/>
    <w:rsid w:val="00903251"/>
    <w:rsid w:val="009035CB"/>
    <w:rsid w:val="00904F9C"/>
    <w:rsid w:val="00907078"/>
    <w:rsid w:val="00907B49"/>
    <w:rsid w:val="009101B9"/>
    <w:rsid w:val="0091105D"/>
    <w:rsid w:val="009132A8"/>
    <w:rsid w:val="00913F0D"/>
    <w:rsid w:val="009149DE"/>
    <w:rsid w:val="0091581B"/>
    <w:rsid w:val="009169B4"/>
    <w:rsid w:val="0091754C"/>
    <w:rsid w:val="009175DE"/>
    <w:rsid w:val="00920046"/>
    <w:rsid w:val="00920A46"/>
    <w:rsid w:val="0092378E"/>
    <w:rsid w:val="00924D6A"/>
    <w:rsid w:val="00925EC5"/>
    <w:rsid w:val="0092772C"/>
    <w:rsid w:val="009306F8"/>
    <w:rsid w:val="0093237F"/>
    <w:rsid w:val="00934288"/>
    <w:rsid w:val="0093717B"/>
    <w:rsid w:val="00937855"/>
    <w:rsid w:val="00945EC2"/>
    <w:rsid w:val="009464E6"/>
    <w:rsid w:val="00950A42"/>
    <w:rsid w:val="009510CA"/>
    <w:rsid w:val="00954B1F"/>
    <w:rsid w:val="00957FDA"/>
    <w:rsid w:val="009633B2"/>
    <w:rsid w:val="00964157"/>
    <w:rsid w:val="009654D6"/>
    <w:rsid w:val="0097254D"/>
    <w:rsid w:val="00972E53"/>
    <w:rsid w:val="00974D6B"/>
    <w:rsid w:val="00975CFC"/>
    <w:rsid w:val="00977590"/>
    <w:rsid w:val="00977707"/>
    <w:rsid w:val="00977A5E"/>
    <w:rsid w:val="0098116C"/>
    <w:rsid w:val="009836C4"/>
    <w:rsid w:val="009854E2"/>
    <w:rsid w:val="00986A6C"/>
    <w:rsid w:val="00991D87"/>
    <w:rsid w:val="009939F1"/>
    <w:rsid w:val="00994A54"/>
    <w:rsid w:val="00996755"/>
    <w:rsid w:val="00997359"/>
    <w:rsid w:val="009A0BCB"/>
    <w:rsid w:val="009A53E3"/>
    <w:rsid w:val="009B028A"/>
    <w:rsid w:val="009B5201"/>
    <w:rsid w:val="009C2E57"/>
    <w:rsid w:val="009C401C"/>
    <w:rsid w:val="009D1A5A"/>
    <w:rsid w:val="009D37AC"/>
    <w:rsid w:val="009D3EA9"/>
    <w:rsid w:val="009D54CB"/>
    <w:rsid w:val="009D799E"/>
    <w:rsid w:val="009E0628"/>
    <w:rsid w:val="009E1506"/>
    <w:rsid w:val="009E391F"/>
    <w:rsid w:val="009E4F61"/>
    <w:rsid w:val="009E55D8"/>
    <w:rsid w:val="009E60EB"/>
    <w:rsid w:val="009E69C0"/>
    <w:rsid w:val="009F074C"/>
    <w:rsid w:val="009F204C"/>
    <w:rsid w:val="009F31F8"/>
    <w:rsid w:val="009F354C"/>
    <w:rsid w:val="009F4F17"/>
    <w:rsid w:val="00A02889"/>
    <w:rsid w:val="00A031CD"/>
    <w:rsid w:val="00A03B8F"/>
    <w:rsid w:val="00A04F9A"/>
    <w:rsid w:val="00A05DF3"/>
    <w:rsid w:val="00A10757"/>
    <w:rsid w:val="00A10B3D"/>
    <w:rsid w:val="00A13C8B"/>
    <w:rsid w:val="00A153E9"/>
    <w:rsid w:val="00A17462"/>
    <w:rsid w:val="00A177BC"/>
    <w:rsid w:val="00A17933"/>
    <w:rsid w:val="00A2176D"/>
    <w:rsid w:val="00A21819"/>
    <w:rsid w:val="00A22C5E"/>
    <w:rsid w:val="00A277B8"/>
    <w:rsid w:val="00A27998"/>
    <w:rsid w:val="00A32952"/>
    <w:rsid w:val="00A342F7"/>
    <w:rsid w:val="00A34CA2"/>
    <w:rsid w:val="00A3579C"/>
    <w:rsid w:val="00A35E73"/>
    <w:rsid w:val="00A3653F"/>
    <w:rsid w:val="00A36877"/>
    <w:rsid w:val="00A41B11"/>
    <w:rsid w:val="00A4479C"/>
    <w:rsid w:val="00A463C5"/>
    <w:rsid w:val="00A46519"/>
    <w:rsid w:val="00A467CB"/>
    <w:rsid w:val="00A472B6"/>
    <w:rsid w:val="00A47C5C"/>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1CF9"/>
    <w:rsid w:val="00A744A6"/>
    <w:rsid w:val="00A74670"/>
    <w:rsid w:val="00A75A4D"/>
    <w:rsid w:val="00A770AD"/>
    <w:rsid w:val="00A80FAB"/>
    <w:rsid w:val="00A847DE"/>
    <w:rsid w:val="00A84B75"/>
    <w:rsid w:val="00A8522A"/>
    <w:rsid w:val="00A85806"/>
    <w:rsid w:val="00A90680"/>
    <w:rsid w:val="00A90976"/>
    <w:rsid w:val="00A90D02"/>
    <w:rsid w:val="00A93EE5"/>
    <w:rsid w:val="00AA02D4"/>
    <w:rsid w:val="00AA1B71"/>
    <w:rsid w:val="00AA2404"/>
    <w:rsid w:val="00AA31B0"/>
    <w:rsid w:val="00AA4062"/>
    <w:rsid w:val="00AA44A2"/>
    <w:rsid w:val="00AA56A4"/>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4086"/>
    <w:rsid w:val="00B15F39"/>
    <w:rsid w:val="00B16ACB"/>
    <w:rsid w:val="00B1742A"/>
    <w:rsid w:val="00B204A1"/>
    <w:rsid w:val="00B219AE"/>
    <w:rsid w:val="00B23B8C"/>
    <w:rsid w:val="00B26A4B"/>
    <w:rsid w:val="00B2713A"/>
    <w:rsid w:val="00B27C5F"/>
    <w:rsid w:val="00B30D85"/>
    <w:rsid w:val="00B31F5D"/>
    <w:rsid w:val="00B32CDD"/>
    <w:rsid w:val="00B33034"/>
    <w:rsid w:val="00B33BD3"/>
    <w:rsid w:val="00B34C82"/>
    <w:rsid w:val="00B34FEA"/>
    <w:rsid w:val="00B353D5"/>
    <w:rsid w:val="00B401C4"/>
    <w:rsid w:val="00B401E8"/>
    <w:rsid w:val="00B402A9"/>
    <w:rsid w:val="00B40E60"/>
    <w:rsid w:val="00B41184"/>
    <w:rsid w:val="00B4234F"/>
    <w:rsid w:val="00B423FA"/>
    <w:rsid w:val="00B4289E"/>
    <w:rsid w:val="00B434A7"/>
    <w:rsid w:val="00B437A0"/>
    <w:rsid w:val="00B44434"/>
    <w:rsid w:val="00B452D0"/>
    <w:rsid w:val="00B46FB3"/>
    <w:rsid w:val="00B50744"/>
    <w:rsid w:val="00B51355"/>
    <w:rsid w:val="00B5191F"/>
    <w:rsid w:val="00B51D74"/>
    <w:rsid w:val="00B54ADE"/>
    <w:rsid w:val="00B55C34"/>
    <w:rsid w:val="00B57F03"/>
    <w:rsid w:val="00B57F04"/>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5599"/>
    <w:rsid w:val="00BF7B2E"/>
    <w:rsid w:val="00C025F2"/>
    <w:rsid w:val="00C06133"/>
    <w:rsid w:val="00C06595"/>
    <w:rsid w:val="00C10324"/>
    <w:rsid w:val="00C1035C"/>
    <w:rsid w:val="00C105D7"/>
    <w:rsid w:val="00C107EE"/>
    <w:rsid w:val="00C11493"/>
    <w:rsid w:val="00C11B33"/>
    <w:rsid w:val="00C14B78"/>
    <w:rsid w:val="00C17E80"/>
    <w:rsid w:val="00C20838"/>
    <w:rsid w:val="00C23E02"/>
    <w:rsid w:val="00C24386"/>
    <w:rsid w:val="00C25776"/>
    <w:rsid w:val="00C27AE9"/>
    <w:rsid w:val="00C27E3E"/>
    <w:rsid w:val="00C3556B"/>
    <w:rsid w:val="00C3609F"/>
    <w:rsid w:val="00C36118"/>
    <w:rsid w:val="00C36337"/>
    <w:rsid w:val="00C3696F"/>
    <w:rsid w:val="00C37D9B"/>
    <w:rsid w:val="00C413E4"/>
    <w:rsid w:val="00C41917"/>
    <w:rsid w:val="00C426E9"/>
    <w:rsid w:val="00C43A67"/>
    <w:rsid w:val="00C441CE"/>
    <w:rsid w:val="00C445A9"/>
    <w:rsid w:val="00C4548B"/>
    <w:rsid w:val="00C51ABB"/>
    <w:rsid w:val="00C53BB6"/>
    <w:rsid w:val="00C57BDD"/>
    <w:rsid w:val="00C57DD5"/>
    <w:rsid w:val="00C60605"/>
    <w:rsid w:val="00C60D33"/>
    <w:rsid w:val="00C61E6E"/>
    <w:rsid w:val="00C64F93"/>
    <w:rsid w:val="00C65E47"/>
    <w:rsid w:val="00C66124"/>
    <w:rsid w:val="00C667AE"/>
    <w:rsid w:val="00C70C7A"/>
    <w:rsid w:val="00C7235A"/>
    <w:rsid w:val="00C73054"/>
    <w:rsid w:val="00C733D3"/>
    <w:rsid w:val="00C7527E"/>
    <w:rsid w:val="00C7685A"/>
    <w:rsid w:val="00C76C70"/>
    <w:rsid w:val="00C80D9D"/>
    <w:rsid w:val="00C854C5"/>
    <w:rsid w:val="00C90015"/>
    <w:rsid w:val="00C90685"/>
    <w:rsid w:val="00C90A41"/>
    <w:rsid w:val="00C93B88"/>
    <w:rsid w:val="00C94EE5"/>
    <w:rsid w:val="00CA08FD"/>
    <w:rsid w:val="00CA11E5"/>
    <w:rsid w:val="00CA172D"/>
    <w:rsid w:val="00CA335D"/>
    <w:rsid w:val="00CA58E1"/>
    <w:rsid w:val="00CA5ADB"/>
    <w:rsid w:val="00CA68E7"/>
    <w:rsid w:val="00CB0B3F"/>
    <w:rsid w:val="00CB11BC"/>
    <w:rsid w:val="00CB513A"/>
    <w:rsid w:val="00CB53F8"/>
    <w:rsid w:val="00CB6561"/>
    <w:rsid w:val="00CB6C02"/>
    <w:rsid w:val="00CC1280"/>
    <w:rsid w:val="00CC3A13"/>
    <w:rsid w:val="00CC3A49"/>
    <w:rsid w:val="00CC4D5E"/>
    <w:rsid w:val="00CC5132"/>
    <w:rsid w:val="00CC6071"/>
    <w:rsid w:val="00CD0605"/>
    <w:rsid w:val="00CD22F9"/>
    <w:rsid w:val="00CD2825"/>
    <w:rsid w:val="00CD343A"/>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ECB"/>
    <w:rsid w:val="00CF653E"/>
    <w:rsid w:val="00CF6F9E"/>
    <w:rsid w:val="00CF7BE0"/>
    <w:rsid w:val="00D01D7D"/>
    <w:rsid w:val="00D02BE8"/>
    <w:rsid w:val="00D04195"/>
    <w:rsid w:val="00D05CEF"/>
    <w:rsid w:val="00D07405"/>
    <w:rsid w:val="00D10303"/>
    <w:rsid w:val="00D12282"/>
    <w:rsid w:val="00D13446"/>
    <w:rsid w:val="00D13817"/>
    <w:rsid w:val="00D13A24"/>
    <w:rsid w:val="00D15A4A"/>
    <w:rsid w:val="00D201DA"/>
    <w:rsid w:val="00D215CB"/>
    <w:rsid w:val="00D22056"/>
    <w:rsid w:val="00D222A1"/>
    <w:rsid w:val="00D243A5"/>
    <w:rsid w:val="00D2526B"/>
    <w:rsid w:val="00D264BE"/>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87CBD"/>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CD7"/>
    <w:rsid w:val="00DD3477"/>
    <w:rsid w:val="00DD3D93"/>
    <w:rsid w:val="00DD40F5"/>
    <w:rsid w:val="00DD5AAA"/>
    <w:rsid w:val="00DD6928"/>
    <w:rsid w:val="00DE0BE2"/>
    <w:rsid w:val="00DE1C66"/>
    <w:rsid w:val="00DE1CF8"/>
    <w:rsid w:val="00DE2DEA"/>
    <w:rsid w:val="00DE5B7E"/>
    <w:rsid w:val="00DE61A4"/>
    <w:rsid w:val="00DE6E2C"/>
    <w:rsid w:val="00DE74E0"/>
    <w:rsid w:val="00DF0DB5"/>
    <w:rsid w:val="00DF42DE"/>
    <w:rsid w:val="00DF47E7"/>
    <w:rsid w:val="00DF49C8"/>
    <w:rsid w:val="00DF53E5"/>
    <w:rsid w:val="00E00781"/>
    <w:rsid w:val="00E01BC1"/>
    <w:rsid w:val="00E01BE5"/>
    <w:rsid w:val="00E01BEC"/>
    <w:rsid w:val="00E026DC"/>
    <w:rsid w:val="00E02E0C"/>
    <w:rsid w:val="00E032F1"/>
    <w:rsid w:val="00E036B1"/>
    <w:rsid w:val="00E04FDA"/>
    <w:rsid w:val="00E06326"/>
    <w:rsid w:val="00E06C1A"/>
    <w:rsid w:val="00E06F24"/>
    <w:rsid w:val="00E07FD6"/>
    <w:rsid w:val="00E13B0E"/>
    <w:rsid w:val="00E15C59"/>
    <w:rsid w:val="00E16261"/>
    <w:rsid w:val="00E20312"/>
    <w:rsid w:val="00E20403"/>
    <w:rsid w:val="00E209B5"/>
    <w:rsid w:val="00E20DB7"/>
    <w:rsid w:val="00E2232F"/>
    <w:rsid w:val="00E25AB5"/>
    <w:rsid w:val="00E302BE"/>
    <w:rsid w:val="00E3075F"/>
    <w:rsid w:val="00E31F3F"/>
    <w:rsid w:val="00E321C8"/>
    <w:rsid w:val="00E32815"/>
    <w:rsid w:val="00E40203"/>
    <w:rsid w:val="00E41A31"/>
    <w:rsid w:val="00E443DE"/>
    <w:rsid w:val="00E46A38"/>
    <w:rsid w:val="00E52314"/>
    <w:rsid w:val="00E52942"/>
    <w:rsid w:val="00E52AE4"/>
    <w:rsid w:val="00E56761"/>
    <w:rsid w:val="00E638CF"/>
    <w:rsid w:val="00E64DBF"/>
    <w:rsid w:val="00E663ED"/>
    <w:rsid w:val="00E66D37"/>
    <w:rsid w:val="00E71663"/>
    <w:rsid w:val="00E72050"/>
    <w:rsid w:val="00E7366F"/>
    <w:rsid w:val="00E74A9C"/>
    <w:rsid w:val="00E74CD6"/>
    <w:rsid w:val="00E751D0"/>
    <w:rsid w:val="00E8218C"/>
    <w:rsid w:val="00E8244F"/>
    <w:rsid w:val="00E8295B"/>
    <w:rsid w:val="00E83A0B"/>
    <w:rsid w:val="00E83B6C"/>
    <w:rsid w:val="00E83C20"/>
    <w:rsid w:val="00E87BF0"/>
    <w:rsid w:val="00E902F4"/>
    <w:rsid w:val="00E919AB"/>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1DD1"/>
    <w:rsid w:val="00EB36C9"/>
    <w:rsid w:val="00EB49E6"/>
    <w:rsid w:val="00EB5684"/>
    <w:rsid w:val="00EB6A35"/>
    <w:rsid w:val="00EC30C5"/>
    <w:rsid w:val="00EC47C9"/>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07397"/>
    <w:rsid w:val="00F12D43"/>
    <w:rsid w:val="00F13062"/>
    <w:rsid w:val="00F14EC6"/>
    <w:rsid w:val="00F1665D"/>
    <w:rsid w:val="00F17582"/>
    <w:rsid w:val="00F20CD4"/>
    <w:rsid w:val="00F21890"/>
    <w:rsid w:val="00F26503"/>
    <w:rsid w:val="00F26B75"/>
    <w:rsid w:val="00F278D2"/>
    <w:rsid w:val="00F31131"/>
    <w:rsid w:val="00F313D5"/>
    <w:rsid w:val="00F31E1E"/>
    <w:rsid w:val="00F348AE"/>
    <w:rsid w:val="00F34992"/>
    <w:rsid w:val="00F3543A"/>
    <w:rsid w:val="00F35761"/>
    <w:rsid w:val="00F44352"/>
    <w:rsid w:val="00F44AF7"/>
    <w:rsid w:val="00F44E60"/>
    <w:rsid w:val="00F46A1D"/>
    <w:rsid w:val="00F47873"/>
    <w:rsid w:val="00F511C1"/>
    <w:rsid w:val="00F52576"/>
    <w:rsid w:val="00F52D81"/>
    <w:rsid w:val="00F54D93"/>
    <w:rsid w:val="00F55DF0"/>
    <w:rsid w:val="00F56BC9"/>
    <w:rsid w:val="00F56C79"/>
    <w:rsid w:val="00F57C43"/>
    <w:rsid w:val="00F61401"/>
    <w:rsid w:val="00F618D9"/>
    <w:rsid w:val="00F6248E"/>
    <w:rsid w:val="00F63C2E"/>
    <w:rsid w:val="00F63C33"/>
    <w:rsid w:val="00F63F80"/>
    <w:rsid w:val="00F64178"/>
    <w:rsid w:val="00F64437"/>
    <w:rsid w:val="00F64578"/>
    <w:rsid w:val="00F64AF9"/>
    <w:rsid w:val="00F64B41"/>
    <w:rsid w:val="00F64E90"/>
    <w:rsid w:val="00F64FA6"/>
    <w:rsid w:val="00F65EEF"/>
    <w:rsid w:val="00F664EB"/>
    <w:rsid w:val="00F665F5"/>
    <w:rsid w:val="00F70136"/>
    <w:rsid w:val="00F703A6"/>
    <w:rsid w:val="00F70E7C"/>
    <w:rsid w:val="00F71348"/>
    <w:rsid w:val="00F724A8"/>
    <w:rsid w:val="00F73151"/>
    <w:rsid w:val="00F734E3"/>
    <w:rsid w:val="00F737D0"/>
    <w:rsid w:val="00F74501"/>
    <w:rsid w:val="00F74504"/>
    <w:rsid w:val="00F765FE"/>
    <w:rsid w:val="00F76F26"/>
    <w:rsid w:val="00F77442"/>
    <w:rsid w:val="00F77737"/>
    <w:rsid w:val="00F82BC4"/>
    <w:rsid w:val="00F85BC6"/>
    <w:rsid w:val="00F8666A"/>
    <w:rsid w:val="00F86E63"/>
    <w:rsid w:val="00F90A2B"/>
    <w:rsid w:val="00F93CC9"/>
    <w:rsid w:val="00F95208"/>
    <w:rsid w:val="00F964B8"/>
    <w:rsid w:val="00FA0B1C"/>
    <w:rsid w:val="00FA2730"/>
    <w:rsid w:val="00FA477A"/>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6052"/>
    <w:rsid w:val="00FD71B1"/>
    <w:rsid w:val="00FE04C4"/>
    <w:rsid w:val="00FE0938"/>
    <w:rsid w:val="00FE164F"/>
    <w:rsid w:val="00FE22B0"/>
    <w:rsid w:val="00FE2B9B"/>
    <w:rsid w:val="00FE6E59"/>
    <w:rsid w:val="00FE6E67"/>
    <w:rsid w:val="00FF1D02"/>
    <w:rsid w:val="00FF1FE4"/>
    <w:rsid w:val="00FF2A96"/>
    <w:rsid w:val="00FF306B"/>
    <w:rsid w:val="00FF4262"/>
    <w:rsid w:val="00FF64D3"/>
    <w:rsid w:val="00FF6919"/>
    <w:rsid w:val="00FF71FD"/>
    <w:rsid w:val="0FE62D8B"/>
    <w:rsid w:val="14D00370"/>
    <w:rsid w:val="19A325C0"/>
    <w:rsid w:val="26EF1153"/>
    <w:rsid w:val="38533FF4"/>
    <w:rsid w:val="398A53ED"/>
    <w:rsid w:val="3BC6282C"/>
    <w:rsid w:val="3F746402"/>
    <w:rsid w:val="422017C6"/>
    <w:rsid w:val="455D0CB0"/>
    <w:rsid w:val="46EE6F5B"/>
    <w:rsid w:val="4F29161D"/>
    <w:rsid w:val="64BC6847"/>
    <w:rsid w:val="6CAD4ECB"/>
    <w:rsid w:val="74307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3"/>
    <w:qFormat/>
    <w:uiPriority w:val="0"/>
    <w:pPr>
      <w:keepNext/>
      <w:keepLines/>
      <w:spacing w:before="340" w:after="330" w:line="576" w:lineRule="auto"/>
      <w:jc w:val="center"/>
      <w:outlineLvl w:val="0"/>
    </w:pPr>
    <w:rPr>
      <w:b/>
      <w:bCs/>
      <w:kern w:val="44"/>
      <w:sz w:val="36"/>
      <w:szCs w:val="44"/>
      <w:lang w:val="zh-CN" w:eastAsia="zh-CN"/>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4">
    <w:name w:val="heading 3"/>
    <w:basedOn w:val="1"/>
    <w:next w:val="1"/>
    <w:link w:val="55"/>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226"/>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7"/>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8"/>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9"/>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60"/>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61"/>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3">
    <w:name w:val="Default Paragraph Font"/>
    <w:semiHidden/>
    <w:unhideWhenUsed/>
    <w:qFormat/>
    <w:uiPriority w:val="1"/>
  </w:style>
  <w:style w:type="table" w:default="1" w:styleId="50">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92"/>
    <w:qFormat/>
    <w:uiPriority w:val="0"/>
    <w:pPr>
      <w:suppressAutoHyphens/>
    </w:pPr>
    <w:rPr>
      <w:rFonts w:ascii="宋体" w:hAnsi="宋体"/>
      <w:b/>
      <w:kern w:val="21"/>
      <w:lang w:eastAsia="ar-SA"/>
    </w:rPr>
  </w:style>
  <w:style w:type="paragraph" w:styleId="12">
    <w:name w:val="annotation text"/>
    <w:basedOn w:val="1"/>
    <w:link w:val="191"/>
    <w:qFormat/>
    <w:uiPriority w:val="0"/>
    <w:pPr>
      <w:jc w:val="left"/>
    </w:pPr>
  </w:style>
  <w:style w:type="paragraph" w:styleId="13">
    <w:name w:val="toc 7"/>
    <w:basedOn w:val="14"/>
    <w:next w:val="1"/>
    <w:qFormat/>
    <w:uiPriority w:val="39"/>
    <w:pPr>
      <w:suppressLineNumbers w:val="0"/>
      <w:ind w:left="1260"/>
      <w:jc w:val="left"/>
    </w:pPr>
    <w:rPr>
      <w:rFonts w:ascii="Times New Roman" w:hAnsi="Times New Roman"/>
      <w:sz w:val="18"/>
    </w:rPr>
  </w:style>
  <w:style w:type="paragraph" w:customStyle="1" w:styleId="14">
    <w:name w:val="目录"/>
    <w:basedOn w:val="1"/>
    <w:qFormat/>
    <w:uiPriority w:val="0"/>
    <w:pPr>
      <w:suppressLineNumbers/>
      <w:suppressAutoHyphens/>
    </w:pPr>
    <w:rPr>
      <w:rFonts w:ascii="宋体" w:hAnsi="宋体"/>
      <w:kern w:val="21"/>
      <w:lang w:eastAsia="ar-SA"/>
    </w:rPr>
  </w:style>
  <w:style w:type="paragraph" w:styleId="15">
    <w:name w:val="Body Text First Indent"/>
    <w:basedOn w:val="16"/>
    <w:link w:val="213"/>
    <w:qFormat/>
    <w:uiPriority w:val="0"/>
    <w:pPr>
      <w:ind w:firstLine="420" w:firstLineChars="100"/>
    </w:pPr>
    <w:rPr>
      <w:kern w:val="2"/>
      <w:sz w:val="28"/>
    </w:rPr>
  </w:style>
  <w:style w:type="paragraph" w:styleId="16">
    <w:name w:val="Body Text"/>
    <w:basedOn w:val="1"/>
    <w:link w:val="81"/>
    <w:qFormat/>
    <w:uiPriority w:val="0"/>
    <w:pPr>
      <w:spacing w:after="120"/>
    </w:pPr>
    <w:rPr>
      <w:kern w:val="0"/>
      <w:sz w:val="20"/>
      <w:szCs w:val="24"/>
    </w:rPr>
  </w:style>
  <w:style w:type="paragraph" w:styleId="17">
    <w:name w:val="Normal Indent"/>
    <w:basedOn w:val="1"/>
    <w:qFormat/>
    <w:uiPriority w:val="0"/>
    <w:pPr>
      <w:ind w:firstLine="420"/>
    </w:pPr>
  </w:style>
  <w:style w:type="paragraph" w:styleId="18">
    <w:name w:val="Document Map"/>
    <w:basedOn w:val="1"/>
    <w:link w:val="204"/>
    <w:qFormat/>
    <w:uiPriority w:val="0"/>
    <w:pPr>
      <w:shd w:val="clear" w:color="auto" w:fill="000080"/>
      <w:suppressAutoHyphens/>
    </w:pPr>
    <w:rPr>
      <w:rFonts w:ascii="宋体" w:hAnsi="宋体"/>
      <w:kern w:val="21"/>
      <w:lang w:eastAsia="ar-SA"/>
    </w:rPr>
  </w:style>
  <w:style w:type="paragraph" w:styleId="19">
    <w:name w:val="toa heading"/>
    <w:basedOn w:val="1"/>
    <w:next w:val="1"/>
    <w:unhideWhenUsed/>
    <w:qFormat/>
    <w:uiPriority w:val="99"/>
    <w:pPr>
      <w:widowControl/>
      <w:tabs>
        <w:tab w:val="left" w:pos="9000"/>
        <w:tab w:val="right" w:pos="9360"/>
      </w:tabs>
      <w:suppressAutoHyphens/>
      <w:jc w:val="left"/>
    </w:pPr>
    <w:rPr>
      <w:rFonts w:ascii="Courier" w:hAnsi="Courier"/>
      <w:kern w:val="0"/>
      <w:sz w:val="20"/>
      <w:lang w:eastAsia="en-US"/>
    </w:rPr>
  </w:style>
  <w:style w:type="paragraph" w:styleId="20">
    <w:name w:val="Body Text 3"/>
    <w:basedOn w:val="1"/>
    <w:link w:val="123"/>
    <w:qFormat/>
    <w:uiPriority w:val="0"/>
    <w:rPr>
      <w:rFonts w:ascii="黑体" w:hAnsi="Arial" w:eastAsia="黑体"/>
      <w:b/>
      <w:kern w:val="0"/>
    </w:rPr>
  </w:style>
  <w:style w:type="paragraph" w:styleId="21">
    <w:name w:val="Body Text Indent"/>
    <w:basedOn w:val="1"/>
    <w:link w:val="114"/>
    <w:qFormat/>
    <w:uiPriority w:val="0"/>
    <w:pPr>
      <w:ind w:firstLine="830" w:firstLineChars="352"/>
    </w:pPr>
    <w:rPr>
      <w:rFonts w:ascii="仿宋_GB2312" w:eastAsia="仿宋_GB2312"/>
      <w:kern w:val="0"/>
      <w:sz w:val="32"/>
    </w:rPr>
  </w:style>
  <w:style w:type="paragraph" w:styleId="22">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3">
    <w:name w:val="toc 5"/>
    <w:basedOn w:val="14"/>
    <w:next w:val="1"/>
    <w:qFormat/>
    <w:uiPriority w:val="39"/>
    <w:pPr>
      <w:suppressLineNumbers w:val="0"/>
      <w:ind w:left="840"/>
      <w:jc w:val="left"/>
    </w:pPr>
    <w:rPr>
      <w:rFonts w:ascii="Times New Roman" w:hAnsi="Times New Roman"/>
      <w:sz w:val="18"/>
    </w:rPr>
  </w:style>
  <w:style w:type="paragraph" w:styleId="24">
    <w:name w:val="toc 3"/>
    <w:basedOn w:val="1"/>
    <w:next w:val="1"/>
    <w:qFormat/>
    <w:uiPriority w:val="39"/>
    <w:pPr>
      <w:ind w:left="840" w:leftChars="400"/>
    </w:pPr>
  </w:style>
  <w:style w:type="paragraph" w:styleId="25">
    <w:name w:val="Plain Text"/>
    <w:basedOn w:val="1"/>
    <w:link w:val="64"/>
    <w:qFormat/>
    <w:uiPriority w:val="0"/>
    <w:rPr>
      <w:rFonts w:ascii="宋体" w:hAnsi="Courier New" w:cs="Courier New"/>
      <w:kern w:val="0"/>
      <w:sz w:val="20"/>
      <w:szCs w:val="21"/>
    </w:rPr>
  </w:style>
  <w:style w:type="paragraph" w:styleId="26">
    <w:name w:val="toc 8"/>
    <w:basedOn w:val="14"/>
    <w:next w:val="1"/>
    <w:qFormat/>
    <w:uiPriority w:val="39"/>
    <w:pPr>
      <w:suppressLineNumbers w:val="0"/>
      <w:ind w:left="1470"/>
      <w:jc w:val="left"/>
    </w:pPr>
    <w:rPr>
      <w:rFonts w:ascii="Times New Roman" w:hAnsi="Times New Roman"/>
      <w:sz w:val="18"/>
    </w:rPr>
  </w:style>
  <w:style w:type="paragraph" w:styleId="27">
    <w:name w:val="Date"/>
    <w:basedOn w:val="1"/>
    <w:next w:val="1"/>
    <w:link w:val="116"/>
    <w:qFormat/>
    <w:uiPriority w:val="0"/>
    <w:pPr>
      <w:ind w:left="100" w:leftChars="2500"/>
    </w:pPr>
    <w:rPr>
      <w:rFonts w:ascii="宋体" w:hAnsi="Courier New" w:cs="Courier New"/>
      <w:kern w:val="0"/>
      <w:sz w:val="20"/>
      <w:szCs w:val="21"/>
    </w:rPr>
  </w:style>
  <w:style w:type="paragraph" w:styleId="28">
    <w:name w:val="Body Text Indent 2"/>
    <w:basedOn w:val="1"/>
    <w:link w:val="109"/>
    <w:qFormat/>
    <w:uiPriority w:val="0"/>
    <w:pPr>
      <w:spacing w:after="120" w:line="480" w:lineRule="auto"/>
      <w:ind w:left="420" w:leftChars="200"/>
    </w:pPr>
    <w:rPr>
      <w:kern w:val="0"/>
      <w:sz w:val="20"/>
      <w:szCs w:val="24"/>
    </w:rPr>
  </w:style>
  <w:style w:type="paragraph" w:styleId="29">
    <w:name w:val="Balloon Text"/>
    <w:basedOn w:val="1"/>
    <w:link w:val="105"/>
    <w:qFormat/>
    <w:uiPriority w:val="0"/>
    <w:rPr>
      <w:kern w:val="0"/>
      <w:sz w:val="18"/>
      <w:szCs w:val="18"/>
    </w:rPr>
  </w:style>
  <w:style w:type="paragraph" w:styleId="30">
    <w:name w:val="footer"/>
    <w:basedOn w:val="1"/>
    <w:link w:val="128"/>
    <w:qFormat/>
    <w:uiPriority w:val="0"/>
    <w:pPr>
      <w:tabs>
        <w:tab w:val="center" w:pos="4153"/>
        <w:tab w:val="right" w:pos="8306"/>
      </w:tabs>
      <w:snapToGrid w:val="0"/>
      <w:jc w:val="left"/>
    </w:pPr>
    <w:rPr>
      <w:kern w:val="0"/>
      <w:sz w:val="18"/>
      <w:szCs w:val="18"/>
    </w:rPr>
  </w:style>
  <w:style w:type="paragraph" w:styleId="31">
    <w:name w:val="header"/>
    <w:basedOn w:val="1"/>
    <w:link w:val="70"/>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qFormat/>
    <w:uiPriority w:val="39"/>
    <w:pPr>
      <w:spacing w:before="120" w:after="120"/>
      <w:jc w:val="left"/>
    </w:pPr>
    <w:rPr>
      <w:b/>
      <w:bCs/>
      <w:caps/>
    </w:rPr>
  </w:style>
  <w:style w:type="paragraph" w:styleId="33">
    <w:name w:val="toc 4"/>
    <w:basedOn w:val="1"/>
    <w:next w:val="1"/>
    <w:qFormat/>
    <w:uiPriority w:val="39"/>
    <w:pPr>
      <w:ind w:left="1260" w:leftChars="600"/>
    </w:pPr>
    <w:rPr>
      <w:szCs w:val="24"/>
    </w:rPr>
  </w:style>
  <w:style w:type="paragraph" w:styleId="34">
    <w:name w:val="Subtitle"/>
    <w:basedOn w:val="1"/>
    <w:next w:val="1"/>
    <w:link w:val="63"/>
    <w:qFormat/>
    <w:uiPriority w:val="0"/>
    <w:pPr>
      <w:spacing w:before="240" w:after="60" w:line="312" w:lineRule="auto"/>
      <w:jc w:val="center"/>
      <w:outlineLvl w:val="1"/>
    </w:pPr>
    <w:rPr>
      <w:rFonts w:ascii="Cambria" w:hAnsi="Cambria" w:eastAsia="方正楷体简体"/>
      <w:bCs/>
      <w:kern w:val="28"/>
      <w:sz w:val="20"/>
      <w:szCs w:val="32"/>
    </w:rPr>
  </w:style>
  <w:style w:type="paragraph" w:styleId="35">
    <w:name w:val="List"/>
    <w:basedOn w:val="16"/>
    <w:qFormat/>
    <w:uiPriority w:val="0"/>
    <w:pPr>
      <w:suppressAutoHyphens/>
    </w:pPr>
    <w:rPr>
      <w:rFonts w:hint="eastAsia" w:ascii="方正大黑简体" w:hAnsi="宋体"/>
      <w:kern w:val="44"/>
      <w:position w:val="6"/>
      <w:sz w:val="30"/>
      <w:szCs w:val="20"/>
    </w:rPr>
  </w:style>
  <w:style w:type="paragraph" w:styleId="36">
    <w:name w:val="toc 6"/>
    <w:basedOn w:val="14"/>
    <w:next w:val="1"/>
    <w:qFormat/>
    <w:uiPriority w:val="39"/>
    <w:pPr>
      <w:suppressLineNumbers w:val="0"/>
      <w:ind w:left="1050"/>
      <w:jc w:val="left"/>
    </w:pPr>
    <w:rPr>
      <w:rFonts w:ascii="Times New Roman" w:hAnsi="Times New Roman"/>
      <w:sz w:val="18"/>
    </w:rPr>
  </w:style>
  <w:style w:type="paragraph" w:styleId="37">
    <w:name w:val="Body Text Indent 3"/>
    <w:basedOn w:val="1"/>
    <w:link w:val="92"/>
    <w:qFormat/>
    <w:uiPriority w:val="0"/>
    <w:pPr>
      <w:spacing w:after="120"/>
      <w:ind w:left="420" w:leftChars="200"/>
    </w:pPr>
    <w:rPr>
      <w:kern w:val="0"/>
      <w:sz w:val="16"/>
      <w:szCs w:val="16"/>
    </w:rPr>
  </w:style>
  <w:style w:type="paragraph" w:styleId="38">
    <w:name w:val="toc 2"/>
    <w:basedOn w:val="1"/>
    <w:next w:val="1"/>
    <w:qFormat/>
    <w:uiPriority w:val="39"/>
    <w:pPr>
      <w:ind w:left="420" w:leftChars="200"/>
    </w:pPr>
    <w:rPr>
      <w:sz w:val="24"/>
    </w:rPr>
  </w:style>
  <w:style w:type="paragraph" w:styleId="39">
    <w:name w:val="toc 9"/>
    <w:basedOn w:val="14"/>
    <w:next w:val="1"/>
    <w:qFormat/>
    <w:uiPriority w:val="39"/>
    <w:pPr>
      <w:suppressLineNumbers w:val="0"/>
      <w:ind w:left="1680"/>
      <w:jc w:val="left"/>
    </w:pPr>
    <w:rPr>
      <w:rFonts w:ascii="Times New Roman" w:hAnsi="Times New Roman"/>
      <w:sz w:val="18"/>
    </w:rPr>
  </w:style>
  <w:style w:type="paragraph" w:styleId="40">
    <w:name w:val="HTML Preformatted"/>
    <w:basedOn w:val="1"/>
    <w:link w:val="1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2">
    <w:name w:val="Title"/>
    <w:basedOn w:val="1"/>
    <w:next w:val="1"/>
    <w:link w:val="62"/>
    <w:qFormat/>
    <w:uiPriority w:val="99"/>
    <w:pPr>
      <w:spacing w:before="240" w:after="60"/>
      <w:jc w:val="center"/>
      <w:outlineLvl w:val="0"/>
    </w:pPr>
    <w:rPr>
      <w:rFonts w:ascii="Cambria" w:hAnsi="Cambria" w:eastAsia="方正小标宋简体"/>
      <w:b/>
      <w:bCs/>
      <w:kern w:val="0"/>
      <w:sz w:val="44"/>
      <w:szCs w:val="32"/>
    </w:rPr>
  </w:style>
  <w:style w:type="character" w:styleId="44">
    <w:name w:val="Strong"/>
    <w:qFormat/>
    <w:uiPriority w:val="99"/>
    <w:rPr>
      <w:b/>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qFormat/>
    <w:uiPriority w:val="0"/>
    <w:rPr>
      <w:rFonts w:hint="default" w:ascii="Times New Roman" w:hAnsi="Times New Roman" w:cs="Times New Roman"/>
    </w:rPr>
  </w:style>
  <w:style w:type="character" w:styleId="48">
    <w:name w:val="Hyperlink"/>
    <w:qFormat/>
    <w:uiPriority w:val="99"/>
    <w:rPr>
      <w:color w:val="0000FF"/>
      <w:u w:val="single"/>
    </w:rPr>
  </w:style>
  <w:style w:type="character" w:styleId="49">
    <w:name w:val="annotation reference"/>
    <w:qFormat/>
    <w:uiPriority w:val="0"/>
    <w:rPr>
      <w:sz w:val="21"/>
    </w:rPr>
  </w:style>
  <w:style w:type="table" w:styleId="51">
    <w:name w:val="Table Grid"/>
    <w:basedOn w:val="5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2">
    <w:name w:val="列出段落1"/>
    <w:basedOn w:val="1"/>
    <w:qFormat/>
    <w:uiPriority w:val="34"/>
    <w:pPr>
      <w:ind w:firstLine="420" w:firstLineChars="200"/>
    </w:pPr>
    <w:rPr>
      <w:rFonts w:ascii="Calibri" w:hAnsi="Calibri"/>
      <w:szCs w:val="22"/>
    </w:rPr>
  </w:style>
  <w:style w:type="character" w:customStyle="1" w:styleId="53">
    <w:name w:val="标题 1 Char"/>
    <w:link w:val="2"/>
    <w:qFormat/>
    <w:uiPriority w:val="0"/>
    <w:rPr>
      <w:rFonts w:ascii="Times New Roman" w:hAnsi="Times New Roman"/>
      <w:b/>
      <w:bCs/>
      <w:kern w:val="44"/>
      <w:sz w:val="36"/>
      <w:szCs w:val="44"/>
      <w:lang w:val="zh-CN" w:eastAsia="zh-CN"/>
    </w:rPr>
  </w:style>
  <w:style w:type="character" w:customStyle="1" w:styleId="54">
    <w:name w:val="标题 2 Char"/>
    <w:link w:val="3"/>
    <w:qFormat/>
    <w:uiPriority w:val="0"/>
    <w:rPr>
      <w:rFonts w:ascii="Arial" w:hAnsi="Arial" w:eastAsia="黑体"/>
      <w:b/>
      <w:bCs/>
      <w:sz w:val="32"/>
      <w:szCs w:val="32"/>
      <w:lang w:val="zh-CN" w:eastAsia="zh-CN"/>
    </w:rPr>
  </w:style>
  <w:style w:type="character" w:customStyle="1" w:styleId="55">
    <w:name w:val="标题 3 Char"/>
    <w:link w:val="4"/>
    <w:qFormat/>
    <w:uiPriority w:val="0"/>
    <w:rPr>
      <w:rFonts w:ascii="Times New Roman" w:hAnsi="Times New Roman"/>
      <w:b/>
      <w:bCs/>
      <w:sz w:val="32"/>
      <w:szCs w:val="32"/>
    </w:rPr>
  </w:style>
  <w:style w:type="character" w:customStyle="1" w:styleId="56">
    <w:name w:val="标题 4 Char"/>
    <w:link w:val="5"/>
    <w:qFormat/>
    <w:uiPriority w:val="0"/>
    <w:rPr>
      <w:rFonts w:ascii="仿宋_GB2312" w:hAnsi="Times New Roman" w:eastAsia="仿宋_GB2312"/>
      <w:sz w:val="28"/>
      <w:szCs w:val="24"/>
    </w:rPr>
  </w:style>
  <w:style w:type="character" w:customStyle="1" w:styleId="57">
    <w:name w:val="标题 5 Char"/>
    <w:link w:val="6"/>
    <w:qFormat/>
    <w:uiPriority w:val="0"/>
    <w:rPr>
      <w:rFonts w:ascii="宋体" w:hAnsi="宋体"/>
      <w:b/>
      <w:kern w:val="21"/>
      <w:sz w:val="28"/>
      <w:lang w:eastAsia="ar-SA"/>
    </w:rPr>
  </w:style>
  <w:style w:type="character" w:customStyle="1" w:styleId="58">
    <w:name w:val="标题 6 Char"/>
    <w:link w:val="7"/>
    <w:qFormat/>
    <w:uiPriority w:val="0"/>
    <w:rPr>
      <w:rFonts w:ascii="Arial" w:hAnsi="Arial" w:eastAsia="黑体"/>
      <w:b/>
      <w:kern w:val="21"/>
      <w:sz w:val="24"/>
      <w:lang w:eastAsia="ar-SA"/>
    </w:rPr>
  </w:style>
  <w:style w:type="character" w:customStyle="1" w:styleId="59">
    <w:name w:val="标题 7 Char"/>
    <w:link w:val="8"/>
    <w:qFormat/>
    <w:uiPriority w:val="0"/>
    <w:rPr>
      <w:rFonts w:ascii="宋体" w:hAnsi="宋体"/>
      <w:b/>
      <w:kern w:val="21"/>
      <w:sz w:val="24"/>
      <w:lang w:eastAsia="ar-SA"/>
    </w:rPr>
  </w:style>
  <w:style w:type="character" w:customStyle="1" w:styleId="60">
    <w:name w:val="标题 8 Char"/>
    <w:link w:val="9"/>
    <w:qFormat/>
    <w:uiPriority w:val="0"/>
    <w:rPr>
      <w:rFonts w:ascii="Arial" w:hAnsi="Arial" w:eastAsia="黑体"/>
      <w:kern w:val="21"/>
      <w:sz w:val="24"/>
      <w:lang w:eastAsia="ar-SA"/>
    </w:rPr>
  </w:style>
  <w:style w:type="character" w:customStyle="1" w:styleId="61">
    <w:name w:val="标题 9 Char"/>
    <w:link w:val="10"/>
    <w:qFormat/>
    <w:uiPriority w:val="0"/>
    <w:rPr>
      <w:rFonts w:ascii="Arial" w:hAnsi="Arial" w:eastAsia="黑体"/>
      <w:kern w:val="21"/>
      <w:sz w:val="21"/>
      <w:lang w:eastAsia="ar-SA"/>
    </w:rPr>
  </w:style>
  <w:style w:type="character" w:customStyle="1" w:styleId="62">
    <w:name w:val="标题 Char"/>
    <w:link w:val="42"/>
    <w:qFormat/>
    <w:uiPriority w:val="99"/>
    <w:rPr>
      <w:rFonts w:ascii="Cambria" w:hAnsi="Cambria" w:eastAsia="方正小标宋简体"/>
      <w:b/>
      <w:bCs/>
      <w:sz w:val="44"/>
      <w:szCs w:val="32"/>
    </w:rPr>
  </w:style>
  <w:style w:type="character" w:customStyle="1" w:styleId="63">
    <w:name w:val="副标题 Char"/>
    <w:link w:val="34"/>
    <w:qFormat/>
    <w:uiPriority w:val="0"/>
    <w:rPr>
      <w:rFonts w:ascii="Cambria" w:hAnsi="Cambria" w:eastAsia="方正楷体简体"/>
      <w:bCs/>
      <w:kern w:val="28"/>
      <w:szCs w:val="32"/>
    </w:rPr>
  </w:style>
  <w:style w:type="character" w:customStyle="1" w:styleId="64">
    <w:name w:val="纯文本 Char"/>
    <w:link w:val="25"/>
    <w:qFormat/>
    <w:uiPriority w:val="0"/>
    <w:rPr>
      <w:rFonts w:ascii="宋体" w:hAnsi="Courier New" w:cs="Courier New"/>
      <w:szCs w:val="21"/>
    </w:rPr>
  </w:style>
  <w:style w:type="paragraph" w:styleId="65">
    <w:name w:val="No Spacing"/>
    <w:link w:val="66"/>
    <w:qFormat/>
    <w:uiPriority w:val="0"/>
    <w:rPr>
      <w:rFonts w:ascii="Calibri" w:hAnsi="Calibri" w:eastAsia="宋体" w:cs="Times New Roman"/>
      <w:sz w:val="22"/>
      <w:lang w:val="en-US" w:eastAsia="zh-CN" w:bidi="ar-SA"/>
    </w:rPr>
  </w:style>
  <w:style w:type="character" w:customStyle="1" w:styleId="66">
    <w:name w:val="无间隔 Char"/>
    <w:link w:val="65"/>
    <w:qFormat/>
    <w:uiPriority w:val="0"/>
    <w:rPr>
      <w:sz w:val="22"/>
    </w:rPr>
  </w:style>
  <w:style w:type="paragraph" w:styleId="67">
    <w:name w:val="List Paragraph"/>
    <w:basedOn w:val="1"/>
    <w:qFormat/>
    <w:uiPriority w:val="34"/>
    <w:pPr>
      <w:ind w:firstLine="420" w:firstLineChars="200"/>
    </w:pPr>
    <w:rPr>
      <w:szCs w:val="21"/>
    </w:rPr>
  </w:style>
  <w:style w:type="paragraph" w:customStyle="1" w:styleId="68">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9">
    <w:name w:val="fontheight2"/>
    <w:qFormat/>
    <w:uiPriority w:val="0"/>
    <w:rPr>
      <w:sz w:val="20"/>
      <w:szCs w:val="20"/>
      <w:u w:val="none"/>
    </w:rPr>
  </w:style>
  <w:style w:type="character" w:customStyle="1" w:styleId="70">
    <w:name w:val="页眉 Char"/>
    <w:link w:val="31"/>
    <w:qFormat/>
    <w:uiPriority w:val="0"/>
    <w:rPr>
      <w:rFonts w:ascii="Times New Roman" w:hAnsi="Times New Roman"/>
      <w:sz w:val="18"/>
      <w:szCs w:val="18"/>
    </w:rPr>
  </w:style>
  <w:style w:type="character" w:customStyle="1" w:styleId="71">
    <w:name w:val="WW8Num1z3"/>
    <w:qFormat/>
    <w:uiPriority w:val="0"/>
    <w:rPr>
      <w:rFonts w:ascii="Arial" w:hAnsi="Arial"/>
      <w:color w:val="auto"/>
      <w:position w:val="0"/>
      <w:sz w:val="21"/>
      <w:vertAlign w:val="baseline"/>
    </w:rPr>
  </w:style>
  <w:style w:type="character" w:customStyle="1" w:styleId="72">
    <w:name w:val="WW8Num1z2"/>
    <w:qFormat/>
    <w:uiPriority w:val="0"/>
    <w:rPr>
      <w:b/>
      <w:sz w:val="28"/>
    </w:rPr>
  </w:style>
  <w:style w:type="character" w:customStyle="1" w:styleId="73">
    <w:name w:val="H3 Char"/>
    <w:qFormat/>
    <w:uiPriority w:val="0"/>
    <w:rPr>
      <w:rFonts w:eastAsia="宋体"/>
      <w:b/>
      <w:bCs/>
      <w:sz w:val="32"/>
      <w:szCs w:val="32"/>
      <w:lang w:val="en-US" w:eastAsia="zh-CN" w:bidi="ar-SA"/>
    </w:rPr>
  </w:style>
  <w:style w:type="character" w:customStyle="1" w:styleId="74">
    <w:name w:val="text91"/>
    <w:qFormat/>
    <w:uiPriority w:val="0"/>
    <w:rPr>
      <w:sz w:val="18"/>
      <w:u w:val="none"/>
    </w:rPr>
  </w:style>
  <w:style w:type="character" w:customStyle="1" w:styleId="75">
    <w:name w:val="ca-6"/>
    <w:basedOn w:val="43"/>
    <w:qFormat/>
    <w:uiPriority w:val="0"/>
  </w:style>
  <w:style w:type="character" w:customStyle="1" w:styleId="76">
    <w:name w:val="Char Char10"/>
    <w:qFormat/>
    <w:uiPriority w:val="0"/>
    <w:rPr>
      <w:rFonts w:hint="eastAsia" w:ascii="宋体" w:hAnsi="Courier New" w:eastAsia="宋体" w:cs="Times New Roman"/>
      <w:sz w:val="18"/>
      <w:szCs w:val="20"/>
    </w:rPr>
  </w:style>
  <w:style w:type="character" w:customStyle="1" w:styleId="77">
    <w:name w:val="faq"/>
    <w:basedOn w:val="43"/>
    <w:qFormat/>
    <w:uiPriority w:val="0"/>
  </w:style>
  <w:style w:type="character" w:customStyle="1" w:styleId="78">
    <w:name w:val="WW8Num15z6"/>
    <w:qFormat/>
    <w:uiPriority w:val="0"/>
    <w:rPr>
      <w:rFonts w:ascii="Times New Roman" w:hAnsi="Times New Roman"/>
    </w:rPr>
  </w:style>
  <w:style w:type="character" w:customStyle="1" w:styleId="79">
    <w:name w:val="Char Char"/>
    <w:qFormat/>
    <w:uiPriority w:val="0"/>
    <w:rPr>
      <w:rFonts w:ascii="Times New Roman" w:hAnsi="Times New Roman"/>
      <w:sz w:val="21"/>
      <w:szCs w:val="24"/>
    </w:rPr>
  </w:style>
  <w:style w:type="character" w:customStyle="1" w:styleId="80">
    <w:name w:val="WW8Num1z0"/>
    <w:qFormat/>
    <w:uiPriority w:val="0"/>
    <w:rPr>
      <w:rFonts w:ascii="Arial" w:hAnsi="Arial"/>
      <w:b/>
      <w:color w:val="000000"/>
      <w:position w:val="0"/>
      <w:sz w:val="36"/>
      <w:vertAlign w:val="baseline"/>
    </w:rPr>
  </w:style>
  <w:style w:type="character" w:customStyle="1" w:styleId="81">
    <w:name w:val="正文文本 Char"/>
    <w:link w:val="16"/>
    <w:qFormat/>
    <w:uiPriority w:val="0"/>
    <w:rPr>
      <w:rFonts w:ascii="Times New Roman" w:hAnsi="Times New Roman"/>
      <w:szCs w:val="24"/>
    </w:rPr>
  </w:style>
  <w:style w:type="character" w:customStyle="1" w:styleId="82">
    <w:name w:val="首行缩进:  0.85 厘米 Char Char"/>
    <w:link w:val="83"/>
    <w:qFormat/>
    <w:uiPriority w:val="0"/>
    <w:rPr>
      <w:rFonts w:eastAsia="昆仑黑体" w:cs="Arial Unicode MS"/>
      <w:sz w:val="28"/>
      <w:lang w:eastAsia="en-US" w:bidi="en-US"/>
    </w:rPr>
  </w:style>
  <w:style w:type="paragraph" w:customStyle="1" w:styleId="83">
    <w:name w:val="首行缩进:  0.85 厘米"/>
    <w:basedOn w:val="1"/>
    <w:link w:val="82"/>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4">
    <w:name w:val="0921 Char"/>
    <w:qFormat/>
    <w:uiPriority w:val="0"/>
    <w:rPr>
      <w:rFonts w:ascii="宋体" w:hAnsi="Courier New" w:cs="宋体"/>
      <w:kern w:val="2"/>
      <w:sz w:val="21"/>
      <w:szCs w:val="21"/>
    </w:rPr>
  </w:style>
  <w:style w:type="character" w:customStyle="1" w:styleId="85">
    <w:name w:val="paramname2"/>
    <w:qFormat/>
    <w:uiPriority w:val="0"/>
    <w:rPr>
      <w:color w:val="999999"/>
    </w:rPr>
  </w:style>
  <w:style w:type="character" w:customStyle="1" w:styleId="86">
    <w:name w:val="WW8Num2z3"/>
    <w:qFormat/>
    <w:uiPriority w:val="0"/>
    <w:rPr>
      <w:rFonts w:ascii="Arial" w:hAnsi="Arial"/>
      <w:color w:val="auto"/>
      <w:position w:val="0"/>
      <w:sz w:val="21"/>
      <w:vertAlign w:val="baseline"/>
    </w:rPr>
  </w:style>
  <w:style w:type="character" w:customStyle="1" w:styleId="87">
    <w:name w:val="默认段落字体1"/>
    <w:qFormat/>
    <w:uiPriority w:val="0"/>
  </w:style>
  <w:style w:type="character" w:customStyle="1" w:styleId="88">
    <w:name w:val="WW8Num17z0"/>
    <w:qFormat/>
    <w:uiPriority w:val="0"/>
    <w:rPr>
      <w:rFonts w:ascii="Wingdings" w:hAnsi="Wingdings"/>
    </w:rPr>
  </w:style>
  <w:style w:type="character" w:customStyle="1" w:styleId="89">
    <w:name w:val="WW-Absatz-Standardschriftart"/>
    <w:qFormat/>
    <w:uiPriority w:val="0"/>
  </w:style>
  <w:style w:type="character" w:customStyle="1" w:styleId="90">
    <w:name w:val="WW8Num22z1"/>
    <w:qFormat/>
    <w:uiPriority w:val="0"/>
    <w:rPr>
      <w:rFonts w:ascii="Wingdings" w:hAnsi="Wingdings"/>
    </w:rPr>
  </w:style>
  <w:style w:type="character" w:customStyle="1" w:styleId="91">
    <w:name w:val="WW8Num2z2"/>
    <w:qFormat/>
    <w:uiPriority w:val="0"/>
    <w:rPr>
      <w:rFonts w:ascii="Arial" w:hAnsi="Arial"/>
      <w:color w:val="000000"/>
      <w:position w:val="0"/>
      <w:sz w:val="24"/>
      <w:vertAlign w:val="baseline"/>
    </w:rPr>
  </w:style>
  <w:style w:type="character" w:customStyle="1" w:styleId="92">
    <w:name w:val="正文文本缩进 3 Char"/>
    <w:link w:val="37"/>
    <w:qFormat/>
    <w:uiPriority w:val="0"/>
    <w:rPr>
      <w:rFonts w:ascii="Times New Roman" w:hAnsi="Times New Roman"/>
      <w:sz w:val="16"/>
      <w:szCs w:val="16"/>
    </w:rPr>
  </w:style>
  <w:style w:type="character" w:customStyle="1" w:styleId="93">
    <w:name w:val="正文要点 Char Char"/>
    <w:link w:val="94"/>
    <w:qFormat/>
    <w:uiPriority w:val="0"/>
    <w:rPr>
      <w:kern w:val="2"/>
      <w:sz w:val="21"/>
      <w:szCs w:val="24"/>
    </w:rPr>
  </w:style>
  <w:style w:type="paragraph" w:customStyle="1" w:styleId="94">
    <w:name w:val="正文要点"/>
    <w:basedOn w:val="1"/>
    <w:next w:val="95"/>
    <w:link w:val="93"/>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5">
    <w:name w:val="正文要点内容"/>
    <w:basedOn w:val="94"/>
    <w:link w:val="115"/>
    <w:qFormat/>
    <w:uiPriority w:val="0"/>
    <w:pPr>
      <w:numPr>
        <w:numId w:val="0"/>
      </w:numPr>
      <w:ind w:left="400" w:leftChars="400" w:firstLine="200" w:firstLineChars="200"/>
    </w:pPr>
    <w:rPr>
      <w:rFonts w:ascii="Times New Roman" w:hAnsi="Times New Roman"/>
      <w:kern w:val="0"/>
      <w:sz w:val="20"/>
    </w:rPr>
  </w:style>
  <w:style w:type="character" w:customStyle="1" w:styleId="96">
    <w:name w:val="WW8Num19z0"/>
    <w:qFormat/>
    <w:uiPriority w:val="0"/>
    <w:rPr>
      <w:rFonts w:ascii="Wingdings" w:hAnsi="Wingdings"/>
    </w:rPr>
  </w:style>
  <w:style w:type="character" w:customStyle="1" w:styleId="97">
    <w:name w:val="case31"/>
    <w:qFormat/>
    <w:uiPriority w:val="0"/>
    <w:rPr>
      <w:rFonts w:hint="default"/>
      <w:spacing w:val="390"/>
      <w:sz w:val="21"/>
      <w:szCs w:val="21"/>
    </w:rPr>
  </w:style>
  <w:style w:type="character" w:customStyle="1" w:styleId="98">
    <w:name w:val="mark4"/>
    <w:qFormat/>
    <w:uiPriority w:val="0"/>
  </w:style>
  <w:style w:type="character" w:customStyle="1" w:styleId="99">
    <w:name w:val="WW8Num9z0"/>
    <w:qFormat/>
    <w:uiPriority w:val="0"/>
    <w:rPr>
      <w:b/>
    </w:rPr>
  </w:style>
  <w:style w:type="character" w:customStyle="1" w:styleId="100">
    <w:name w:val="apple-style-span"/>
    <w:basedOn w:val="43"/>
    <w:qFormat/>
    <w:uiPriority w:val="0"/>
  </w:style>
  <w:style w:type="character" w:customStyle="1" w:styleId="101">
    <w:name w:val="WW8Num31z1"/>
    <w:qFormat/>
    <w:uiPriority w:val="0"/>
    <w:rPr>
      <w:b/>
      <w:color w:val="000000"/>
    </w:rPr>
  </w:style>
  <w:style w:type="character" w:customStyle="1" w:styleId="102">
    <w:name w:val="Char Char4"/>
    <w:qFormat/>
    <w:uiPriority w:val="0"/>
    <w:rPr>
      <w:rFonts w:eastAsia="宋体"/>
      <w:b/>
      <w:bCs/>
      <w:kern w:val="44"/>
      <w:sz w:val="44"/>
      <w:szCs w:val="44"/>
      <w:lang w:val="en-US" w:eastAsia="zh-CN" w:bidi="ar-SA"/>
    </w:rPr>
  </w:style>
  <w:style w:type="character" w:customStyle="1" w:styleId="103">
    <w:name w:val="WW8Num2z0"/>
    <w:qFormat/>
    <w:uiPriority w:val="0"/>
    <w:rPr>
      <w:rFonts w:ascii="Arial" w:hAnsi="Arial"/>
      <w:b/>
      <w:color w:val="000000"/>
      <w:position w:val="0"/>
      <w:sz w:val="36"/>
      <w:vertAlign w:val="baseline"/>
    </w:rPr>
  </w:style>
  <w:style w:type="character" w:customStyle="1" w:styleId="104">
    <w:name w:val="WW8Num27z0"/>
    <w:qFormat/>
    <w:uiPriority w:val="0"/>
    <w:rPr>
      <w:b/>
    </w:rPr>
  </w:style>
  <w:style w:type="character" w:customStyle="1" w:styleId="105">
    <w:name w:val="批注框文本 Char"/>
    <w:link w:val="29"/>
    <w:qFormat/>
    <w:uiPriority w:val="0"/>
    <w:rPr>
      <w:rFonts w:ascii="Times New Roman" w:hAnsi="Times New Roman"/>
      <w:sz w:val="18"/>
      <w:szCs w:val="18"/>
    </w:rPr>
  </w:style>
  <w:style w:type="character" w:customStyle="1" w:styleId="106">
    <w:name w:val="WW-Absatz-Standardschriftart1"/>
    <w:qFormat/>
    <w:uiPriority w:val="0"/>
  </w:style>
  <w:style w:type="character" w:customStyle="1" w:styleId="107">
    <w:name w:val="WW8Num8z0"/>
    <w:qFormat/>
    <w:uiPriority w:val="0"/>
    <w:rPr>
      <w:b/>
    </w:rPr>
  </w:style>
  <w:style w:type="character" w:customStyle="1" w:styleId="108">
    <w:name w:val="jk"/>
    <w:qFormat/>
    <w:uiPriority w:val="0"/>
  </w:style>
  <w:style w:type="character" w:customStyle="1" w:styleId="109">
    <w:name w:val="正文文本缩进 2 Char"/>
    <w:link w:val="28"/>
    <w:qFormat/>
    <w:uiPriority w:val="0"/>
    <w:rPr>
      <w:rFonts w:ascii="Times New Roman" w:hAnsi="Times New Roman"/>
      <w:szCs w:val="24"/>
    </w:rPr>
  </w:style>
  <w:style w:type="character" w:customStyle="1" w:styleId="110">
    <w:name w:val="font131"/>
    <w:qFormat/>
    <w:uiPriority w:val="0"/>
    <w:rPr>
      <w:sz w:val="20"/>
      <w:szCs w:val="20"/>
    </w:rPr>
  </w:style>
  <w:style w:type="character" w:customStyle="1" w:styleId="111">
    <w:name w:val="Absatz-Standardschriftart"/>
    <w:qFormat/>
    <w:uiPriority w:val="0"/>
  </w:style>
  <w:style w:type="character" w:customStyle="1" w:styleId="112">
    <w:name w:val="WW8Num1z1"/>
    <w:qFormat/>
    <w:uiPriority w:val="0"/>
    <w:rPr>
      <w:b/>
      <w:sz w:val="28"/>
    </w:rPr>
  </w:style>
  <w:style w:type="character" w:customStyle="1" w:styleId="113">
    <w:name w:val="ca-2"/>
    <w:basedOn w:val="43"/>
    <w:qFormat/>
    <w:uiPriority w:val="0"/>
  </w:style>
  <w:style w:type="character" w:customStyle="1" w:styleId="114">
    <w:name w:val="正文文本缩进 Char"/>
    <w:link w:val="21"/>
    <w:qFormat/>
    <w:uiPriority w:val="0"/>
    <w:rPr>
      <w:rFonts w:ascii="仿宋_GB2312" w:hAnsi="Times New Roman" w:eastAsia="仿宋_GB2312"/>
      <w:sz w:val="32"/>
    </w:rPr>
  </w:style>
  <w:style w:type="character" w:customStyle="1" w:styleId="115">
    <w:name w:val="正文要点内容 Char Char"/>
    <w:link w:val="95"/>
    <w:qFormat/>
    <w:uiPriority w:val="0"/>
    <w:rPr>
      <w:rFonts w:ascii="Times New Roman" w:hAnsi="Times New Roman"/>
      <w:szCs w:val="24"/>
    </w:rPr>
  </w:style>
  <w:style w:type="character" w:customStyle="1" w:styleId="116">
    <w:name w:val="日期 Char"/>
    <w:link w:val="27"/>
    <w:qFormat/>
    <w:uiPriority w:val="0"/>
    <w:rPr>
      <w:rFonts w:ascii="宋体" w:hAnsi="Courier New" w:cs="Courier New"/>
      <w:szCs w:val="21"/>
    </w:rPr>
  </w:style>
  <w:style w:type="character" w:customStyle="1" w:styleId="117">
    <w:name w:val="a14_red_bold1"/>
    <w:qFormat/>
    <w:uiPriority w:val="0"/>
    <w:rPr>
      <w:rFonts w:ascii="Arial" w:hAnsi="Arial" w:cs="Arial"/>
      <w:b/>
      <w:bCs/>
      <w:color w:val="auto"/>
      <w:sz w:val="21"/>
      <w:szCs w:val="21"/>
      <w:u w:val="none"/>
    </w:rPr>
  </w:style>
  <w:style w:type="character" w:customStyle="1" w:styleId="118">
    <w:name w:val="样式 标题 2第一层条论文标题 1正文二级标题heading 2 + Indent: Left 0.25 inh2h...1 Char Char"/>
    <w:link w:val="119"/>
    <w:qFormat/>
    <w:uiPriority w:val="0"/>
    <w:rPr>
      <w:rFonts w:ascii="新宋体" w:hAnsi="新宋体" w:eastAsia="新宋体" w:cs="宋体"/>
      <w:b/>
      <w:bCs/>
      <w:kern w:val="2"/>
      <w:sz w:val="28"/>
    </w:rPr>
  </w:style>
  <w:style w:type="paragraph" w:customStyle="1" w:styleId="119">
    <w:name w:val="样式 标题 2第一层条论文标题 1正文二级标题heading 2 + Indent: Left 0.25 inh2h...1"/>
    <w:basedOn w:val="3"/>
    <w:link w:val="118"/>
    <w:qFormat/>
    <w:uiPriority w:val="0"/>
    <w:pPr>
      <w:keepNext w:val="0"/>
      <w:keepLines w:val="0"/>
      <w:spacing w:before="0" w:after="156" w:line="360" w:lineRule="auto"/>
    </w:pPr>
    <w:rPr>
      <w:rFonts w:ascii="新宋体" w:hAnsi="新宋体" w:eastAsia="新宋体" w:cs="宋体"/>
      <w:kern w:val="2"/>
      <w:sz w:val="28"/>
      <w:szCs w:val="20"/>
      <w:lang w:val="en-US" w:eastAsia="zh-CN"/>
    </w:rPr>
  </w:style>
  <w:style w:type="character" w:customStyle="1" w:styleId="120">
    <w:name w:val="WW8Num2z1"/>
    <w:qFormat/>
    <w:uiPriority w:val="0"/>
    <w:rPr>
      <w:rFonts w:ascii="Arial" w:hAnsi="Arial"/>
      <w:color w:val="000000"/>
      <w:position w:val="0"/>
      <w:sz w:val="30"/>
      <w:vertAlign w:val="baseline"/>
    </w:rPr>
  </w:style>
  <w:style w:type="character" w:customStyle="1" w:styleId="121">
    <w:name w:val="WW8Num13z0"/>
    <w:qFormat/>
    <w:uiPriority w:val="0"/>
    <w:rPr>
      <w:rFonts w:ascii="Wingdings" w:hAnsi="Wingdings"/>
    </w:rPr>
  </w:style>
  <w:style w:type="character" w:customStyle="1" w:styleId="122">
    <w:name w:val="huei12b1"/>
    <w:qFormat/>
    <w:uiPriority w:val="0"/>
    <w:rPr>
      <w:b/>
      <w:color w:val="333333"/>
      <w:sz w:val="18"/>
    </w:rPr>
  </w:style>
  <w:style w:type="character" w:customStyle="1" w:styleId="123">
    <w:name w:val="正文文本 3 Char"/>
    <w:link w:val="20"/>
    <w:qFormat/>
    <w:uiPriority w:val="0"/>
    <w:rPr>
      <w:rFonts w:ascii="黑体" w:hAnsi="Arial" w:eastAsia="黑体"/>
      <w:b/>
      <w:sz w:val="28"/>
    </w:rPr>
  </w:style>
  <w:style w:type="character" w:customStyle="1" w:styleId="124">
    <w:name w:val="h4 Char"/>
    <w:qFormat/>
    <w:uiPriority w:val="0"/>
    <w:rPr>
      <w:rFonts w:ascii="Arial" w:hAnsi="Arial" w:eastAsia="黑体" w:cs="Arial"/>
      <w:b/>
      <w:bCs/>
      <w:sz w:val="28"/>
      <w:szCs w:val="28"/>
      <w:lang w:val="en-US" w:eastAsia="zh-CN" w:bidi="ar-SA"/>
    </w:rPr>
  </w:style>
  <w:style w:type="character" w:customStyle="1" w:styleId="125">
    <w:name w:val="WW8Num12z6"/>
    <w:qFormat/>
    <w:uiPriority w:val="0"/>
    <w:rPr>
      <w:rFonts w:ascii="Times New Roman" w:hAnsi="Times New Roman"/>
    </w:rPr>
  </w:style>
  <w:style w:type="character" w:customStyle="1" w:styleId="126">
    <w:name w:val="ca-3"/>
    <w:basedOn w:val="43"/>
    <w:qFormat/>
    <w:uiPriority w:val="0"/>
  </w:style>
  <w:style w:type="character" w:customStyle="1" w:styleId="127">
    <w:name w:val="WW8Num18z0"/>
    <w:qFormat/>
    <w:uiPriority w:val="0"/>
    <w:rPr>
      <w:b/>
    </w:rPr>
  </w:style>
  <w:style w:type="character" w:customStyle="1" w:styleId="128">
    <w:name w:val="页脚 Char"/>
    <w:link w:val="30"/>
    <w:qFormat/>
    <w:uiPriority w:val="0"/>
    <w:rPr>
      <w:rFonts w:ascii="Times New Roman" w:hAnsi="Times New Roman"/>
      <w:sz w:val="18"/>
      <w:szCs w:val="18"/>
    </w:rPr>
  </w:style>
  <w:style w:type="character" w:customStyle="1" w:styleId="129">
    <w:name w:val="WW8Num31z2"/>
    <w:qFormat/>
    <w:uiPriority w:val="0"/>
    <w:rPr>
      <w:b/>
    </w:rPr>
  </w:style>
  <w:style w:type="character" w:customStyle="1" w:styleId="130">
    <w:name w:val="WW8Num14z0"/>
    <w:qFormat/>
    <w:uiPriority w:val="0"/>
    <w:rPr>
      <w:b/>
    </w:rPr>
  </w:style>
  <w:style w:type="character" w:customStyle="1" w:styleId="131">
    <w:name w:val="WW8Num16z0"/>
    <w:qFormat/>
    <w:uiPriority w:val="0"/>
    <w:rPr>
      <w:b/>
    </w:rPr>
  </w:style>
  <w:style w:type="character" w:customStyle="1" w:styleId="132">
    <w:name w:val="WW8Num16z1"/>
    <w:qFormat/>
    <w:uiPriority w:val="0"/>
    <w:rPr>
      <w:rFonts w:ascii="Wingdings" w:hAnsi="Wingdings"/>
    </w:rPr>
  </w:style>
  <w:style w:type="character" w:customStyle="1" w:styleId="133">
    <w:name w:val="WW8Num23z0"/>
    <w:qFormat/>
    <w:uiPriority w:val="0"/>
    <w:rPr>
      <w:rFonts w:ascii="Wingdings" w:hAnsi="Wingdings"/>
    </w:rPr>
  </w:style>
  <w:style w:type="character" w:customStyle="1" w:styleId="134">
    <w:name w:val="正文段落 Char Char"/>
    <w:link w:val="135"/>
    <w:qFormat/>
    <w:uiPriority w:val="0"/>
    <w:rPr>
      <w:rFonts w:ascii="宋体" w:hAnsi="宋体"/>
      <w:kern w:val="2"/>
      <w:sz w:val="28"/>
      <w:szCs w:val="22"/>
    </w:rPr>
  </w:style>
  <w:style w:type="paragraph" w:customStyle="1" w:styleId="135">
    <w:name w:val="正文段落"/>
    <w:basedOn w:val="1"/>
    <w:link w:val="134"/>
    <w:qFormat/>
    <w:uiPriority w:val="0"/>
    <w:pPr>
      <w:ind w:firstLine="560" w:firstLineChars="200"/>
    </w:pPr>
    <w:rPr>
      <w:rFonts w:ascii="宋体" w:hAnsi="宋体"/>
      <w:szCs w:val="22"/>
    </w:rPr>
  </w:style>
  <w:style w:type="paragraph" w:customStyle="1" w:styleId="136">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7">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8">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39">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4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2">
    <w:name w:val="内容目录 10"/>
    <w:basedOn w:val="14"/>
    <w:qFormat/>
    <w:uiPriority w:val="0"/>
    <w:pPr>
      <w:tabs>
        <w:tab w:val="right" w:leader="dot" w:pos="9637"/>
      </w:tabs>
      <w:ind w:left="2547"/>
    </w:pPr>
  </w:style>
  <w:style w:type="paragraph" w:customStyle="1" w:styleId="143">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4">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5">
    <w:name w:val="框内容"/>
    <w:basedOn w:val="16"/>
    <w:qFormat/>
    <w:uiPriority w:val="0"/>
    <w:pPr>
      <w:suppressAutoHyphens/>
    </w:pPr>
    <w:rPr>
      <w:rFonts w:hint="eastAsia" w:ascii="方正大黑简体" w:hAnsi="宋体" w:eastAsia="方正大黑简体"/>
      <w:kern w:val="44"/>
      <w:position w:val="6"/>
      <w:sz w:val="30"/>
      <w:szCs w:val="20"/>
    </w:rPr>
  </w:style>
  <w:style w:type="paragraph" w:customStyle="1" w:styleId="146">
    <w:name w:val="pa-2"/>
    <w:basedOn w:val="1"/>
    <w:qFormat/>
    <w:uiPriority w:val="0"/>
    <w:pPr>
      <w:widowControl/>
      <w:spacing w:line="360" w:lineRule="atLeast"/>
      <w:ind w:firstLine="480"/>
    </w:pPr>
    <w:rPr>
      <w:rFonts w:ascii="宋体" w:hAnsi="宋体" w:cs="宋体"/>
      <w:kern w:val="0"/>
      <w:sz w:val="24"/>
      <w:szCs w:val="24"/>
    </w:rPr>
  </w:style>
  <w:style w:type="paragraph" w:customStyle="1" w:styleId="1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8">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9">
    <w:name w:val="默认段落字体 Para Char"/>
    <w:basedOn w:val="1"/>
    <w:qFormat/>
    <w:uiPriority w:val="0"/>
    <w:rPr>
      <w:szCs w:val="21"/>
    </w:rPr>
  </w:style>
  <w:style w:type="paragraph" w:customStyle="1" w:styleId="150">
    <w:name w:val="表格标题"/>
    <w:basedOn w:val="151"/>
    <w:qFormat/>
    <w:uiPriority w:val="0"/>
    <w:pPr>
      <w:jc w:val="center"/>
    </w:pPr>
    <w:rPr>
      <w:b/>
    </w:rPr>
  </w:style>
  <w:style w:type="paragraph" w:customStyle="1" w:styleId="151">
    <w:name w:val="表格内容"/>
    <w:basedOn w:val="1"/>
    <w:qFormat/>
    <w:uiPriority w:val="0"/>
    <w:pPr>
      <w:suppressLineNumbers/>
      <w:suppressAutoHyphens/>
    </w:pPr>
    <w:rPr>
      <w:rFonts w:ascii="宋体" w:hAnsi="宋体"/>
      <w:kern w:val="1"/>
      <w:lang w:eastAsia="ar-SA"/>
    </w:rPr>
  </w:style>
  <w:style w:type="paragraph" w:customStyle="1" w:styleId="152">
    <w:name w:val="批注框文本 Char Char"/>
    <w:basedOn w:val="1"/>
    <w:qFormat/>
    <w:uiPriority w:val="0"/>
    <w:rPr>
      <w:sz w:val="18"/>
      <w:szCs w:val="18"/>
    </w:rPr>
  </w:style>
  <w:style w:type="paragraph" w:customStyle="1" w:styleId="153">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4">
    <w:name w:val="CSS1级正文"/>
    <w:basedOn w:val="16"/>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5">
    <w:name w:val="标题二样式"/>
    <w:basedOn w:val="3"/>
    <w:qFormat/>
    <w:uiPriority w:val="0"/>
    <w:pPr>
      <w:suppressAutoHyphens/>
      <w:spacing w:before="0" w:after="0" w:line="240" w:lineRule="auto"/>
      <w:jc w:val="left"/>
    </w:pPr>
    <w:rPr>
      <w:bCs w:val="0"/>
      <w:kern w:val="1"/>
      <w:szCs w:val="20"/>
      <w:lang w:eastAsia="ar-SA"/>
    </w:rPr>
  </w:style>
  <w:style w:type="paragraph" w:customStyle="1" w:styleId="156">
    <w:name w:val="D&amp;L"/>
    <w:basedOn w:val="31"/>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7">
    <w:name w:val="论文标题1"/>
    <w:basedOn w:val="2"/>
    <w:qFormat/>
    <w:uiPriority w:val="0"/>
    <w:pPr>
      <w:tabs>
        <w:tab w:val="left" w:pos="747"/>
      </w:tabs>
      <w:adjustRightInd w:val="0"/>
      <w:spacing w:line="240" w:lineRule="auto"/>
      <w:ind w:left="747" w:hanging="567"/>
      <w:textAlignment w:val="baseline"/>
    </w:pPr>
  </w:style>
  <w:style w:type="paragraph" w:customStyle="1" w:styleId="158">
    <w:name w:val="我的正文"/>
    <w:basedOn w:val="1"/>
    <w:qFormat/>
    <w:uiPriority w:val="0"/>
    <w:pPr>
      <w:ind w:firstLine="200" w:firstLineChars="200"/>
    </w:pPr>
    <w:rPr>
      <w:rFonts w:ascii="宋体" w:hAnsi="宋体"/>
      <w:sz w:val="24"/>
    </w:rPr>
  </w:style>
  <w:style w:type="paragraph" w:customStyle="1" w:styleId="159">
    <w:name w:val="表格"/>
    <w:basedOn w:val="160"/>
    <w:qFormat/>
    <w:uiPriority w:val="0"/>
    <w:pPr>
      <w:spacing w:line="240" w:lineRule="atLeast"/>
      <w:ind w:firstLine="0" w:firstLineChars="0"/>
      <w:jc w:val="center"/>
    </w:pPr>
    <w:rPr>
      <w:rFonts w:ascii="Arial" w:hAnsi="Arial" w:eastAsia="宋体"/>
      <w:sz w:val="21"/>
    </w:rPr>
  </w:style>
  <w:style w:type="paragraph" w:customStyle="1" w:styleId="160">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1">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3">
    <w:name w:val="Char"/>
    <w:basedOn w:val="1"/>
    <w:qFormat/>
    <w:uiPriority w:val="0"/>
    <w:rPr>
      <w:szCs w:val="24"/>
    </w:rPr>
  </w:style>
  <w:style w:type="paragraph" w:customStyle="1" w:styleId="164">
    <w:name w:val="正文内容"/>
    <w:basedOn w:val="1"/>
    <w:qFormat/>
    <w:uiPriority w:val="0"/>
    <w:pPr>
      <w:suppressAutoHyphens/>
    </w:pPr>
    <w:rPr>
      <w:rFonts w:ascii="Arial" w:hAnsi="Arial"/>
      <w:spacing w:val="-12"/>
      <w:kern w:val="21"/>
      <w:lang w:eastAsia="ar-SA"/>
    </w:rPr>
  </w:style>
  <w:style w:type="paragraph" w:customStyle="1" w:styleId="165">
    <w:name w:val="Char1 Char Char Char Char Char Char"/>
    <w:basedOn w:val="1"/>
    <w:qFormat/>
    <w:uiPriority w:val="0"/>
    <w:rPr>
      <w:rFonts w:ascii="Tahoma" w:hAnsi="Tahoma"/>
      <w:sz w:val="24"/>
    </w:rPr>
  </w:style>
  <w:style w:type="paragraph" w:customStyle="1" w:styleId="166">
    <w:name w:val="标准正文"/>
    <w:basedOn w:val="1"/>
    <w:qFormat/>
    <w:uiPriority w:val="0"/>
    <w:pPr>
      <w:spacing w:line="360" w:lineRule="auto"/>
      <w:ind w:firstLine="420" w:firstLineChars="200"/>
    </w:pPr>
    <w:rPr>
      <w:rFonts w:ascii="Calibri" w:hAnsi="Calibri"/>
    </w:rPr>
  </w:style>
  <w:style w:type="paragraph" w:customStyle="1" w:styleId="167">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8">
    <w:name w:val="Normal1"/>
    <w:basedOn w:val="1"/>
    <w:qFormat/>
    <w:uiPriority w:val="0"/>
    <w:pPr>
      <w:suppressAutoHyphens/>
      <w:spacing w:line="360" w:lineRule="auto"/>
    </w:pPr>
    <w:rPr>
      <w:rFonts w:ascii="宋体" w:hAnsi="宋体"/>
      <w:kern w:val="1"/>
      <w:lang w:eastAsia="ar-SA"/>
    </w:rPr>
  </w:style>
  <w:style w:type="paragraph" w:customStyle="1" w:styleId="169">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7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1">
    <w:name w:val="默认段落字体 Para Char Char Char Char"/>
    <w:basedOn w:val="1"/>
    <w:qFormat/>
    <w:uiPriority w:val="0"/>
    <w:rPr>
      <w:szCs w:val="24"/>
    </w:rPr>
  </w:style>
  <w:style w:type="paragraph" w:customStyle="1" w:styleId="172">
    <w:name w:val="样式 标题 3h3Level 3 HeadH3Heading 3 - oldlevel_3PIM 3BOD 0s..."/>
    <w:basedOn w:val="4"/>
    <w:qFormat/>
    <w:uiPriority w:val="0"/>
    <w:pPr>
      <w:tabs>
        <w:tab w:val="left" w:pos="0"/>
      </w:tabs>
      <w:adjustRightInd w:val="0"/>
      <w:spacing w:before="0" w:after="0" w:line="500" w:lineRule="exact"/>
      <w:textAlignment w:val="baseline"/>
    </w:pPr>
    <w:rPr>
      <w:rFonts w:cs="宋体"/>
      <w:sz w:val="28"/>
      <w:szCs w:val="20"/>
      <w:lang w:val="zh-CN" w:eastAsia="zh-CN"/>
    </w:rPr>
  </w:style>
  <w:style w:type="paragraph" w:customStyle="1" w:styleId="173">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74">
    <w:name w:val="Table Description"/>
    <w:basedOn w:val="1"/>
    <w:qFormat/>
    <w:uiPriority w:val="0"/>
    <w:pPr>
      <w:suppressAutoHyphens/>
    </w:pPr>
    <w:rPr>
      <w:rFonts w:ascii="宋体" w:hAnsi="宋体"/>
      <w:kern w:val="1"/>
      <w:lang w:eastAsia="ar-SA"/>
    </w:rPr>
  </w:style>
  <w:style w:type="paragraph" w:customStyle="1" w:styleId="175">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6">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7">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8">
    <w:name w:val="WPS Plain"/>
    <w:qFormat/>
    <w:uiPriority w:val="0"/>
    <w:rPr>
      <w:rFonts w:ascii="Times New Roman" w:hAnsi="Times New Roman" w:eastAsia="宋体" w:cs="Times New Roman"/>
      <w:lang w:val="en-US" w:eastAsia="zh-CN" w:bidi="ar-SA"/>
    </w:rPr>
  </w:style>
  <w:style w:type="paragraph" w:customStyle="1" w:styleId="179">
    <w:name w:val="Char1 Char Char Char"/>
    <w:basedOn w:val="1"/>
    <w:qFormat/>
    <w:uiPriority w:val="0"/>
    <w:pPr>
      <w:suppressAutoHyphens/>
    </w:pPr>
    <w:rPr>
      <w:rFonts w:ascii="宋体" w:hAnsi="宋体"/>
      <w:kern w:val="1"/>
      <w:sz w:val="24"/>
      <w:lang w:eastAsia="ar-SA"/>
    </w:rPr>
  </w:style>
  <w:style w:type="paragraph" w:customStyle="1" w:styleId="180">
    <w:name w:val="Figure Description"/>
    <w:basedOn w:val="1"/>
    <w:qFormat/>
    <w:uiPriority w:val="0"/>
    <w:pPr>
      <w:suppressAutoHyphens/>
    </w:pPr>
    <w:rPr>
      <w:rFonts w:ascii="宋体" w:hAnsi="宋体"/>
      <w:kern w:val="1"/>
      <w:lang w:eastAsia="ar-SA"/>
    </w:rPr>
  </w:style>
  <w:style w:type="paragraph" w:customStyle="1" w:styleId="181">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2">
    <w:name w:val="样式 标题 1 + 黑体 小二 居中 段前: 15.6 磅 段后: 15.6 磅 行距: 单倍行距"/>
    <w:basedOn w:val="2"/>
    <w:qFormat/>
    <w:uiPriority w:val="0"/>
    <w:pPr>
      <w:spacing w:before="312" w:after="312" w:line="240" w:lineRule="auto"/>
    </w:pPr>
    <w:rPr>
      <w:rFonts w:ascii="黑体" w:eastAsia="黑体" w:cs="宋体"/>
      <w:szCs w:val="20"/>
    </w:rPr>
  </w:style>
  <w:style w:type="paragraph" w:customStyle="1" w:styleId="183">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4">
    <w:name w:val="Char Char Char Char Char Char Char1 Char"/>
    <w:basedOn w:val="1"/>
    <w:qFormat/>
    <w:uiPriority w:val="0"/>
    <w:rPr>
      <w:rFonts w:ascii="Tahoma" w:hAnsi="Tahoma"/>
      <w:sz w:val="24"/>
    </w:rPr>
  </w:style>
  <w:style w:type="paragraph" w:customStyle="1" w:styleId="18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6">
    <w:name w:val="Char1"/>
    <w:basedOn w:val="1"/>
    <w:qFormat/>
    <w:uiPriority w:val="0"/>
    <w:pPr>
      <w:suppressAutoHyphens/>
    </w:pPr>
    <w:rPr>
      <w:rFonts w:ascii="宋体" w:hAnsi="宋体"/>
      <w:kern w:val="1"/>
      <w:sz w:val="24"/>
      <w:lang w:eastAsia="ar-SA"/>
    </w:rPr>
  </w:style>
  <w:style w:type="paragraph" w:customStyle="1" w:styleId="187">
    <w:name w:val="三级条标题"/>
    <w:basedOn w:val="188"/>
    <w:next w:val="1"/>
    <w:qFormat/>
    <w:uiPriority w:val="0"/>
    <w:pPr>
      <w:numPr>
        <w:ilvl w:val="4"/>
      </w:numPr>
      <w:tabs>
        <w:tab w:val="left" w:pos="360"/>
      </w:tabs>
      <w:outlineLvl w:val="4"/>
    </w:pPr>
  </w:style>
  <w:style w:type="paragraph" w:customStyle="1" w:styleId="188">
    <w:name w:val="二级条标题"/>
    <w:basedOn w:val="1"/>
    <w:next w:val="1"/>
    <w:qFormat/>
    <w:uiPriority w:val="0"/>
    <w:pPr>
      <w:widowControl/>
      <w:numPr>
        <w:ilvl w:val="3"/>
        <w:numId w:val="4"/>
      </w:numPr>
      <w:jc w:val="left"/>
      <w:outlineLvl w:val="3"/>
    </w:pPr>
    <w:rPr>
      <w:rFonts w:eastAsia="黑体"/>
      <w:kern w:val="0"/>
    </w:rPr>
  </w:style>
  <w:style w:type="paragraph" w:customStyle="1" w:styleId="189">
    <w:name w:val="p0"/>
    <w:basedOn w:val="1"/>
    <w:qFormat/>
    <w:uiPriority w:val="0"/>
    <w:pPr>
      <w:widowControl/>
    </w:pPr>
    <w:rPr>
      <w:kern w:val="0"/>
      <w:szCs w:val="21"/>
    </w:rPr>
  </w:style>
  <w:style w:type="character" w:customStyle="1" w:styleId="190">
    <w:name w:val="正文文本缩进 2 Char1"/>
    <w:basedOn w:val="43"/>
    <w:semiHidden/>
    <w:qFormat/>
    <w:uiPriority w:val="99"/>
    <w:rPr>
      <w:rFonts w:ascii="Times New Roman" w:hAnsi="Times New Roman"/>
      <w:kern w:val="2"/>
      <w:sz w:val="28"/>
    </w:rPr>
  </w:style>
  <w:style w:type="character" w:customStyle="1" w:styleId="191">
    <w:name w:val="批注文字 Char"/>
    <w:basedOn w:val="43"/>
    <w:link w:val="12"/>
    <w:qFormat/>
    <w:uiPriority w:val="0"/>
    <w:rPr>
      <w:rFonts w:ascii="Times New Roman" w:hAnsi="Times New Roman"/>
      <w:kern w:val="2"/>
      <w:sz w:val="28"/>
    </w:rPr>
  </w:style>
  <w:style w:type="character" w:customStyle="1" w:styleId="192">
    <w:name w:val="批注主题 Char"/>
    <w:basedOn w:val="191"/>
    <w:link w:val="11"/>
    <w:qFormat/>
    <w:uiPriority w:val="0"/>
    <w:rPr>
      <w:rFonts w:ascii="宋体" w:hAnsi="宋体"/>
      <w:b/>
      <w:kern w:val="21"/>
      <w:sz w:val="28"/>
      <w:lang w:eastAsia="ar-SA"/>
    </w:rPr>
  </w:style>
  <w:style w:type="character" w:customStyle="1" w:styleId="193">
    <w:name w:val="HTML 预设格式 Char"/>
    <w:basedOn w:val="43"/>
    <w:link w:val="40"/>
    <w:qFormat/>
    <w:uiPriority w:val="0"/>
    <w:rPr>
      <w:rFonts w:ascii="Arial" w:hAnsi="Arial" w:cs="Arial"/>
      <w:sz w:val="24"/>
    </w:rPr>
  </w:style>
  <w:style w:type="character" w:customStyle="1" w:styleId="194">
    <w:name w:val="批注框文本 Char1"/>
    <w:basedOn w:val="43"/>
    <w:semiHidden/>
    <w:qFormat/>
    <w:uiPriority w:val="99"/>
    <w:rPr>
      <w:rFonts w:ascii="Times New Roman" w:hAnsi="Times New Roman"/>
      <w:kern w:val="2"/>
      <w:sz w:val="18"/>
      <w:szCs w:val="18"/>
    </w:rPr>
  </w:style>
  <w:style w:type="character" w:customStyle="1" w:styleId="195">
    <w:name w:val="正文文本 Char1"/>
    <w:basedOn w:val="43"/>
    <w:semiHidden/>
    <w:qFormat/>
    <w:uiPriority w:val="99"/>
    <w:rPr>
      <w:rFonts w:ascii="Times New Roman" w:hAnsi="Times New Roman"/>
      <w:kern w:val="2"/>
      <w:sz w:val="28"/>
    </w:rPr>
  </w:style>
  <w:style w:type="character" w:customStyle="1" w:styleId="196">
    <w:name w:val="页脚 Char1"/>
    <w:basedOn w:val="43"/>
    <w:semiHidden/>
    <w:qFormat/>
    <w:uiPriority w:val="99"/>
    <w:rPr>
      <w:rFonts w:ascii="Times New Roman" w:hAnsi="Times New Roman"/>
      <w:kern w:val="2"/>
      <w:sz w:val="18"/>
      <w:szCs w:val="18"/>
    </w:rPr>
  </w:style>
  <w:style w:type="character" w:customStyle="1" w:styleId="197">
    <w:name w:val="正文文本 3 Char1"/>
    <w:basedOn w:val="43"/>
    <w:semiHidden/>
    <w:qFormat/>
    <w:uiPriority w:val="99"/>
    <w:rPr>
      <w:rFonts w:ascii="Times New Roman" w:hAnsi="Times New Roman"/>
      <w:kern w:val="2"/>
      <w:sz w:val="16"/>
      <w:szCs w:val="16"/>
    </w:rPr>
  </w:style>
  <w:style w:type="paragraph" w:customStyle="1" w:styleId="198">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99">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200">
    <w:name w:val="段"/>
    <w:link w:val="2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2">
    <w:name w:val="正文文本 Char Char"/>
    <w:basedOn w:val="1"/>
    <w:qFormat/>
    <w:uiPriority w:val="0"/>
    <w:pPr>
      <w:jc w:val="center"/>
    </w:pPr>
    <w:rPr>
      <w:rFonts w:hint="eastAsia" w:ascii="方正大黑简体" w:hAnsi="宋体" w:eastAsia="方正大黑简体"/>
      <w:kern w:val="44"/>
      <w:position w:val="6"/>
      <w:sz w:val="30"/>
    </w:rPr>
  </w:style>
  <w:style w:type="character" w:customStyle="1" w:styleId="203">
    <w:name w:val="日期 Char1"/>
    <w:basedOn w:val="43"/>
    <w:semiHidden/>
    <w:qFormat/>
    <w:uiPriority w:val="99"/>
    <w:rPr>
      <w:rFonts w:ascii="Times New Roman" w:hAnsi="Times New Roman"/>
      <w:kern w:val="2"/>
      <w:sz w:val="28"/>
    </w:rPr>
  </w:style>
  <w:style w:type="character" w:customStyle="1" w:styleId="204">
    <w:name w:val="文档结构图 Char"/>
    <w:basedOn w:val="43"/>
    <w:link w:val="18"/>
    <w:qFormat/>
    <w:uiPriority w:val="0"/>
    <w:rPr>
      <w:rFonts w:ascii="宋体" w:hAnsi="宋体"/>
      <w:kern w:val="21"/>
      <w:sz w:val="28"/>
      <w:shd w:val="clear" w:color="auto" w:fill="000080"/>
      <w:lang w:eastAsia="ar-SA"/>
    </w:rPr>
  </w:style>
  <w:style w:type="character" w:customStyle="1" w:styleId="205">
    <w:name w:val="正文文本缩进 Char1"/>
    <w:basedOn w:val="43"/>
    <w:semiHidden/>
    <w:qFormat/>
    <w:uiPriority w:val="99"/>
    <w:rPr>
      <w:rFonts w:ascii="Times New Roman" w:hAnsi="Times New Roman"/>
      <w:kern w:val="2"/>
      <w:sz w:val="28"/>
    </w:rPr>
  </w:style>
  <w:style w:type="character" w:customStyle="1" w:styleId="206">
    <w:name w:val="页眉 Char1"/>
    <w:basedOn w:val="43"/>
    <w:semiHidden/>
    <w:qFormat/>
    <w:uiPriority w:val="99"/>
    <w:rPr>
      <w:rFonts w:ascii="Times New Roman" w:hAnsi="Times New Roman"/>
      <w:kern w:val="2"/>
      <w:sz w:val="18"/>
      <w:szCs w:val="18"/>
    </w:rPr>
  </w:style>
  <w:style w:type="character" w:customStyle="1" w:styleId="207">
    <w:name w:val="正文文本缩进 3 Char1"/>
    <w:basedOn w:val="43"/>
    <w:semiHidden/>
    <w:qFormat/>
    <w:uiPriority w:val="99"/>
    <w:rPr>
      <w:rFonts w:ascii="Times New Roman" w:hAnsi="Times New Roman"/>
      <w:kern w:val="2"/>
      <w:sz w:val="16"/>
      <w:szCs w:val="16"/>
    </w:rPr>
  </w:style>
  <w:style w:type="paragraph" w:customStyle="1" w:styleId="208">
    <w:name w:val="样式 加粗 居中"/>
    <w:basedOn w:val="1"/>
    <w:qFormat/>
    <w:uiPriority w:val="0"/>
    <w:pPr>
      <w:spacing w:before="156" w:beforeLines="50" w:line="360" w:lineRule="auto"/>
      <w:ind w:right="210" w:rightChars="100"/>
      <w:jc w:val="center"/>
    </w:pPr>
    <w:rPr>
      <w:rFonts w:ascii="宋体" w:hAnsi="宋体" w:cs="宋体"/>
      <w:b/>
      <w:bCs/>
      <w:kern w:val="0"/>
      <w:sz w:val="24"/>
      <w:szCs w:val="24"/>
    </w:rPr>
  </w:style>
  <w:style w:type="character" w:customStyle="1" w:styleId="209">
    <w:name w:val="apple-converted-space"/>
    <w:qFormat/>
    <w:uiPriority w:val="0"/>
  </w:style>
  <w:style w:type="paragraph" w:customStyle="1" w:styleId="210">
    <w:name w:val="列出段落2"/>
    <w:basedOn w:val="1"/>
    <w:qFormat/>
    <w:uiPriority w:val="0"/>
    <w:pPr>
      <w:ind w:firstLine="420" w:firstLineChars="200"/>
    </w:pPr>
  </w:style>
  <w:style w:type="paragraph" w:customStyle="1" w:styleId="211">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3">
    <w:name w:val="正文首行缩进 Char"/>
    <w:basedOn w:val="195"/>
    <w:link w:val="15"/>
    <w:qFormat/>
    <w:uiPriority w:val="0"/>
    <w:rPr>
      <w:rFonts w:ascii="Times New Roman" w:hAnsi="Times New Roman"/>
      <w:kern w:val="2"/>
      <w:sz w:val="28"/>
      <w:szCs w:val="24"/>
    </w:rPr>
  </w:style>
  <w:style w:type="paragraph" w:customStyle="1" w:styleId="214">
    <w:name w:val="列出段落21"/>
    <w:basedOn w:val="1"/>
    <w:qFormat/>
    <w:uiPriority w:val="99"/>
    <w:pPr>
      <w:ind w:firstLine="420" w:firstLineChars="200"/>
    </w:pPr>
    <w:rPr>
      <w:rFonts w:ascii="Calibri" w:hAnsi="Calibri"/>
      <w:sz w:val="21"/>
      <w:szCs w:val="22"/>
    </w:rPr>
  </w:style>
  <w:style w:type="character" w:customStyle="1" w:styleId="215">
    <w:name w:val="段 Char"/>
    <w:link w:val="200"/>
    <w:qFormat/>
    <w:locked/>
    <w:uiPriority w:val="0"/>
    <w:rPr>
      <w:rFonts w:ascii="宋体" w:hAnsi="Times New Roman"/>
      <w:sz w:val="21"/>
    </w:rPr>
  </w:style>
  <w:style w:type="paragraph" w:customStyle="1" w:styleId="216">
    <w:name w:val="一级条标题"/>
    <w:next w:val="200"/>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217">
    <w:name w:val="章标题"/>
    <w:next w:val="200"/>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8">
    <w:name w:val="四级条标题"/>
    <w:basedOn w:val="187"/>
    <w:next w:val="200"/>
    <w:qFormat/>
    <w:uiPriority w:val="0"/>
    <w:pPr>
      <w:numPr>
        <w:ilvl w:val="0"/>
        <w:numId w:val="0"/>
      </w:numPr>
      <w:tabs>
        <w:tab w:val="clear" w:pos="360"/>
      </w:tabs>
      <w:spacing w:beforeLines="50" w:afterLines="50"/>
      <w:outlineLvl w:val="5"/>
    </w:pPr>
    <w:rPr>
      <w:rFonts w:ascii="黑体"/>
      <w:sz w:val="21"/>
      <w:szCs w:val="21"/>
    </w:rPr>
  </w:style>
  <w:style w:type="paragraph" w:customStyle="1" w:styleId="219">
    <w:name w:val="五级条标题"/>
    <w:basedOn w:val="218"/>
    <w:next w:val="200"/>
    <w:qFormat/>
    <w:uiPriority w:val="0"/>
    <w:pPr>
      <w:outlineLvl w:val="6"/>
    </w:pPr>
  </w:style>
  <w:style w:type="paragraph" w:customStyle="1" w:styleId="220">
    <w:name w:val="二级无"/>
    <w:basedOn w:val="188"/>
    <w:qFormat/>
    <w:uiPriority w:val="0"/>
    <w:pPr>
      <w:numPr>
        <w:ilvl w:val="2"/>
        <w:numId w:val="1"/>
      </w:numPr>
      <w:spacing w:before="50" w:after="50"/>
    </w:pPr>
    <w:rPr>
      <w:rFonts w:ascii="宋体" w:eastAsia="宋体"/>
      <w:sz w:val="21"/>
      <w:szCs w:val="21"/>
    </w:rPr>
  </w:style>
  <w:style w:type="paragraph" w:customStyle="1" w:styleId="221">
    <w:name w:val="附录表标号"/>
    <w:basedOn w:val="1"/>
    <w:next w:val="200"/>
    <w:qFormat/>
    <w:uiPriority w:val="0"/>
    <w:pPr>
      <w:numPr>
        <w:ilvl w:val="0"/>
        <w:numId w:val="5"/>
      </w:numPr>
      <w:spacing w:line="14" w:lineRule="exact"/>
      <w:ind w:left="811" w:hanging="448"/>
      <w:jc w:val="center"/>
      <w:outlineLvl w:val="0"/>
    </w:pPr>
    <w:rPr>
      <w:color w:val="FFFFFF"/>
      <w:sz w:val="21"/>
      <w:szCs w:val="24"/>
    </w:rPr>
  </w:style>
  <w:style w:type="paragraph" w:customStyle="1" w:styleId="222">
    <w:name w:val="附录表标题"/>
    <w:basedOn w:val="1"/>
    <w:next w:val="200"/>
    <w:qFormat/>
    <w:uiPriority w:val="0"/>
    <w:pPr>
      <w:numPr>
        <w:ilvl w:val="1"/>
        <w:numId w:val="5"/>
      </w:numPr>
      <w:spacing w:beforeLines="50"/>
      <w:ind w:left="7090"/>
      <w:jc w:val="center"/>
    </w:pPr>
    <w:rPr>
      <w:rFonts w:ascii="黑体" w:eastAsia="黑体"/>
      <w:sz w:val="21"/>
      <w:szCs w:val="21"/>
    </w:rPr>
  </w:style>
  <w:style w:type="paragraph" w:customStyle="1" w:styleId="223">
    <w:name w:val="三级无"/>
    <w:basedOn w:val="187"/>
    <w:qFormat/>
    <w:uiPriority w:val="0"/>
    <w:pPr>
      <w:numPr>
        <w:ilvl w:val="3"/>
        <w:numId w:val="1"/>
      </w:numPr>
      <w:tabs>
        <w:tab w:val="clear" w:pos="360"/>
      </w:tabs>
      <w:spacing w:before="50" w:after="50"/>
    </w:pPr>
    <w:rPr>
      <w:rFonts w:ascii="宋体" w:eastAsia="宋体"/>
      <w:sz w:val="21"/>
      <w:szCs w:val="21"/>
    </w:rPr>
  </w:style>
  <w:style w:type="paragraph" w:customStyle="1" w:styleId="224">
    <w:name w:val="p15"/>
    <w:basedOn w:val="1"/>
    <w:qFormat/>
    <w:uiPriority w:val="0"/>
    <w:pPr>
      <w:widowControl/>
    </w:pPr>
    <w:rPr>
      <w:rFonts w:ascii="Wingdings" w:hAnsi="Wingdings" w:cs="宋体"/>
      <w:kern w:val="0"/>
      <w:szCs w:val="28"/>
    </w:rPr>
  </w:style>
  <w:style w:type="paragraph" w:customStyle="1" w:styleId="225">
    <w:name w:val="N.表格文字正文"/>
    <w:basedOn w:val="1"/>
    <w:qFormat/>
    <w:uiPriority w:val="0"/>
    <w:pPr>
      <w:ind w:firstLine="0" w:firstLineChars="0"/>
    </w:pPr>
    <w:rPr>
      <w:sz w:val="21"/>
    </w:rPr>
  </w:style>
  <w:style w:type="character" w:customStyle="1" w:styleId="226">
    <w:name w:val="标题 4 字符"/>
    <w:basedOn w:val="43"/>
    <w:link w:val="5"/>
    <w:uiPriority w:val="9"/>
    <w:rPr>
      <w:rFonts w:ascii="Cambria" w:hAnsi="Cambria" w:eastAsia="宋体" w:cs="Times New Roman"/>
      <w:b/>
      <w:bCs/>
      <w:kern w:val="0"/>
      <w:sz w:val="28"/>
      <w:szCs w:val="28"/>
      <w:lang w:val="zh-CN" w:eastAsia="zh-CN"/>
    </w:rPr>
  </w:style>
  <w:style w:type="paragraph" w:customStyle="1" w:styleId="227">
    <w:name w:val="列出段落"/>
    <w:basedOn w:val="1"/>
    <w:qFormat/>
    <w:uiPriority w:val="34"/>
    <w:pPr>
      <w:spacing w:line="360" w:lineRule="auto"/>
      <w:ind w:firstLine="42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98F8A-BBDD-49DA-A73C-311B83E07B4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2343</Words>
  <Characters>13356</Characters>
  <Lines>111</Lines>
  <Paragraphs>31</Paragraphs>
  <TotalTime>2</TotalTime>
  <ScaleCrop>false</ScaleCrop>
  <LinksUpToDate>false</LinksUpToDate>
  <CharactersWithSpaces>15668</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dell</cp:lastModifiedBy>
  <dcterms:modified xsi:type="dcterms:W3CDTF">2019-02-13T03:04:15Z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