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rPr>
          <w:rFonts w:ascii="宋体" w:hAnsi="宋体"/>
          <w:b/>
          <w:bCs/>
          <w:color w:val="000000"/>
          <w:spacing w:val="36"/>
          <w:w w:val="66"/>
          <w:szCs w:val="28"/>
        </w:rPr>
      </w:pPr>
    </w:p>
    <w:p>
      <w:pPr>
        <w:tabs>
          <w:tab w:val="left" w:pos="420"/>
        </w:tabs>
        <w:spacing w:line="360" w:lineRule="auto"/>
        <w:jc w:val="center"/>
        <w:rPr>
          <w:rFonts w:ascii="宋体" w:hAnsi="宋体"/>
          <w:b/>
          <w:bCs/>
          <w:color w:val="000000"/>
          <w:spacing w:val="36"/>
          <w:w w:val="66"/>
          <w:sz w:val="72"/>
          <w:szCs w:val="72"/>
        </w:rPr>
      </w:pPr>
      <w:r>
        <w:rPr>
          <w:rFonts w:hint="eastAsia" w:ascii="宋体" w:hAnsi="宋体"/>
          <w:b/>
          <w:bCs/>
          <w:color w:val="000000"/>
          <w:spacing w:val="36"/>
          <w:w w:val="66"/>
          <w:sz w:val="72"/>
          <w:szCs w:val="72"/>
        </w:rPr>
        <w:t>鄂尔多斯市</w:t>
      </w:r>
      <w:r>
        <w:rPr>
          <w:rFonts w:hint="eastAsia" w:ascii="宋体" w:hAnsi="宋体"/>
          <w:b/>
          <w:bCs/>
          <w:color w:val="000000"/>
          <w:spacing w:val="36"/>
          <w:w w:val="66"/>
          <w:sz w:val="72"/>
          <w:szCs w:val="72"/>
          <w:lang w:eastAsia="zh-CN"/>
        </w:rPr>
        <w:t>准格尔旗公共资源交易</w:t>
      </w:r>
      <w:r>
        <w:rPr>
          <w:rFonts w:hint="eastAsia" w:ascii="宋体" w:hAnsi="宋体"/>
          <w:b/>
          <w:bCs/>
          <w:color w:val="000000"/>
          <w:spacing w:val="36"/>
          <w:w w:val="66"/>
          <w:sz w:val="72"/>
          <w:szCs w:val="72"/>
        </w:rPr>
        <w:t>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单一来源文件</w:t>
      </w:r>
    </w:p>
    <w:p>
      <w:pPr>
        <w:tabs>
          <w:tab w:val="left" w:pos="315"/>
          <w:tab w:val="left" w:pos="8820"/>
        </w:tabs>
        <w:spacing w:line="360" w:lineRule="auto"/>
        <w:ind w:right="356" w:rightChars="127"/>
        <w:rPr>
          <w:rFonts w:ascii="宋体" w:hAnsi="宋体"/>
          <w:b/>
          <w:color w:val="000000"/>
          <w:kern w:val="0"/>
          <w:szCs w:val="28"/>
          <w:lang w:val="zh-CN"/>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17"/>
        <w:spacing w:line="360" w:lineRule="auto"/>
        <w:ind w:left="2807" w:leftChars="400" w:hanging="1687" w:hangingChars="600"/>
        <w:rPr>
          <w:rFonts w:hint="eastAsia" w:ascii="宋体" w:hAnsi="宋体" w:eastAsia="宋体"/>
          <w:color w:val="000000"/>
          <w:szCs w:val="28"/>
          <w:lang w:eastAsia="zh-CN"/>
        </w:rPr>
      </w:pPr>
      <w:r>
        <w:rPr>
          <w:rFonts w:hint="eastAsia" w:ascii="宋体" w:hAnsi="宋体" w:eastAsia="宋体"/>
          <w:color w:val="000000"/>
          <w:szCs w:val="28"/>
        </w:rPr>
        <w:t>项目名称：</w:t>
      </w:r>
      <w:r>
        <w:rPr>
          <w:rFonts w:hint="eastAsia" w:ascii="宋体" w:hAnsi="宋体" w:eastAsia="宋体"/>
          <w:color w:val="000000"/>
          <w:szCs w:val="28"/>
          <w:lang w:eastAsia="zh-CN"/>
        </w:rPr>
        <w:t>准格尔旗文化和旅游局采购《山那边》主创团队服务和人才培养服务项目</w:t>
      </w:r>
    </w:p>
    <w:p>
      <w:pPr>
        <w:pStyle w:val="17"/>
        <w:spacing w:line="360" w:lineRule="auto"/>
        <w:ind w:firstLine="1124" w:firstLineChars="400"/>
        <w:rPr>
          <w:rFonts w:hint="eastAsia" w:ascii="宋体" w:hAnsi="宋体" w:eastAsia="宋体"/>
          <w:color w:val="000000"/>
          <w:szCs w:val="28"/>
        </w:rPr>
      </w:pPr>
      <w:r>
        <w:rPr>
          <w:rFonts w:hint="eastAsia" w:ascii="宋体" w:hAnsi="宋体" w:eastAsia="宋体"/>
          <w:color w:val="000000"/>
          <w:szCs w:val="28"/>
        </w:rPr>
        <w:t>项目编号：</w:t>
      </w:r>
      <w:r>
        <w:rPr>
          <w:rFonts w:hint="eastAsia" w:ascii="宋体" w:hAnsi="宋体" w:eastAsia="宋体"/>
          <w:color w:val="0000FF"/>
          <w:szCs w:val="28"/>
          <w:lang w:eastAsia="zh-CN"/>
        </w:rPr>
        <w:t>CG2019HDY1</w:t>
      </w:r>
      <w:r>
        <w:rPr>
          <w:rFonts w:hint="eastAsia" w:ascii="宋体" w:hAnsi="宋体" w:eastAsia="宋体"/>
          <w:color w:val="0000FF"/>
          <w:szCs w:val="28"/>
          <w:lang w:val="en-US" w:eastAsia="zh-CN"/>
        </w:rPr>
        <w:t>287</w:t>
      </w:r>
      <w:r>
        <w:rPr>
          <w:rFonts w:hint="eastAsia" w:ascii="宋体" w:hAnsi="宋体" w:eastAsia="宋体"/>
          <w:color w:val="0000FF"/>
          <w:szCs w:val="28"/>
        </w:rPr>
        <w:t xml:space="preserve"> </w:t>
      </w:r>
    </w:p>
    <w:p>
      <w:pPr>
        <w:pStyle w:val="17"/>
        <w:spacing w:line="360" w:lineRule="auto"/>
        <w:ind w:firstLine="1124" w:firstLineChars="400"/>
        <w:rPr>
          <w:rFonts w:hint="eastAsia" w:ascii="宋体" w:hAnsi="宋体" w:eastAsia="宋体"/>
          <w:color w:val="000000"/>
          <w:szCs w:val="28"/>
        </w:rPr>
      </w:pPr>
    </w:p>
    <w:p>
      <w:pPr>
        <w:pStyle w:val="17"/>
        <w:spacing w:line="360" w:lineRule="auto"/>
        <w:ind w:firstLine="1124" w:firstLineChars="400"/>
        <w:rPr>
          <w:rFonts w:hint="eastAsia" w:ascii="宋体" w:hAnsi="宋体" w:eastAsia="宋体"/>
          <w:color w:val="000000"/>
          <w:szCs w:val="28"/>
        </w:rPr>
      </w:pPr>
    </w:p>
    <w:p>
      <w:pPr>
        <w:pStyle w:val="17"/>
        <w:spacing w:line="360" w:lineRule="auto"/>
        <w:ind w:firstLine="1124" w:firstLineChars="400"/>
        <w:rPr>
          <w:rFonts w:hint="eastAsia" w:ascii="宋体" w:hAnsi="宋体" w:eastAsia="宋体"/>
          <w:color w:val="000000"/>
          <w:szCs w:val="28"/>
        </w:rPr>
      </w:pPr>
      <w:r>
        <w:rPr>
          <w:rFonts w:hint="eastAsia" w:ascii="宋体" w:hAnsi="宋体" w:eastAsia="宋体"/>
          <w:color w:val="000000"/>
          <w:szCs w:val="28"/>
        </w:rPr>
        <w:t xml:space="preserve">             </w:t>
      </w:r>
    </w:p>
    <w:p>
      <w:pPr>
        <w:pStyle w:val="17"/>
        <w:spacing w:line="360" w:lineRule="auto"/>
        <w:ind w:firstLine="3654" w:firstLineChars="1300"/>
        <w:rPr>
          <w:rFonts w:hint="default" w:ascii="宋体" w:hAnsi="宋体" w:eastAsia="宋体"/>
          <w:color w:val="000000"/>
          <w:szCs w:val="28"/>
          <w:lang w:val="en-US"/>
        </w:rPr>
      </w:pPr>
      <w:r>
        <w:rPr>
          <w:rFonts w:hint="eastAsia" w:ascii="宋体" w:hAnsi="宋体" w:eastAsia="宋体"/>
          <w:color w:val="000000"/>
          <w:szCs w:val="28"/>
        </w:rPr>
        <w:t>20</w:t>
      </w:r>
      <w:r>
        <w:rPr>
          <w:rFonts w:hint="eastAsia" w:ascii="宋体" w:hAnsi="宋体" w:eastAsia="宋体"/>
          <w:color w:val="000000"/>
          <w:szCs w:val="28"/>
          <w:lang w:val="en-US" w:eastAsia="zh-CN"/>
        </w:rPr>
        <w:t>19</w:t>
      </w:r>
      <w:r>
        <w:rPr>
          <w:rFonts w:hint="eastAsia" w:ascii="宋体" w:hAnsi="宋体" w:eastAsia="宋体"/>
          <w:color w:val="000000"/>
          <w:szCs w:val="28"/>
        </w:rPr>
        <w:t>年</w:t>
      </w:r>
      <w:r>
        <w:rPr>
          <w:rFonts w:hint="eastAsia" w:ascii="宋体" w:hAnsi="宋体" w:eastAsia="宋体"/>
          <w:color w:val="000000"/>
          <w:szCs w:val="28"/>
          <w:lang w:val="en-US" w:eastAsia="zh-CN"/>
        </w:rPr>
        <w:t>7</w:t>
      </w:r>
      <w:r>
        <w:rPr>
          <w:rFonts w:hint="eastAsia" w:ascii="宋体" w:hAnsi="宋体" w:eastAsia="宋体"/>
          <w:color w:val="000000"/>
          <w:szCs w:val="28"/>
        </w:rPr>
        <w:t>月</w:t>
      </w:r>
      <w:bookmarkStart w:id="0" w:name="_Toc266431005"/>
      <w:bookmarkStart w:id="1" w:name="_Toc266431113"/>
      <w:r>
        <w:rPr>
          <w:rFonts w:hint="eastAsia" w:ascii="宋体" w:hAnsi="宋体" w:eastAsia="宋体"/>
          <w:color w:val="000000"/>
          <w:szCs w:val="28"/>
          <w:lang w:val="en-US" w:eastAsia="zh-CN"/>
        </w:rPr>
        <w:t xml:space="preserve"> </w:t>
      </w:r>
    </w:p>
    <w:p>
      <w:pPr>
        <w:pStyle w:val="17"/>
        <w:spacing w:line="360" w:lineRule="auto"/>
        <w:rPr>
          <w:rFonts w:ascii="宋体" w:hAnsi="宋体" w:eastAsia="宋体"/>
          <w:color w:val="000000"/>
          <w:szCs w:val="28"/>
        </w:rPr>
      </w:pPr>
    </w:p>
    <w:p>
      <w:pPr>
        <w:pStyle w:val="68"/>
        <w:keepNext w:val="0"/>
        <w:keepLines w:val="0"/>
        <w:spacing w:before="0" w:line="360" w:lineRule="auto"/>
        <w:jc w:val="both"/>
        <w:rPr>
          <w:rFonts w:hint="eastAsia" w:ascii="宋体" w:hAnsi="宋体"/>
          <w:color w:val="000000"/>
          <w:lang w:val="zh-CN"/>
        </w:rPr>
      </w:pPr>
    </w:p>
    <w:p>
      <w:pPr>
        <w:pStyle w:val="68"/>
        <w:keepNext w:val="0"/>
        <w:keepLines w:val="0"/>
        <w:spacing w:before="0" w:line="360" w:lineRule="auto"/>
        <w:jc w:val="center"/>
        <w:rPr>
          <w:rFonts w:hint="eastAsia" w:ascii="宋体" w:hAnsi="宋体"/>
          <w:color w:val="000000"/>
          <w:lang w:val="zh-CN"/>
        </w:rPr>
      </w:pPr>
    </w:p>
    <w:p>
      <w:pPr>
        <w:pStyle w:val="68"/>
        <w:keepNext w:val="0"/>
        <w:keepLines w:val="0"/>
        <w:spacing w:before="0" w:line="360" w:lineRule="auto"/>
        <w:jc w:val="center"/>
        <w:rPr>
          <w:rFonts w:hint="eastAsia" w:ascii="宋体" w:hAnsi="宋体"/>
          <w:color w:val="000000"/>
          <w:lang w:val="zh-CN"/>
        </w:rPr>
      </w:pPr>
      <w:r>
        <w:rPr>
          <w:rFonts w:hint="eastAsia" w:ascii="宋体" w:hAnsi="宋体"/>
          <w:color w:val="000000"/>
          <w:lang w:val="zh-CN"/>
        </w:rPr>
        <w:t>目   录</w:t>
      </w:r>
    </w:p>
    <w:p>
      <w:pPr>
        <w:rPr>
          <w:rFonts w:hint="eastAsia" w:ascii="宋体" w:hAnsi="宋体"/>
          <w:color w:val="000000"/>
          <w:lang w:val="zh-CN"/>
        </w:rPr>
      </w:pPr>
    </w:p>
    <w:p>
      <w:pPr>
        <w:rPr>
          <w:rFonts w:hint="eastAsia" w:ascii="宋体" w:hAnsi="宋体"/>
          <w:color w:val="000000"/>
          <w:lang w:val="zh-CN"/>
        </w:rPr>
      </w:pPr>
    </w:p>
    <w:p>
      <w:pPr>
        <w:pStyle w:val="30"/>
        <w:tabs>
          <w:tab w:val="right" w:leader="dot" w:pos="9402"/>
        </w:tabs>
        <w:rPr>
          <w:rFonts w:asciiTheme="minorHAnsi" w:hAnsiTheme="minorHAnsi" w:eastAsiaTheme="minorEastAsia" w:cstheme="minorBidi"/>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"_Toc497726798" </w:instrText>
      </w:r>
      <w:r>
        <w:fldChar w:fldCharType="separate"/>
      </w:r>
      <w:r>
        <w:rPr>
          <w:rStyle w:val="50"/>
          <w:rFonts w:hint="eastAsia" w:ascii="宋体" w:hAnsi="宋体"/>
          <w:kern w:val="0"/>
        </w:rPr>
        <w:t>第一章</w:t>
      </w:r>
      <w:r>
        <w:rPr>
          <w:rStyle w:val="50"/>
          <w:rFonts w:ascii="宋体" w:hAnsi="宋体"/>
          <w:kern w:val="0"/>
        </w:rPr>
        <w:t xml:space="preserve"> </w:t>
      </w:r>
      <w:r>
        <w:rPr>
          <w:rStyle w:val="50"/>
          <w:rFonts w:hint="eastAsia" w:ascii="宋体" w:hAnsi="宋体"/>
          <w:kern w:val="0"/>
        </w:rPr>
        <w:t>采购公告</w:t>
      </w:r>
      <w:r>
        <w:tab/>
      </w:r>
      <w:r>
        <w:fldChar w:fldCharType="begin"/>
      </w:r>
      <w:r>
        <w:instrText xml:space="preserve"> PAGEREF _Toc497726798 \h </w:instrText>
      </w:r>
      <w:r>
        <w:fldChar w:fldCharType="separate"/>
      </w:r>
      <w:r>
        <w:t>3</w:t>
      </w:r>
      <w:r>
        <w:fldChar w:fldCharType="end"/>
      </w:r>
      <w:r>
        <w:fldChar w:fldCharType="end"/>
      </w:r>
    </w:p>
    <w:p>
      <w:pPr>
        <w:pStyle w:val="3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"_Toc497726799" </w:instrText>
      </w:r>
      <w:r>
        <w:fldChar w:fldCharType="separate"/>
      </w:r>
      <w:r>
        <w:rPr>
          <w:rStyle w:val="50"/>
          <w:rFonts w:hint="eastAsia" w:ascii="宋体" w:hAnsi="宋体"/>
        </w:rPr>
        <w:t>第二章</w:t>
      </w:r>
      <w:r>
        <w:rPr>
          <w:rStyle w:val="50"/>
          <w:rFonts w:ascii="宋体" w:hAnsi="宋体"/>
        </w:rPr>
        <w:t xml:space="preserve"> </w:t>
      </w:r>
      <w:r>
        <w:rPr>
          <w:rStyle w:val="50"/>
          <w:rFonts w:hint="eastAsia" w:ascii="宋体" w:hAnsi="宋体"/>
        </w:rPr>
        <w:t>供应商须知</w:t>
      </w:r>
      <w:r>
        <w:tab/>
      </w:r>
      <w:r>
        <w:fldChar w:fldCharType="begin"/>
      </w:r>
      <w:r>
        <w:instrText xml:space="preserve"> PAGEREF _Toc497726799 \h </w:instrText>
      </w:r>
      <w:r>
        <w:fldChar w:fldCharType="separate"/>
      </w:r>
      <w:r>
        <w:t>5</w:t>
      </w:r>
      <w:r>
        <w:fldChar w:fldCharType="end"/>
      </w:r>
      <w:r>
        <w:fldChar w:fldCharType="end"/>
      </w:r>
    </w:p>
    <w:p>
      <w:pPr>
        <w:pStyle w:val="3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"_Toc497726800" </w:instrText>
      </w:r>
      <w:r>
        <w:fldChar w:fldCharType="separate"/>
      </w:r>
      <w:r>
        <w:rPr>
          <w:rStyle w:val="50"/>
          <w:rFonts w:hint="eastAsia" w:ascii="宋体" w:hAnsi="宋体"/>
        </w:rPr>
        <w:t>第三章</w:t>
      </w:r>
      <w:r>
        <w:rPr>
          <w:rStyle w:val="50"/>
          <w:rFonts w:ascii="宋体" w:hAnsi="宋体"/>
        </w:rPr>
        <w:t xml:space="preserve"> </w:t>
      </w:r>
      <w:r>
        <w:rPr>
          <w:rStyle w:val="50"/>
          <w:rFonts w:hint="eastAsia" w:ascii="宋体" w:hAnsi="宋体"/>
        </w:rPr>
        <w:t>合同与验收</w:t>
      </w:r>
      <w:r>
        <w:tab/>
      </w:r>
      <w:r>
        <w:fldChar w:fldCharType="begin"/>
      </w:r>
      <w:r>
        <w:instrText xml:space="preserve"> PAGEREF _Toc497726800 \h </w:instrText>
      </w:r>
      <w:r>
        <w:fldChar w:fldCharType="separate"/>
      </w:r>
      <w:r>
        <w:t>11</w:t>
      </w:r>
      <w:r>
        <w:fldChar w:fldCharType="end"/>
      </w:r>
      <w:r>
        <w:fldChar w:fldCharType="end"/>
      </w:r>
    </w:p>
    <w:p>
      <w:pPr>
        <w:pStyle w:val="3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"_Toc497726801" </w:instrText>
      </w:r>
      <w:r>
        <w:fldChar w:fldCharType="separate"/>
      </w:r>
      <w:r>
        <w:rPr>
          <w:rStyle w:val="50"/>
          <w:rFonts w:hint="eastAsia" w:ascii="宋体" w:hAnsi="宋体"/>
        </w:rPr>
        <w:t>第四章</w:t>
      </w:r>
      <w:r>
        <w:rPr>
          <w:rStyle w:val="50"/>
          <w:rFonts w:ascii="宋体" w:hAnsi="宋体"/>
        </w:rPr>
        <w:t xml:space="preserve"> </w:t>
      </w:r>
      <w:r>
        <w:rPr>
          <w:rStyle w:val="50"/>
          <w:rFonts w:hint="eastAsia" w:ascii="宋体" w:hAnsi="宋体"/>
        </w:rPr>
        <w:t>单一来源内容与技术要求</w:t>
      </w:r>
      <w:r>
        <w:tab/>
      </w:r>
      <w:r>
        <w:fldChar w:fldCharType="begin"/>
      </w:r>
      <w:r>
        <w:instrText xml:space="preserve"> PAGEREF _Toc497726801 \h </w:instrText>
      </w:r>
      <w:r>
        <w:fldChar w:fldCharType="separate"/>
      </w:r>
      <w:r>
        <w:t>14</w:t>
      </w:r>
      <w:r>
        <w:fldChar w:fldCharType="end"/>
      </w:r>
      <w:r>
        <w:fldChar w:fldCharType="end"/>
      </w:r>
    </w:p>
    <w:p>
      <w:pPr>
        <w:pStyle w:val="3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"_Toc497726802" </w:instrText>
      </w:r>
      <w:r>
        <w:fldChar w:fldCharType="separate"/>
      </w:r>
      <w:r>
        <w:rPr>
          <w:rStyle w:val="50"/>
          <w:rFonts w:hint="eastAsia" w:ascii="宋体" w:hAnsi="宋体"/>
        </w:rPr>
        <w:t>第五章</w:t>
      </w:r>
      <w:r>
        <w:rPr>
          <w:rStyle w:val="50"/>
          <w:rFonts w:ascii="宋体" w:hAnsi="宋体"/>
        </w:rPr>
        <w:t xml:space="preserve"> </w:t>
      </w:r>
      <w:r>
        <w:rPr>
          <w:rStyle w:val="50"/>
          <w:rFonts w:hint="eastAsia" w:ascii="宋体" w:hAnsi="宋体"/>
        </w:rPr>
        <w:t>供应商资格证明</w:t>
      </w:r>
      <w:r>
        <w:tab/>
      </w:r>
      <w:r>
        <w:fldChar w:fldCharType="begin"/>
      </w:r>
      <w:r>
        <w:instrText xml:space="preserve"> PAGEREF _Toc497726802 \h </w:instrText>
      </w:r>
      <w:r>
        <w:fldChar w:fldCharType="separate"/>
      </w:r>
      <w:r>
        <w:t>15</w:t>
      </w:r>
      <w:r>
        <w:fldChar w:fldCharType="end"/>
      </w:r>
      <w:r>
        <w:fldChar w:fldCharType="end"/>
      </w:r>
    </w:p>
    <w:p>
      <w:pPr>
        <w:pStyle w:val="3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"_Toc497726803" </w:instrText>
      </w:r>
      <w:r>
        <w:fldChar w:fldCharType="separate"/>
      </w:r>
      <w:r>
        <w:rPr>
          <w:rStyle w:val="50"/>
          <w:rFonts w:hint="eastAsia" w:ascii="宋体" w:hAnsi="宋体"/>
        </w:rPr>
        <w:t>第六章</w:t>
      </w:r>
      <w:r>
        <w:rPr>
          <w:rStyle w:val="50"/>
          <w:rFonts w:ascii="宋体" w:hAnsi="宋体"/>
        </w:rPr>
        <w:t xml:space="preserve"> </w:t>
      </w:r>
      <w:r>
        <w:rPr>
          <w:rStyle w:val="50"/>
          <w:rFonts w:hint="eastAsia" w:ascii="宋体" w:hAnsi="宋体"/>
        </w:rPr>
        <w:t>单一来源程序及方法</w:t>
      </w:r>
      <w:r>
        <w:tab/>
      </w:r>
      <w:r>
        <w:fldChar w:fldCharType="begin"/>
      </w:r>
      <w:r>
        <w:instrText xml:space="preserve"> PAGEREF _Toc497726803 \h </w:instrText>
      </w:r>
      <w:r>
        <w:fldChar w:fldCharType="separate"/>
      </w:r>
      <w:r>
        <w:t>16</w:t>
      </w:r>
      <w:r>
        <w:fldChar w:fldCharType="end"/>
      </w:r>
      <w:r>
        <w:fldChar w:fldCharType="end"/>
      </w:r>
    </w:p>
    <w:p>
      <w:pPr>
        <w:pStyle w:val="3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"_Toc497726804" </w:instrText>
      </w:r>
      <w:r>
        <w:fldChar w:fldCharType="separate"/>
      </w:r>
      <w:r>
        <w:rPr>
          <w:rStyle w:val="50"/>
          <w:rFonts w:hint="eastAsia" w:ascii="宋体" w:hAnsi="宋体"/>
        </w:rPr>
        <w:t>第七章</w:t>
      </w:r>
      <w:r>
        <w:rPr>
          <w:rStyle w:val="50"/>
          <w:rFonts w:ascii="宋体" w:hAnsi="宋体"/>
        </w:rPr>
        <w:t xml:space="preserve"> </w:t>
      </w:r>
      <w:r>
        <w:rPr>
          <w:rStyle w:val="50"/>
          <w:rFonts w:hint="eastAsia" w:ascii="宋体" w:hAnsi="宋体"/>
        </w:rPr>
        <w:t>响应文件格式与要求</w:t>
      </w:r>
      <w:r>
        <w:tab/>
      </w:r>
      <w:r>
        <w:fldChar w:fldCharType="begin"/>
      </w:r>
      <w:r>
        <w:instrText xml:space="preserve"> PAGEREF _Toc497726804 \h </w:instrText>
      </w:r>
      <w:r>
        <w:fldChar w:fldCharType="separate"/>
      </w:r>
      <w:r>
        <w:t>18</w:t>
      </w:r>
      <w:r>
        <w:fldChar w:fldCharType="end"/>
      </w:r>
      <w:r>
        <w:fldChar w:fldCharType="end"/>
      </w:r>
    </w:p>
    <w:p>
      <w:pPr>
        <w:pStyle w:val="3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"_Toc497726806" </w:instrText>
      </w:r>
      <w:r>
        <w:fldChar w:fldCharType="separate"/>
      </w:r>
      <w:r>
        <w:rPr>
          <w:rStyle w:val="50"/>
          <w:rFonts w:hint="eastAsia" w:ascii="宋体" w:hAnsi="宋体"/>
        </w:rPr>
        <w:t>温馨提示</w:t>
      </w:r>
      <w:r>
        <w:tab/>
      </w:r>
      <w:r>
        <w:fldChar w:fldCharType="begin"/>
      </w:r>
      <w:r>
        <w:instrText xml:space="preserve"> PAGEREF _Toc497726806 \h </w:instrText>
      </w:r>
      <w:r>
        <w:fldChar w:fldCharType="separate"/>
      </w:r>
      <w:r>
        <w:t>37</w:t>
      </w:r>
      <w:r>
        <w:fldChar w:fldCharType="end"/>
      </w:r>
      <w:r>
        <w:fldChar w:fldCharType="end"/>
      </w:r>
    </w:p>
    <w:p>
      <w:pPr>
        <w:pStyle w:val="2"/>
        <w:keepNext w:val="0"/>
        <w:keepLines w:val="0"/>
        <w:spacing w:line="360" w:lineRule="auto"/>
        <w:jc w:val="both"/>
        <w:rPr>
          <w:rFonts w:ascii="宋体" w:hAnsi="宋体"/>
          <w:b w:val="0"/>
          <w:color w:val="000000"/>
          <w:sz w:val="28"/>
          <w:szCs w:val="28"/>
          <w:lang w:eastAsia="zh-CN"/>
        </w:rPr>
      </w:pPr>
      <w:r>
        <w:rPr>
          <w:rFonts w:ascii="宋体" w:hAnsi="宋体"/>
          <w:b w:val="0"/>
          <w:color w:val="000000"/>
          <w:sz w:val="28"/>
          <w:szCs w:val="28"/>
        </w:rPr>
        <w:fldChar w:fldCharType="end"/>
      </w:r>
      <w:bookmarkEnd w:id="0"/>
      <w:bookmarkEnd w:id="1"/>
      <w:bookmarkStart w:id="2" w:name="_Toc266431116"/>
      <w:bookmarkStart w:id="3" w:name="_Toc253045125"/>
      <w:r>
        <w:rPr>
          <w:rFonts w:ascii="宋体" w:hAnsi="宋体"/>
          <w:b w:val="0"/>
          <w:color w:val="000000"/>
          <w:sz w:val="28"/>
          <w:szCs w:val="28"/>
        </w:rPr>
        <w:br w:type="page"/>
      </w:r>
    </w:p>
    <w:p>
      <w:pPr>
        <w:spacing w:line="360" w:lineRule="auto"/>
        <w:ind w:firstLine="3373" w:firstLineChars="1400"/>
        <w:outlineLvl w:val="0"/>
        <w:rPr>
          <w:rFonts w:ascii="宋体" w:hAnsi="宋体"/>
          <w:b/>
          <w:bCs/>
          <w:color w:val="000000"/>
          <w:kern w:val="0"/>
          <w:sz w:val="24"/>
          <w:szCs w:val="24"/>
        </w:rPr>
      </w:pPr>
      <w:bookmarkStart w:id="4" w:name="_Toc497726798"/>
      <w:r>
        <w:rPr>
          <w:rFonts w:hint="eastAsia" w:ascii="宋体" w:hAnsi="宋体"/>
          <w:b/>
          <w:bCs/>
          <w:color w:val="000000"/>
          <w:kern w:val="0"/>
          <w:sz w:val="24"/>
          <w:szCs w:val="24"/>
        </w:rPr>
        <w:t>第一章 采购公告</w:t>
      </w:r>
      <w:bookmarkEnd w:id="4"/>
    </w:p>
    <w:p>
      <w:pPr>
        <w:spacing w:line="360" w:lineRule="auto"/>
        <w:jc w:val="center"/>
        <w:rPr>
          <w:rFonts w:hint="eastAsia" w:ascii="宋体" w:hAnsi="宋体"/>
          <w:b/>
          <w:sz w:val="24"/>
          <w:szCs w:val="24"/>
          <w:lang w:eastAsia="zh-CN"/>
        </w:rPr>
      </w:pPr>
      <w:bookmarkStart w:id="40" w:name="_GoBack"/>
      <w:r>
        <w:rPr>
          <w:rFonts w:hint="eastAsia" w:ascii="宋体" w:hAnsi="宋体"/>
          <w:b/>
          <w:sz w:val="24"/>
          <w:szCs w:val="24"/>
          <w:lang w:eastAsia="zh-CN"/>
        </w:rPr>
        <w:t>准格尔旗文化和旅游局采购《山那边》主创团队服务和人才培养服务项目</w:t>
      </w:r>
    </w:p>
    <w:p>
      <w:pPr>
        <w:spacing w:line="360" w:lineRule="auto"/>
        <w:jc w:val="center"/>
        <w:rPr>
          <w:rFonts w:ascii="宋体" w:hAnsi="宋体"/>
          <w:sz w:val="24"/>
          <w:szCs w:val="24"/>
        </w:rPr>
      </w:pPr>
      <w:r>
        <w:rPr>
          <w:rFonts w:hint="eastAsia" w:ascii="宋体" w:hAnsi="宋体"/>
          <w:b/>
          <w:sz w:val="24"/>
          <w:szCs w:val="24"/>
        </w:rPr>
        <w:t>单一来源公告</w:t>
      </w:r>
    </w:p>
    <w:p>
      <w:pPr>
        <w:spacing w:line="360" w:lineRule="auto"/>
        <w:ind w:firstLine="480" w:firstLineChars="200"/>
        <w:rPr>
          <w:rFonts w:ascii="宋体" w:hAnsi="宋体"/>
          <w:color w:val="000000"/>
          <w:sz w:val="24"/>
          <w:szCs w:val="24"/>
        </w:rPr>
      </w:pPr>
      <w:r>
        <w:rPr>
          <w:rFonts w:hint="eastAsia" w:ascii="宋体" w:hAnsi="宋体"/>
          <w:sz w:val="24"/>
          <w:szCs w:val="24"/>
          <w:lang w:eastAsia="zh-CN"/>
        </w:rPr>
        <w:t>鄂尔多斯市准格尔旗公共资源交易中心</w:t>
      </w:r>
      <w:r>
        <w:rPr>
          <w:rFonts w:hint="eastAsia" w:ascii="宋体" w:hAnsi="宋体"/>
          <w:sz w:val="24"/>
          <w:szCs w:val="24"/>
        </w:rPr>
        <w:t>受</w:t>
      </w:r>
      <w:r>
        <w:rPr>
          <w:rFonts w:hint="eastAsia" w:ascii="宋体" w:hAnsi="宋体"/>
          <w:sz w:val="24"/>
          <w:szCs w:val="24"/>
          <w:lang w:eastAsia="zh-CN"/>
        </w:rPr>
        <w:t>准格尔旗文化和旅游局</w:t>
      </w:r>
      <w:r>
        <w:rPr>
          <w:rFonts w:hint="eastAsia" w:ascii="宋体" w:hAnsi="宋体"/>
          <w:sz w:val="24"/>
          <w:szCs w:val="24"/>
        </w:rPr>
        <w:t>委托，采用单一来源方式</w:t>
      </w:r>
      <w:r>
        <w:rPr>
          <w:rFonts w:hint="eastAsia" w:ascii="宋体" w:hAnsi="宋体"/>
          <w:sz w:val="24"/>
          <w:szCs w:val="24"/>
          <w:lang w:eastAsia="zh-CN"/>
        </w:rPr>
        <w:t>采购《山那边》主创团队服务和人才培养服务项目</w:t>
      </w:r>
      <w:r>
        <w:rPr>
          <w:rFonts w:hint="eastAsia" w:ascii="宋体" w:hAnsi="宋体"/>
          <w:color w:val="000000"/>
          <w:sz w:val="24"/>
          <w:szCs w:val="24"/>
        </w:rPr>
        <w:t>。欢迎符合资格条件的供应商前来报名参加。</w:t>
      </w:r>
    </w:p>
    <w:p>
      <w:pPr>
        <w:pStyle w:val="67"/>
        <w:spacing w:line="360" w:lineRule="auto"/>
        <w:ind w:firstLine="482"/>
        <w:rPr>
          <w:rFonts w:ascii="宋体" w:hAnsi="宋体"/>
          <w:b/>
          <w:color w:val="000000"/>
          <w:sz w:val="24"/>
          <w:szCs w:val="24"/>
        </w:rPr>
      </w:pPr>
      <w:r>
        <w:rPr>
          <w:rFonts w:hint="eastAsia" w:ascii="宋体" w:hAnsi="宋体"/>
          <w:b/>
          <w:color w:val="000000"/>
          <w:sz w:val="24"/>
          <w:szCs w:val="24"/>
        </w:rPr>
        <w:t>一.项目概述</w:t>
      </w:r>
    </w:p>
    <w:p>
      <w:pPr>
        <w:pStyle w:val="67"/>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hint="default" w:ascii="宋体" w:hAnsi="宋体" w:eastAsia="宋体"/>
          <w:color w:val="0000FF"/>
          <w:sz w:val="24"/>
          <w:szCs w:val="24"/>
          <w:lang w:val="en-US" w:eastAsia="zh-CN"/>
        </w:rPr>
      </w:pPr>
      <w:r>
        <w:rPr>
          <w:rFonts w:hint="eastAsia" w:ascii="宋体" w:hAnsi="宋体"/>
          <w:sz w:val="24"/>
          <w:szCs w:val="24"/>
        </w:rPr>
        <w:t>项目名称：</w:t>
      </w:r>
      <w:r>
        <w:rPr>
          <w:rFonts w:hint="eastAsia" w:ascii="宋体" w:hAnsi="宋体"/>
          <w:sz w:val="24"/>
          <w:szCs w:val="24"/>
          <w:lang w:eastAsia="zh-CN"/>
        </w:rPr>
        <w:t>准格尔旗文化和旅游局采购《山那边》主创团队服务和人才培养服务项目</w:t>
      </w:r>
      <w:r>
        <w:rPr>
          <w:rFonts w:hint="eastAsia" w:ascii="宋体" w:hAnsi="宋体"/>
          <w:sz w:val="24"/>
          <w:szCs w:val="24"/>
        </w:rPr>
        <w:t>项目编号：</w:t>
      </w:r>
      <w:r>
        <w:rPr>
          <w:rFonts w:hint="eastAsia" w:ascii="宋体" w:hAnsi="宋体"/>
          <w:color w:val="0000FF"/>
          <w:sz w:val="24"/>
          <w:szCs w:val="24"/>
          <w:lang w:eastAsia="zh-CN"/>
        </w:rPr>
        <w:t>CG2019HDY1</w:t>
      </w:r>
      <w:r>
        <w:rPr>
          <w:rFonts w:hint="eastAsia" w:ascii="宋体" w:hAnsi="宋体"/>
          <w:color w:val="0000FF"/>
          <w:sz w:val="24"/>
          <w:szCs w:val="24"/>
          <w:lang w:val="en-US" w:eastAsia="zh-CN"/>
        </w:rPr>
        <w:t>287</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43"/>
        <w:tblW w:w="8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3467"/>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服务名称</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lang w:eastAsia="zh-CN"/>
              </w:rPr>
              <w:t>《山那边》主创团队服务和人才培养服务</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详见单一来源文件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1990000</w:t>
            </w:r>
          </w:p>
        </w:tc>
      </w:tr>
    </w:tbl>
    <w:p>
      <w:pPr>
        <w:pStyle w:val="67"/>
        <w:spacing w:line="360" w:lineRule="auto"/>
        <w:ind w:firstLine="482"/>
        <w:rPr>
          <w:rFonts w:ascii="宋体" w:hAnsi="宋体"/>
          <w:b/>
          <w:sz w:val="24"/>
          <w:szCs w:val="24"/>
        </w:rPr>
      </w:pPr>
      <w:r>
        <w:rPr>
          <w:rFonts w:hint="eastAsia" w:ascii="宋体" w:hAnsi="宋体"/>
          <w:b/>
          <w:sz w:val="24"/>
          <w:szCs w:val="24"/>
        </w:rPr>
        <w:t>二.供应商的资格要求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1.供应商应符合《中华人民共和国政府采购法》第二十二条规定的条件；</w:t>
      </w:r>
    </w:p>
    <w:p>
      <w:pPr>
        <w:spacing w:line="360" w:lineRule="auto"/>
        <w:ind w:left="560" w:leftChars="200"/>
        <w:rPr>
          <w:rFonts w:hint="eastAsia" w:ascii="宋体" w:hAnsi="宋体"/>
          <w:sz w:val="24"/>
          <w:szCs w:val="24"/>
          <w:lang w:val="en-US" w:eastAsia="zh-CN"/>
        </w:rPr>
      </w:pPr>
      <w:r>
        <w:rPr>
          <w:rFonts w:hint="eastAsia" w:ascii="宋体" w:hAnsi="宋体"/>
          <w:sz w:val="24"/>
          <w:szCs w:val="24"/>
          <w:lang w:val="en-US" w:eastAsia="zh-CN"/>
        </w:rPr>
        <w:t>2.单一来源供应商名称：内蒙古民族艺术剧院</w:t>
      </w:r>
    </w:p>
    <w:p>
      <w:pPr>
        <w:spacing w:line="360" w:lineRule="auto"/>
        <w:ind w:left="560" w:leftChars="200"/>
        <w:rPr>
          <w:rFonts w:ascii="宋体" w:hAnsi="宋体"/>
          <w:b/>
          <w:color w:val="000000"/>
          <w:sz w:val="24"/>
          <w:szCs w:val="24"/>
        </w:rPr>
      </w:pPr>
      <w:r>
        <w:rPr>
          <w:rFonts w:hint="eastAsia" w:ascii="宋体" w:hAnsi="宋体"/>
          <w:b/>
          <w:color w:val="000000"/>
          <w:sz w:val="24"/>
          <w:szCs w:val="24"/>
        </w:rPr>
        <w:t>三.获取单一来源文件的时间、地点、方式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符合上述条件的供应商可于</w:t>
      </w:r>
      <w:r>
        <w:rPr>
          <w:rFonts w:hint="eastAsia" w:ascii="宋体" w:hAnsi="宋体"/>
          <w:sz w:val="24"/>
          <w:szCs w:val="24"/>
          <w:lang w:val="en-US" w:eastAsia="zh-CN"/>
        </w:rPr>
        <w:t>2019</w:t>
      </w:r>
      <w:r>
        <w:rPr>
          <w:rFonts w:hint="eastAsia" w:ascii="宋体" w:hAnsi="宋体"/>
          <w:sz w:val="24"/>
          <w:szCs w:val="24"/>
        </w:rPr>
        <w:t>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14</w:t>
      </w:r>
      <w:r>
        <w:rPr>
          <w:rFonts w:hint="eastAsia" w:ascii="宋体" w:hAnsi="宋体"/>
          <w:sz w:val="24"/>
          <w:szCs w:val="24"/>
        </w:rPr>
        <w:t>日起登录内蒙古自治区政府采购网、内蒙古自治区公共资源交易网、鄂尔多斯市政府采购网或鄂尔多斯市公共资源交易网站获取单一来源文件。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1.内蒙古自治区政府采购网（http://www.nmgp.gov.cn）。登录网站页面，在“盟市旗县采购公告”中查询采购信息，点击信息公告页面下方的“相关附件”即可浏览、下载单一来源文件。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w:t>
      </w:r>
      <w:r>
        <w:rPr>
          <w:rFonts w:hint="eastAsia" w:ascii="宋体" w:hAnsi="宋体"/>
          <w:sz w:val="24"/>
          <w:szCs w:val="24"/>
          <w:lang w:eastAsia="zh-CN"/>
        </w:rPr>
        <w:t>登录</w:t>
      </w:r>
      <w:r>
        <w:rPr>
          <w:rFonts w:hint="eastAsia" w:ascii="宋体" w:hAnsi="宋体"/>
          <w:sz w:val="24"/>
          <w:szCs w:val="24"/>
        </w:rPr>
        <w:t>网站页面，点击“政府采购公告”，查询采购信息，点击信息公告页面中“下载单一来源文件”可浏览、下载单一来源文件。</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4.鄂尔多斯市公共资源交易网（http://www.ordosggzyjy.com）。</w:t>
      </w:r>
      <w:r>
        <w:rPr>
          <w:rFonts w:hint="eastAsia" w:ascii="宋体" w:hAnsi="宋体"/>
          <w:sz w:val="24"/>
          <w:szCs w:val="24"/>
          <w:lang w:eastAsia="zh-CN"/>
        </w:rPr>
        <w:t>登录</w:t>
      </w:r>
      <w:r>
        <w:rPr>
          <w:rFonts w:hint="eastAsia" w:ascii="宋体" w:hAnsi="宋体"/>
          <w:sz w:val="24"/>
          <w:szCs w:val="24"/>
        </w:rPr>
        <w:t>网站页面，点击“政府采购”中的“信息公告”栏，查询采购信息，点击信息公告页面左下角“附件”即可浏览、下载单一来源文件。</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5.准格尔旗公共资源交易</w:t>
      </w:r>
      <w:r>
        <w:rPr>
          <w:rFonts w:hint="eastAsia" w:ascii="宋体" w:hAnsi="宋体"/>
          <w:sz w:val="24"/>
          <w:szCs w:val="24"/>
          <w:lang w:eastAsia="zh-CN"/>
        </w:rPr>
        <w:t>网</w:t>
      </w:r>
      <w:r>
        <w:rPr>
          <w:rFonts w:hint="eastAsia" w:ascii="宋体" w:hAnsi="宋体"/>
          <w:sz w:val="24"/>
          <w:szCs w:val="24"/>
        </w:rPr>
        <w:t>（http://www.ordosggzyjy.org.cn/TPFront_zgeq）</w:t>
      </w:r>
      <w:r>
        <w:rPr>
          <w:rFonts w:hint="eastAsia" w:ascii="宋体" w:hAnsi="宋体"/>
          <w:sz w:val="24"/>
          <w:szCs w:val="24"/>
          <w:lang w:eastAsia="zh-CN"/>
        </w:rPr>
        <w:t>登录</w:t>
      </w:r>
      <w:r>
        <w:rPr>
          <w:rFonts w:hint="eastAsia" w:ascii="宋体" w:hAnsi="宋体"/>
          <w:sz w:val="24"/>
          <w:szCs w:val="24"/>
        </w:rPr>
        <w:t>网站页面，点击“政府采购”中的“信息公告”栏，查询采购信息，点击信息公告页面左下角“附件”即可浏览、下载招标文件。</w:t>
      </w:r>
    </w:p>
    <w:p>
      <w:pPr>
        <w:spacing w:line="360" w:lineRule="auto"/>
        <w:ind w:firstLine="482" w:firstLineChars="200"/>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ind w:firstLine="482" w:firstLineChars="200"/>
        <w:rPr>
          <w:rFonts w:ascii="宋体" w:hAnsi="宋体"/>
          <w:b/>
          <w:sz w:val="24"/>
          <w:szCs w:val="24"/>
        </w:rPr>
      </w:pPr>
      <w:r>
        <w:rPr>
          <w:rFonts w:hint="eastAsia" w:ascii="宋体" w:hAnsi="宋体"/>
          <w:b/>
          <w:sz w:val="24"/>
          <w:szCs w:val="24"/>
        </w:rPr>
        <w:t>五.递交投标（响应）文件截止时间、商定时间及地点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w:t>
      </w:r>
      <w:r>
        <w:rPr>
          <w:rFonts w:hint="eastAsia" w:ascii="宋体" w:hAnsi="宋体"/>
          <w:sz w:val="24"/>
          <w:szCs w:val="24"/>
          <w:lang w:val="en-US" w:eastAsia="zh-CN"/>
        </w:rPr>
        <w:t>2019</w:t>
      </w:r>
      <w:r>
        <w:rPr>
          <w:rFonts w:hint="eastAsia" w:ascii="宋体" w:hAnsi="宋体"/>
          <w:sz w:val="24"/>
          <w:szCs w:val="24"/>
        </w:rPr>
        <w:t>年</w:t>
      </w:r>
      <w:r>
        <w:rPr>
          <w:rFonts w:hint="eastAsia" w:ascii="宋体" w:hAnsi="宋体"/>
          <w:sz w:val="24"/>
          <w:szCs w:val="24"/>
          <w:lang w:val="en-US" w:eastAsia="zh-CN"/>
        </w:rPr>
        <w:t xml:space="preserve"> 8</w:t>
      </w:r>
      <w:r>
        <w:rPr>
          <w:rFonts w:hint="eastAsia" w:ascii="宋体" w:hAnsi="宋体"/>
          <w:sz w:val="24"/>
          <w:szCs w:val="24"/>
        </w:rPr>
        <w:t>月</w:t>
      </w:r>
      <w:r>
        <w:rPr>
          <w:rFonts w:hint="eastAsia" w:ascii="宋体" w:hAnsi="宋体"/>
          <w:sz w:val="24"/>
          <w:szCs w:val="24"/>
          <w:lang w:val="en-US" w:eastAsia="zh-CN"/>
        </w:rPr>
        <w:t>27</w:t>
      </w:r>
      <w:r>
        <w:rPr>
          <w:rFonts w:hint="eastAsia" w:ascii="宋体" w:hAnsi="宋体"/>
          <w:sz w:val="24"/>
          <w:szCs w:val="24"/>
        </w:rPr>
        <w:t>日</w:t>
      </w:r>
      <w:r>
        <w:rPr>
          <w:rFonts w:hint="eastAsia" w:ascii="宋体" w:hAnsi="宋体"/>
          <w:sz w:val="24"/>
          <w:szCs w:val="24"/>
          <w:lang w:val="en-US" w:eastAsia="zh-CN"/>
        </w:rPr>
        <w:t>10</w:t>
      </w:r>
      <w:r>
        <w:rPr>
          <w:rFonts w:hint="eastAsia" w:ascii="宋体" w:hAnsi="宋体"/>
          <w:sz w:val="24"/>
          <w:szCs w:val="24"/>
        </w:rPr>
        <w:t>时</w:t>
      </w:r>
      <w:r>
        <w:rPr>
          <w:rFonts w:hint="eastAsia" w:ascii="宋体" w:hAnsi="宋体"/>
          <w:sz w:val="24"/>
          <w:szCs w:val="24"/>
          <w:lang w:val="en-US" w:eastAsia="zh-CN"/>
        </w:rPr>
        <w:t>00</w:t>
      </w:r>
      <w:r>
        <w:rPr>
          <w:rFonts w:hint="eastAsia" w:ascii="宋体" w:hAnsi="宋体"/>
          <w:sz w:val="24"/>
          <w:szCs w:val="24"/>
        </w:rPr>
        <w:t>分</w:t>
      </w:r>
    </w:p>
    <w:p>
      <w:pPr>
        <w:spacing w:line="360" w:lineRule="auto"/>
        <w:ind w:firstLine="480" w:firstLineChars="200"/>
        <w:rPr>
          <w:rFonts w:ascii="宋体" w:hAnsi="宋体"/>
          <w:sz w:val="24"/>
          <w:szCs w:val="24"/>
        </w:rPr>
      </w:pPr>
      <w:r>
        <w:rPr>
          <w:rFonts w:hint="eastAsia" w:ascii="宋体" w:hAnsi="宋体"/>
          <w:sz w:val="24"/>
          <w:szCs w:val="24"/>
        </w:rPr>
        <w:t>投标地点：鄂尔多斯市公共资源交易中心</w:t>
      </w:r>
      <w:r>
        <w:rPr>
          <w:rFonts w:hint="eastAsia" w:ascii="宋体" w:hAnsi="宋体"/>
          <w:sz w:val="24"/>
          <w:szCs w:val="24"/>
          <w:lang w:eastAsia="zh-CN"/>
        </w:rPr>
        <w:t>二</w:t>
      </w:r>
      <w:r>
        <w:rPr>
          <w:rFonts w:hint="eastAsia" w:ascii="宋体" w:hAnsi="宋体"/>
          <w:sz w:val="24"/>
          <w:szCs w:val="24"/>
        </w:rPr>
        <w:t>楼</w:t>
      </w:r>
      <w:r>
        <w:rPr>
          <w:rFonts w:hint="eastAsia" w:ascii="宋体" w:hAnsi="宋体"/>
          <w:sz w:val="24"/>
          <w:szCs w:val="24"/>
          <w:lang w:eastAsia="zh-CN"/>
        </w:rPr>
        <w:t>开标</w:t>
      </w:r>
      <w:r>
        <w:rPr>
          <w:rFonts w:hint="eastAsia" w:ascii="宋体" w:hAnsi="宋体"/>
          <w:sz w:val="24"/>
          <w:szCs w:val="24"/>
        </w:rPr>
        <w:t>室（鄂尔多斯市</w:t>
      </w:r>
      <w:r>
        <w:rPr>
          <w:rFonts w:hint="eastAsia" w:ascii="宋体" w:hAnsi="宋体"/>
          <w:sz w:val="24"/>
          <w:szCs w:val="24"/>
          <w:lang w:eastAsia="zh-CN"/>
        </w:rPr>
        <w:t>准格尔旗大路新区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商定时间：</w:t>
      </w:r>
      <w:r>
        <w:rPr>
          <w:rFonts w:hint="eastAsia" w:ascii="宋体" w:hAnsi="宋体"/>
          <w:sz w:val="24"/>
          <w:szCs w:val="24"/>
          <w:lang w:val="en-US" w:eastAsia="zh-CN"/>
        </w:rPr>
        <w:t>2019</w:t>
      </w:r>
      <w:r>
        <w:rPr>
          <w:rFonts w:hint="eastAsia" w:ascii="宋体" w:hAnsi="宋体"/>
          <w:sz w:val="24"/>
          <w:szCs w:val="24"/>
        </w:rPr>
        <w:t>年</w:t>
      </w:r>
      <w:r>
        <w:rPr>
          <w:rFonts w:hint="eastAsia" w:ascii="宋体" w:hAnsi="宋体"/>
          <w:sz w:val="24"/>
          <w:szCs w:val="24"/>
          <w:lang w:val="en-US" w:eastAsia="zh-CN"/>
        </w:rPr>
        <w:t xml:space="preserve"> 8</w:t>
      </w:r>
      <w:r>
        <w:rPr>
          <w:rFonts w:hint="eastAsia" w:ascii="宋体" w:hAnsi="宋体"/>
          <w:sz w:val="24"/>
          <w:szCs w:val="24"/>
        </w:rPr>
        <w:t>月</w:t>
      </w:r>
      <w:r>
        <w:rPr>
          <w:rFonts w:hint="eastAsia" w:ascii="宋体" w:hAnsi="宋体"/>
          <w:sz w:val="24"/>
          <w:szCs w:val="24"/>
          <w:lang w:val="en-US" w:eastAsia="zh-CN"/>
        </w:rPr>
        <w:t>27</w:t>
      </w:r>
      <w:r>
        <w:rPr>
          <w:rFonts w:hint="eastAsia" w:ascii="宋体" w:hAnsi="宋体"/>
          <w:sz w:val="24"/>
          <w:szCs w:val="24"/>
        </w:rPr>
        <w:t>日</w:t>
      </w:r>
      <w:r>
        <w:rPr>
          <w:rFonts w:hint="eastAsia" w:ascii="宋体" w:hAnsi="宋体"/>
          <w:sz w:val="24"/>
          <w:szCs w:val="24"/>
          <w:lang w:val="en-US" w:eastAsia="zh-CN"/>
        </w:rPr>
        <w:t>10</w:t>
      </w:r>
      <w:r>
        <w:rPr>
          <w:rFonts w:hint="eastAsia" w:ascii="宋体" w:hAnsi="宋体"/>
          <w:sz w:val="24"/>
          <w:szCs w:val="24"/>
        </w:rPr>
        <w:t>时</w:t>
      </w:r>
      <w:r>
        <w:rPr>
          <w:rFonts w:hint="eastAsia" w:ascii="宋体" w:hAnsi="宋体"/>
          <w:sz w:val="24"/>
          <w:szCs w:val="24"/>
          <w:lang w:val="en-US" w:eastAsia="zh-CN"/>
        </w:rPr>
        <w:t>00</w:t>
      </w:r>
      <w:r>
        <w:rPr>
          <w:rFonts w:hint="eastAsia" w:ascii="宋体" w:hAnsi="宋体"/>
          <w:sz w:val="24"/>
          <w:szCs w:val="24"/>
        </w:rPr>
        <w:t>分</w:t>
      </w:r>
    </w:p>
    <w:p>
      <w:pPr>
        <w:spacing w:line="360" w:lineRule="auto"/>
        <w:ind w:firstLine="480" w:firstLineChars="200"/>
        <w:rPr>
          <w:rFonts w:ascii="宋体" w:hAnsi="宋体"/>
          <w:sz w:val="24"/>
          <w:szCs w:val="24"/>
        </w:rPr>
      </w:pPr>
      <w:r>
        <w:rPr>
          <w:rFonts w:hint="eastAsia" w:ascii="宋体" w:hAnsi="宋体"/>
          <w:sz w:val="24"/>
          <w:szCs w:val="24"/>
        </w:rPr>
        <w:t>商定地点：鄂尔多斯市公共资源交易中心</w:t>
      </w:r>
      <w:r>
        <w:rPr>
          <w:rFonts w:hint="eastAsia" w:ascii="宋体" w:hAnsi="宋体"/>
          <w:sz w:val="24"/>
          <w:szCs w:val="24"/>
          <w:lang w:eastAsia="zh-CN"/>
        </w:rPr>
        <w:t>二</w:t>
      </w:r>
      <w:r>
        <w:rPr>
          <w:rFonts w:hint="eastAsia" w:ascii="宋体" w:hAnsi="宋体"/>
          <w:sz w:val="24"/>
          <w:szCs w:val="24"/>
        </w:rPr>
        <w:t>楼</w:t>
      </w:r>
      <w:r>
        <w:rPr>
          <w:rFonts w:hint="eastAsia" w:ascii="宋体" w:hAnsi="宋体"/>
          <w:sz w:val="24"/>
          <w:szCs w:val="24"/>
          <w:u w:val="none"/>
          <w:lang w:eastAsia="zh-CN"/>
        </w:rPr>
        <w:t>开标</w:t>
      </w:r>
      <w:r>
        <w:rPr>
          <w:rFonts w:hint="eastAsia" w:ascii="宋体" w:hAnsi="宋体"/>
          <w:sz w:val="24"/>
          <w:szCs w:val="24"/>
        </w:rPr>
        <w:t>室（鄂尔多斯市</w:t>
      </w:r>
      <w:r>
        <w:rPr>
          <w:rFonts w:hint="eastAsia" w:ascii="宋体" w:hAnsi="宋体"/>
          <w:sz w:val="24"/>
          <w:szCs w:val="24"/>
          <w:lang w:eastAsia="zh-CN"/>
        </w:rPr>
        <w:t>准格尔旗大路新区</w:t>
      </w:r>
      <w:r>
        <w:rPr>
          <w:rFonts w:hint="eastAsia" w:ascii="宋体" w:hAnsi="宋体"/>
          <w:sz w:val="24"/>
          <w:szCs w:val="24"/>
        </w:rPr>
        <w:t>）</w:t>
      </w:r>
    </w:p>
    <w:p>
      <w:pPr>
        <w:spacing w:line="360" w:lineRule="auto"/>
        <w:ind w:firstLine="482" w:firstLineChars="200"/>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采购代理机构名称：</w:t>
      </w:r>
      <w:r>
        <w:rPr>
          <w:rFonts w:hint="eastAsia" w:ascii="宋体" w:hAnsi="宋体"/>
          <w:sz w:val="24"/>
          <w:szCs w:val="24"/>
          <w:lang w:eastAsia="zh-CN"/>
        </w:rPr>
        <w:t>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w:t>
      </w:r>
      <w:r>
        <w:rPr>
          <w:rFonts w:hint="eastAsia" w:ascii="宋体" w:hAnsi="宋体"/>
          <w:color w:val="000000"/>
          <w:sz w:val="24"/>
          <w:szCs w:val="24"/>
          <w:lang w:eastAsia="zh-CN"/>
        </w:rPr>
        <w:t>准格尔旗大路新区</w:t>
      </w:r>
    </w:p>
    <w:p>
      <w:pPr>
        <w:spacing w:line="360" w:lineRule="auto"/>
        <w:ind w:firstLine="480" w:firstLineChars="200"/>
        <w:rPr>
          <w:rFonts w:ascii="宋体" w:hAnsi="宋体"/>
          <w:sz w:val="24"/>
          <w:szCs w:val="24"/>
        </w:rPr>
      </w:pPr>
      <w:r>
        <w:rPr>
          <w:rFonts w:hint="eastAsia" w:ascii="宋体" w:hAnsi="宋体"/>
          <w:sz w:val="24"/>
          <w:szCs w:val="24"/>
        </w:rPr>
        <w:t>邮政编码：01</w:t>
      </w:r>
      <w:r>
        <w:rPr>
          <w:rFonts w:hint="eastAsia" w:ascii="宋体" w:hAnsi="宋体"/>
          <w:sz w:val="24"/>
          <w:szCs w:val="24"/>
          <w:lang w:val="en-US" w:eastAsia="zh-CN"/>
        </w:rPr>
        <w:t>03</w:t>
      </w:r>
      <w:r>
        <w:rPr>
          <w:rFonts w:hint="eastAsia" w:ascii="宋体" w:hAnsi="宋体"/>
          <w:sz w:val="24"/>
          <w:szCs w:val="24"/>
        </w:rPr>
        <w:t>00</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0477-3864232</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采购单位名称</w:t>
      </w:r>
      <w:r>
        <w:rPr>
          <w:rFonts w:hint="eastAsia" w:ascii="宋体" w:hAnsi="宋体"/>
          <w:sz w:val="24"/>
          <w:szCs w:val="24"/>
        </w:rPr>
        <w:t>：</w:t>
      </w:r>
      <w:r>
        <w:rPr>
          <w:rFonts w:hint="eastAsia" w:ascii="宋体" w:hAnsi="宋体"/>
          <w:sz w:val="24"/>
          <w:szCs w:val="24"/>
          <w:lang w:eastAsia="zh-CN"/>
        </w:rPr>
        <w:t xml:space="preserve">准格尔旗文化和旅游局 </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地</w:t>
      </w:r>
      <w:r>
        <w:rPr>
          <w:rFonts w:hint="eastAsia" w:ascii="宋体" w:hAnsi="宋体"/>
          <w:sz w:val="24"/>
          <w:szCs w:val="24"/>
          <w:lang w:val="en-US" w:eastAsia="zh-CN"/>
        </w:rPr>
        <w:t xml:space="preserve">    </w:t>
      </w:r>
      <w:r>
        <w:rPr>
          <w:rFonts w:hint="eastAsia" w:ascii="宋体" w:hAnsi="宋体"/>
          <w:sz w:val="24"/>
          <w:szCs w:val="24"/>
        </w:rPr>
        <w:t>址：</w:t>
      </w:r>
      <w:r>
        <w:rPr>
          <w:rFonts w:hint="eastAsia" w:ascii="宋体" w:hAnsi="宋体"/>
          <w:sz w:val="24"/>
          <w:szCs w:val="24"/>
          <w:lang w:eastAsia="zh-CN"/>
        </w:rPr>
        <w:t>准格尔旗</w:t>
      </w:r>
      <w:r>
        <w:rPr>
          <w:rFonts w:hint="eastAsia" w:ascii="宋体" w:hAnsi="宋体"/>
          <w:sz w:val="24"/>
          <w:szCs w:val="24"/>
          <w:lang w:val="en-US" w:eastAsia="zh-CN"/>
        </w:rPr>
        <w:t>大路新区</w:t>
      </w:r>
    </w:p>
    <w:p>
      <w:pPr>
        <w:spacing w:line="360" w:lineRule="auto"/>
        <w:ind w:firstLine="480" w:firstLineChars="200"/>
        <w:rPr>
          <w:rFonts w:ascii="宋体" w:hAnsi="宋体"/>
          <w:sz w:val="24"/>
          <w:szCs w:val="24"/>
        </w:rPr>
      </w:pPr>
      <w:r>
        <w:rPr>
          <w:rFonts w:hint="eastAsia" w:ascii="宋体" w:hAnsi="宋体"/>
          <w:sz w:val="24"/>
          <w:szCs w:val="24"/>
        </w:rPr>
        <w:t>邮政编码：01</w:t>
      </w:r>
      <w:r>
        <w:rPr>
          <w:rFonts w:hint="eastAsia" w:ascii="宋体" w:hAnsi="宋体"/>
          <w:sz w:val="24"/>
          <w:szCs w:val="24"/>
          <w:lang w:val="en-US" w:eastAsia="zh-CN"/>
        </w:rPr>
        <w:t>03</w:t>
      </w:r>
      <w:r>
        <w:rPr>
          <w:rFonts w:hint="eastAsia" w:ascii="宋体" w:hAnsi="宋体"/>
          <w:sz w:val="24"/>
          <w:szCs w:val="24"/>
        </w:rPr>
        <w:t>00</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rPr>
        <w:t>联系人：</w:t>
      </w:r>
      <w:r>
        <w:rPr>
          <w:rFonts w:hint="eastAsia" w:ascii="宋体" w:hAnsi="宋体"/>
          <w:sz w:val="24"/>
          <w:szCs w:val="24"/>
          <w:lang w:val="en-US" w:eastAsia="zh-CN"/>
        </w:rPr>
        <w:t xml:space="preserve">陈世文     </w:t>
      </w:r>
    </w:p>
    <w:p>
      <w:pPr>
        <w:spacing w:line="360" w:lineRule="auto"/>
        <w:ind w:firstLine="480" w:firstLineChars="200"/>
        <w:rPr>
          <w:rFonts w:hint="default" w:ascii="宋体" w:hAnsi="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13314771222</w:t>
      </w:r>
    </w:p>
    <w:p>
      <w:pPr>
        <w:spacing w:line="360" w:lineRule="auto"/>
        <w:rPr>
          <w:rFonts w:ascii="宋体" w:hAnsi="宋体"/>
          <w:sz w:val="24"/>
          <w:szCs w:val="24"/>
        </w:rPr>
      </w:pPr>
    </w:p>
    <w:p>
      <w:pPr>
        <w:spacing w:line="360" w:lineRule="auto"/>
        <w:ind w:firstLine="600" w:firstLineChars="250"/>
        <w:rPr>
          <w:rFonts w:hint="eastAsia" w:ascii="宋体" w:hAnsi="宋体"/>
          <w:sz w:val="24"/>
          <w:szCs w:val="24"/>
        </w:rPr>
      </w:pPr>
      <w:r>
        <w:rPr>
          <w:rFonts w:hint="eastAsia" w:ascii="宋体" w:hAnsi="宋体"/>
          <w:sz w:val="24"/>
          <w:szCs w:val="24"/>
        </w:rPr>
        <w:t xml:space="preserve">                              </w:t>
      </w:r>
    </w:p>
    <w:p>
      <w:pPr>
        <w:spacing w:line="360" w:lineRule="auto"/>
        <w:ind w:firstLine="600" w:firstLineChars="250"/>
        <w:rPr>
          <w:rFonts w:hint="eastAsia" w:ascii="宋体" w:hAnsi="宋体"/>
          <w:sz w:val="24"/>
          <w:szCs w:val="24"/>
        </w:rPr>
      </w:pPr>
    </w:p>
    <w:p>
      <w:pPr>
        <w:spacing w:line="360" w:lineRule="auto"/>
        <w:ind w:firstLine="600" w:firstLineChars="250"/>
        <w:rPr>
          <w:rFonts w:hint="eastAsia" w:ascii="宋体" w:hAnsi="宋体"/>
          <w:sz w:val="24"/>
          <w:szCs w:val="24"/>
        </w:rPr>
      </w:pPr>
    </w:p>
    <w:p>
      <w:pPr>
        <w:spacing w:line="360" w:lineRule="auto"/>
        <w:ind w:firstLine="600" w:firstLineChars="250"/>
        <w:rPr>
          <w:rFonts w:hint="eastAsia" w:ascii="宋体" w:hAnsi="宋体"/>
          <w:sz w:val="24"/>
          <w:szCs w:val="24"/>
        </w:rPr>
      </w:pPr>
    </w:p>
    <w:p>
      <w:pPr>
        <w:spacing w:line="360" w:lineRule="auto"/>
        <w:ind w:firstLine="3360" w:firstLineChars="1400"/>
        <w:rPr>
          <w:rFonts w:hint="eastAsia" w:ascii="宋体" w:hAnsi="宋体" w:eastAsia="宋体"/>
          <w:sz w:val="24"/>
          <w:szCs w:val="24"/>
          <w:lang w:eastAsia="zh-CN"/>
        </w:rPr>
      </w:pPr>
      <w:r>
        <w:rPr>
          <w:rFonts w:hint="eastAsia" w:ascii="宋体" w:hAnsi="宋体"/>
          <w:sz w:val="24"/>
          <w:szCs w:val="24"/>
          <w:lang w:eastAsia="zh-CN"/>
        </w:rPr>
        <w:t>鄂尔多斯市准格尔旗公共资源交易中心</w:t>
      </w:r>
    </w:p>
    <w:p>
      <w:pPr>
        <w:tabs>
          <w:tab w:val="left" w:pos="3025"/>
          <w:tab w:val="center" w:pos="4595"/>
        </w:tabs>
        <w:spacing w:line="360" w:lineRule="auto"/>
        <w:ind w:firstLine="4560" w:firstLineChars="1900"/>
        <w:rPr>
          <w:rFonts w:ascii="宋体" w:hAnsi="宋体"/>
          <w:sz w:val="24"/>
          <w:szCs w:val="24"/>
        </w:rPr>
      </w:pPr>
      <w:r>
        <w:rPr>
          <w:rFonts w:hint="eastAsia" w:ascii="宋体" w:hAnsi="宋体"/>
          <w:sz w:val="24"/>
          <w:szCs w:val="24"/>
          <w:lang w:val="en-US" w:eastAsia="zh-CN"/>
        </w:rPr>
        <w:t>2019</w:t>
      </w:r>
      <w:r>
        <w:rPr>
          <w:rFonts w:hint="eastAsia" w:ascii="宋体" w:hAnsi="宋体"/>
          <w:sz w:val="24"/>
          <w:szCs w:val="24"/>
        </w:rPr>
        <w:t>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14</w:t>
      </w:r>
      <w:r>
        <w:rPr>
          <w:rFonts w:hint="eastAsia" w:ascii="宋体" w:hAnsi="宋体"/>
          <w:sz w:val="24"/>
          <w:szCs w:val="24"/>
        </w:rPr>
        <w:t>日</w:t>
      </w:r>
      <w:bookmarkEnd w:id="40"/>
      <w:r>
        <w:rPr>
          <w:rFonts w:ascii="宋体" w:hAnsi="宋体"/>
          <w:sz w:val="24"/>
          <w:szCs w:val="24"/>
        </w:rPr>
        <w:br w:type="page"/>
      </w:r>
    </w:p>
    <w:p>
      <w:pPr>
        <w:pStyle w:val="40"/>
        <w:spacing w:line="360" w:lineRule="auto"/>
        <w:rPr>
          <w:rFonts w:ascii="宋体" w:hAnsi="宋体" w:eastAsia="宋体"/>
          <w:color w:val="000000"/>
          <w:sz w:val="24"/>
          <w:szCs w:val="24"/>
        </w:rPr>
      </w:pPr>
      <w:bookmarkStart w:id="5" w:name="_Toc497726799"/>
      <w:r>
        <w:rPr>
          <w:rFonts w:hint="eastAsia" w:ascii="宋体" w:hAnsi="宋体" w:eastAsia="宋体"/>
          <w:color w:val="000000"/>
          <w:sz w:val="24"/>
          <w:szCs w:val="24"/>
        </w:rPr>
        <w:t>第二章 供应商须知</w:t>
      </w:r>
      <w:bookmarkEnd w:id="5"/>
    </w:p>
    <w:p>
      <w:pPr>
        <w:spacing w:line="360" w:lineRule="auto"/>
        <w:rPr>
          <w:rFonts w:ascii="宋体" w:hAnsi="宋体"/>
          <w:b/>
          <w:sz w:val="24"/>
          <w:szCs w:val="24"/>
        </w:rPr>
      </w:pPr>
      <w:r>
        <w:rPr>
          <w:rFonts w:hint="eastAsia" w:ascii="宋体" w:hAnsi="宋体"/>
          <w:b/>
          <w:sz w:val="24"/>
          <w:szCs w:val="24"/>
        </w:rPr>
        <w:t>一.前附表</w:t>
      </w:r>
    </w:p>
    <w:tbl>
      <w:tblPr>
        <w:tblStyle w:val="43"/>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268"/>
        <w:gridCol w:w="65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1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olor w:val="000000"/>
                <w:sz w:val="24"/>
                <w:szCs w:val="24"/>
              </w:rPr>
            </w:pPr>
            <w:r>
              <w:rPr>
                <w:rFonts w:hint="eastAsia" w:ascii="宋体" w:hAnsi="宋体"/>
                <w:color w:val="000000"/>
                <w:sz w:val="24"/>
                <w:szCs w:val="24"/>
              </w:rPr>
              <w:t>采购人</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color w:val="000000"/>
                <w:sz w:val="24"/>
                <w:szCs w:val="24"/>
                <w:lang w:eastAsia="zh-CN"/>
              </w:rPr>
            </w:pPr>
            <w:r>
              <w:rPr>
                <w:rFonts w:hint="eastAsia" w:ascii="宋体" w:hAnsi="宋体"/>
                <w:color w:val="000000"/>
                <w:sz w:val="24"/>
                <w:szCs w:val="24"/>
                <w:lang w:eastAsia="zh-CN"/>
              </w:rPr>
              <w:t>准格尔旗文化和旅游局</w:t>
            </w:r>
          </w:p>
          <w:p>
            <w:pPr>
              <w:spacing w:line="360" w:lineRule="auto"/>
              <w:ind w:right="-140" w:rightChars="-50"/>
              <w:rPr>
                <w:rFonts w:hint="default" w:ascii="宋体" w:hAnsi="宋体"/>
                <w:color w:val="000000"/>
                <w:sz w:val="24"/>
                <w:szCs w:val="24"/>
                <w:lang w:val="en-US" w:eastAsia="zh-CN"/>
              </w:rPr>
            </w:pPr>
            <w:r>
              <w:rPr>
                <w:rFonts w:hint="eastAsia" w:ascii="宋体" w:hAnsi="宋体"/>
                <w:color w:val="000000"/>
                <w:sz w:val="24"/>
                <w:szCs w:val="24"/>
              </w:rPr>
              <w:t>联系人：</w:t>
            </w:r>
            <w:r>
              <w:rPr>
                <w:rFonts w:hint="eastAsia" w:ascii="宋体" w:hAnsi="宋体"/>
                <w:sz w:val="24"/>
                <w:szCs w:val="24"/>
                <w:lang w:val="en-US" w:eastAsia="zh-CN"/>
              </w:rPr>
              <w:t>陈世文</w:t>
            </w:r>
            <w:r>
              <w:rPr>
                <w:rFonts w:hint="eastAsia" w:ascii="宋体" w:hAnsi="宋体"/>
                <w:color w:val="000000"/>
                <w:sz w:val="24"/>
                <w:szCs w:val="24"/>
              </w:rPr>
              <w:t xml:space="preserve">       联系电话：</w:t>
            </w:r>
            <w:r>
              <w:rPr>
                <w:rFonts w:hint="eastAsia" w:ascii="宋体" w:hAnsi="宋体"/>
                <w:sz w:val="24"/>
                <w:szCs w:val="24"/>
                <w:lang w:val="en-US" w:eastAsia="zh-CN"/>
              </w:rPr>
              <w:t>13314771222</w:t>
            </w:r>
          </w:p>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rPr>
              <w:t>地址：</w:t>
            </w:r>
            <w:r>
              <w:rPr>
                <w:rFonts w:hint="eastAsia" w:ascii="宋体" w:hAnsi="宋体"/>
                <w:color w:val="000000"/>
                <w:sz w:val="24"/>
                <w:szCs w:val="24"/>
                <w:lang w:eastAsia="zh-CN"/>
              </w:rPr>
              <w:t>准格尔旗</w:t>
            </w:r>
            <w:r>
              <w:rPr>
                <w:rFonts w:hint="eastAsia" w:ascii="宋体" w:hAnsi="宋体"/>
                <w:color w:val="000000"/>
                <w:sz w:val="24"/>
                <w:szCs w:val="24"/>
                <w:lang w:val="en-US" w:eastAsia="zh-CN"/>
              </w:rPr>
              <w:t>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3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lang w:eastAsia="zh-CN"/>
              </w:rPr>
              <w:t>鄂尔多斯市准格尔旗公共资源交易中心</w:t>
            </w:r>
            <w:r>
              <w:rPr>
                <w:rFonts w:hint="eastAsia" w:ascii="宋体" w:hAnsi="宋体"/>
                <w:color w:val="000000"/>
                <w:sz w:val="24"/>
                <w:szCs w:val="24"/>
              </w:rPr>
              <w:t xml:space="preserve"> </w:t>
            </w:r>
          </w:p>
          <w:p>
            <w:pPr>
              <w:spacing w:line="360" w:lineRule="auto"/>
              <w:ind w:right="-140" w:rightChars="-50"/>
              <w:rPr>
                <w:rFonts w:hint="eastAsia" w:ascii="宋体" w:hAnsi="宋体" w:eastAsia="宋体"/>
                <w:color w:val="000000"/>
                <w:sz w:val="24"/>
                <w:szCs w:val="24"/>
                <w:lang w:val="en-US" w:eastAsia="zh-CN"/>
              </w:rPr>
            </w:pPr>
            <w:r>
              <w:rPr>
                <w:rFonts w:hint="eastAsia" w:ascii="宋体" w:hAnsi="宋体"/>
                <w:color w:val="000000"/>
                <w:sz w:val="24"/>
                <w:szCs w:val="24"/>
              </w:rPr>
              <w:t>联系电话：</w:t>
            </w:r>
            <w:r>
              <w:rPr>
                <w:rFonts w:hint="eastAsia" w:ascii="宋体" w:hAnsi="宋体"/>
                <w:color w:val="000000"/>
                <w:sz w:val="24"/>
                <w:szCs w:val="24"/>
                <w:lang w:val="en-US" w:eastAsia="zh-CN"/>
              </w:rPr>
              <w:t>0477-3864232</w:t>
            </w:r>
          </w:p>
          <w:p>
            <w:pPr>
              <w:spacing w:line="360" w:lineRule="auto"/>
              <w:ind w:right="-140" w:rightChars="-50"/>
              <w:rPr>
                <w:rFonts w:ascii="宋体" w:hAnsi="宋体"/>
                <w:color w:val="000000"/>
                <w:sz w:val="24"/>
                <w:szCs w:val="24"/>
              </w:rPr>
            </w:pPr>
            <w:r>
              <w:rPr>
                <w:rFonts w:hint="eastAsia" w:ascii="宋体" w:hAnsi="宋体"/>
                <w:color w:val="000000"/>
                <w:sz w:val="24"/>
                <w:szCs w:val="24"/>
              </w:rPr>
              <w:t>地</w:t>
            </w:r>
            <w:r>
              <w:rPr>
                <w:rFonts w:hint="eastAsia" w:ascii="宋体" w:hAnsi="宋体"/>
                <w:color w:val="000000"/>
                <w:sz w:val="24"/>
                <w:szCs w:val="24"/>
                <w:lang w:val="en-US" w:eastAsia="zh-CN"/>
              </w:rPr>
              <w:t xml:space="preserve">    </w:t>
            </w:r>
            <w:r>
              <w:rPr>
                <w:rFonts w:hint="eastAsia" w:ascii="宋体" w:hAnsi="宋体"/>
                <w:color w:val="000000"/>
                <w:sz w:val="24"/>
                <w:szCs w:val="24"/>
              </w:rPr>
              <w:t>址：</w:t>
            </w:r>
            <w:r>
              <w:rPr>
                <w:rFonts w:hint="eastAsia" w:ascii="宋体" w:hAnsi="宋体"/>
                <w:color w:val="000000"/>
                <w:sz w:val="24"/>
                <w:szCs w:val="24"/>
                <w:lang w:eastAsia="zh-CN"/>
              </w:rPr>
              <w:t>准格尔旗</w:t>
            </w:r>
            <w:r>
              <w:rPr>
                <w:rFonts w:hint="eastAsia" w:ascii="宋体" w:hAnsi="宋体"/>
                <w:color w:val="000000"/>
                <w:sz w:val="24"/>
                <w:szCs w:val="24"/>
                <w:lang w:val="en-US" w:eastAsia="zh-CN"/>
              </w:rPr>
              <w:t>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sz w:val="24"/>
                <w:szCs w:val="24"/>
              </w:rPr>
              <w:t>项目内容及要求</w:t>
            </w:r>
          </w:p>
        </w:tc>
        <w:tc>
          <w:tcPr>
            <w:tcW w:w="6543" w:type="dxa"/>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textAlignment w:val="baseline"/>
              <w:rPr>
                <w:rFonts w:ascii="宋体" w:hAnsi="宋体"/>
                <w:color w:val="000000"/>
                <w:sz w:val="24"/>
                <w:szCs w:val="24"/>
              </w:rPr>
            </w:pPr>
            <w:r>
              <w:rPr>
                <w:rFonts w:hint="eastAsia" w:ascii="宋体" w:hAnsi="宋体"/>
                <w:color w:val="000000"/>
                <w:sz w:val="24"/>
                <w:szCs w:val="24"/>
              </w:rPr>
              <w:t>详见单一来源文件第四章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u w:val="single"/>
                <w:lang w:val="en-US" w:eastAsia="zh-CN"/>
              </w:rPr>
              <w:t>1990000.00</w:t>
            </w:r>
            <w:r>
              <w:rPr>
                <w:rFonts w:hint="eastAsia" w:ascii="宋体" w:hAnsi="宋体"/>
                <w:color w:val="000000"/>
                <w:sz w:val="24"/>
                <w:szCs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国库集中支付、</w:t>
            </w:r>
            <w:r>
              <w:rPr>
                <w:rFonts w:hint="eastAsia" w:ascii="宋体" w:hAnsi="宋体"/>
                <w:color w:val="000000"/>
                <w:sz w:val="24"/>
                <w:szCs w:val="24"/>
                <w:lang w:eastAsia="zh-CN"/>
              </w:rPr>
              <w:t>☑</w:t>
            </w:r>
            <w:r>
              <w:rPr>
                <w:rFonts w:hint="eastAsia" w:ascii="宋体" w:hAnsi="宋体"/>
                <w:color w:val="000000"/>
                <w:sz w:val="24"/>
                <w:szCs w:val="24"/>
              </w:rPr>
              <w:t>单位自行支付、</w:t>
            </w:r>
            <w:r>
              <w:rPr>
                <w:rFonts w:hint="eastAsia" w:ascii="宋体" w:hAnsi="宋体"/>
                <w:color w:val="000000"/>
                <w:sz w:val="24"/>
                <w:szCs w:val="24"/>
                <w:lang w:eastAsia="zh-CN"/>
              </w:rPr>
              <w:t>□</w:t>
            </w:r>
            <w:r>
              <w:rPr>
                <w:rFonts w:hint="eastAsia" w:ascii="宋体" w:hAnsi="宋体"/>
                <w:color w:val="000000"/>
                <w:sz w:val="24"/>
                <w:szCs w:val="24"/>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单一来源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评标委员会数量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right="165" w:rightChars="59" w:firstLine="0" w:firstLineChars="0"/>
              <w:rPr>
                <w:rFonts w:ascii="宋体" w:hAnsi="宋体"/>
                <w:sz w:val="24"/>
                <w:szCs w:val="24"/>
              </w:rPr>
            </w:pPr>
            <w:r>
              <w:rPr>
                <w:rFonts w:hint="eastAsia" w:ascii="宋体" w:hAnsi="宋体"/>
                <w:sz w:val="24"/>
                <w:szCs w:val="24"/>
              </w:rPr>
              <w:t>评标委员会依法组建，由采购人代表和评审专家组成共</w:t>
            </w:r>
            <w:r>
              <w:rPr>
                <w:rFonts w:hint="eastAsia" w:ascii="宋体" w:hAnsi="宋体"/>
                <w:sz w:val="24"/>
                <w:szCs w:val="24"/>
                <w:u w:val="single"/>
                <w:lang w:eastAsia="zh-CN"/>
              </w:rPr>
              <w:t>三</w:t>
            </w:r>
            <w:r>
              <w:rPr>
                <w:rFonts w:hint="eastAsia" w:ascii="宋体" w:hAnsi="宋体"/>
                <w:sz w:val="24"/>
                <w:szCs w:val="24"/>
              </w:rPr>
              <w:t>人</w:t>
            </w:r>
            <w:r>
              <w:rPr>
                <w:rFonts w:hint="eastAsia" w:ascii="宋体" w:hAnsi="宋体"/>
                <w:sz w:val="24"/>
                <w:szCs w:val="24"/>
                <w:lang w:eastAsia="zh-CN"/>
              </w:rPr>
              <w:t>及以上单数</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成交供应商确定</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采购人授权单一来源采购人员直接确定成交供应商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供应商资格要求</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详见单一来源采购公告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商定之日起90日历天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12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响应文件递交时间</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lang w:val="en-US" w:eastAsia="zh-CN"/>
              </w:rPr>
              <w:t>2019</w:t>
            </w:r>
            <w:r>
              <w:rPr>
                <w:rFonts w:hint="eastAsia" w:ascii="宋体" w:hAnsi="宋体"/>
                <w:color w:val="000000"/>
                <w:sz w:val="24"/>
                <w:szCs w:val="24"/>
              </w:rPr>
              <w:t>年</w:t>
            </w:r>
            <w:r>
              <w:rPr>
                <w:rFonts w:hint="eastAsia" w:ascii="宋体" w:hAnsi="宋体"/>
                <w:color w:val="000000"/>
                <w:sz w:val="24"/>
                <w:szCs w:val="24"/>
                <w:lang w:val="en-US" w:eastAsia="zh-CN"/>
              </w:rPr>
              <w:t>8</w:t>
            </w:r>
            <w:r>
              <w:rPr>
                <w:rFonts w:hint="eastAsia" w:ascii="宋体" w:hAnsi="宋体"/>
                <w:color w:val="000000"/>
                <w:sz w:val="24"/>
                <w:szCs w:val="24"/>
              </w:rPr>
              <w:t>月</w:t>
            </w:r>
            <w:r>
              <w:rPr>
                <w:rFonts w:hint="eastAsia" w:ascii="宋体" w:hAnsi="宋体"/>
                <w:color w:val="000000"/>
                <w:sz w:val="24"/>
                <w:szCs w:val="24"/>
                <w:lang w:val="en-US" w:eastAsia="zh-CN"/>
              </w:rPr>
              <w:t>27</w:t>
            </w:r>
            <w:r>
              <w:rPr>
                <w:rFonts w:hint="eastAsia" w:ascii="宋体" w:hAnsi="宋体"/>
                <w:color w:val="000000"/>
                <w:sz w:val="24"/>
                <w:szCs w:val="24"/>
              </w:rPr>
              <w:t>日</w:t>
            </w:r>
            <w:r>
              <w:rPr>
                <w:rFonts w:hint="eastAsia" w:ascii="宋体" w:hAnsi="宋体"/>
                <w:color w:val="000000"/>
                <w:sz w:val="24"/>
                <w:szCs w:val="24"/>
                <w:lang w:val="en-US" w:eastAsia="zh-CN"/>
              </w:rPr>
              <w:t>09</w:t>
            </w:r>
            <w:r>
              <w:rPr>
                <w:rFonts w:hint="eastAsia" w:ascii="宋体" w:hAnsi="宋体"/>
                <w:color w:val="000000"/>
                <w:sz w:val="24"/>
                <w:szCs w:val="24"/>
              </w:rPr>
              <w:t>时</w:t>
            </w:r>
            <w:r>
              <w:rPr>
                <w:rFonts w:hint="eastAsia" w:ascii="宋体" w:hAnsi="宋体"/>
                <w:color w:val="000000"/>
                <w:sz w:val="24"/>
                <w:szCs w:val="24"/>
                <w:lang w:val="en-US" w:eastAsia="zh-CN"/>
              </w:rPr>
              <w:t>30</w:t>
            </w:r>
            <w:r>
              <w:rPr>
                <w:rFonts w:hint="eastAsia" w:ascii="宋体" w:hAnsi="宋体"/>
                <w:color w:val="000000"/>
                <w:sz w:val="24"/>
                <w:szCs w:val="24"/>
              </w:rPr>
              <w:t>分--</w:t>
            </w:r>
            <w:r>
              <w:rPr>
                <w:rFonts w:hint="eastAsia" w:ascii="宋体" w:hAnsi="宋体"/>
                <w:color w:val="000000"/>
                <w:sz w:val="24"/>
                <w:szCs w:val="24"/>
                <w:lang w:val="en-US" w:eastAsia="zh-CN"/>
              </w:rPr>
              <w:t>10</w:t>
            </w:r>
            <w:r>
              <w:rPr>
                <w:rFonts w:hint="eastAsia" w:ascii="宋体" w:hAnsi="宋体"/>
                <w:color w:val="000000"/>
                <w:sz w:val="24"/>
                <w:szCs w:val="24"/>
              </w:rPr>
              <w:t>时</w:t>
            </w:r>
            <w:r>
              <w:rPr>
                <w:rFonts w:hint="eastAsia" w:ascii="宋体" w:hAnsi="宋体"/>
                <w:color w:val="000000"/>
                <w:sz w:val="24"/>
                <w:szCs w:val="24"/>
                <w:lang w:val="en-US" w:eastAsia="zh-CN"/>
              </w:rPr>
              <w:t>00</w:t>
            </w:r>
            <w:r>
              <w:rPr>
                <w:rFonts w:hint="eastAsia" w:ascii="宋体" w:hAnsi="宋体"/>
                <w:color w:val="000000"/>
                <w:sz w:val="24"/>
                <w:szCs w:val="24"/>
              </w:rPr>
              <w:t xml:space="preserve">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商定时间</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lang w:val="en-US" w:eastAsia="zh-CN"/>
              </w:rPr>
              <w:t>2019</w:t>
            </w:r>
            <w:r>
              <w:rPr>
                <w:rFonts w:hint="eastAsia" w:ascii="宋体" w:hAnsi="宋体"/>
                <w:color w:val="000000"/>
                <w:sz w:val="24"/>
                <w:szCs w:val="24"/>
              </w:rPr>
              <w:t>年</w:t>
            </w:r>
            <w:r>
              <w:rPr>
                <w:rFonts w:hint="eastAsia" w:ascii="宋体" w:hAnsi="宋体"/>
                <w:color w:val="000000"/>
                <w:sz w:val="24"/>
                <w:szCs w:val="24"/>
                <w:lang w:val="en-US" w:eastAsia="zh-CN"/>
              </w:rPr>
              <w:t xml:space="preserve"> 8</w:t>
            </w:r>
            <w:r>
              <w:rPr>
                <w:rFonts w:hint="eastAsia" w:ascii="宋体" w:hAnsi="宋体"/>
                <w:color w:val="000000"/>
                <w:sz w:val="24"/>
                <w:szCs w:val="24"/>
              </w:rPr>
              <w:t>月</w:t>
            </w:r>
            <w:r>
              <w:rPr>
                <w:rFonts w:hint="eastAsia" w:ascii="宋体" w:hAnsi="宋体"/>
                <w:color w:val="000000"/>
                <w:sz w:val="24"/>
                <w:szCs w:val="24"/>
                <w:lang w:val="en-US" w:eastAsia="zh-CN"/>
              </w:rPr>
              <w:t>27</w:t>
            </w:r>
            <w:r>
              <w:rPr>
                <w:rFonts w:hint="eastAsia" w:ascii="宋体" w:hAnsi="宋体"/>
                <w:color w:val="000000"/>
                <w:sz w:val="24"/>
                <w:szCs w:val="24"/>
              </w:rPr>
              <w:t>日</w:t>
            </w:r>
            <w:r>
              <w:rPr>
                <w:rFonts w:hint="eastAsia" w:ascii="宋体" w:hAnsi="宋体"/>
                <w:color w:val="000000"/>
                <w:sz w:val="24"/>
                <w:szCs w:val="24"/>
                <w:lang w:val="en-US" w:eastAsia="zh-CN"/>
              </w:rPr>
              <w:t>10</w:t>
            </w:r>
            <w:r>
              <w:rPr>
                <w:rFonts w:hint="eastAsia" w:ascii="宋体" w:hAnsi="宋体"/>
                <w:color w:val="000000"/>
                <w:sz w:val="24"/>
                <w:szCs w:val="24"/>
              </w:rPr>
              <w:t>时</w:t>
            </w:r>
            <w:r>
              <w:rPr>
                <w:rFonts w:hint="eastAsia" w:ascii="宋体" w:hAnsi="宋体"/>
                <w:color w:val="000000"/>
                <w:sz w:val="24"/>
                <w:szCs w:val="24"/>
                <w:lang w:val="en-US" w:eastAsia="zh-CN"/>
              </w:rPr>
              <w:t>00</w:t>
            </w:r>
            <w:r>
              <w:rPr>
                <w:rFonts w:hint="eastAsia" w:ascii="宋体" w:hAnsi="宋体"/>
                <w:color w:val="000000"/>
                <w:sz w:val="24"/>
                <w:szCs w:val="24"/>
              </w:rPr>
              <w:t>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商定地点</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right="165" w:rightChars="59" w:firstLine="0" w:firstLineChars="0"/>
              <w:rPr>
                <w:rFonts w:hint="eastAsia" w:ascii="宋体" w:hAnsi="宋体" w:cs="Times New Roman"/>
                <w:color w:val="000000"/>
                <w:sz w:val="24"/>
                <w:szCs w:val="24"/>
                <w:lang w:val="en-US" w:eastAsia="zh-CN"/>
              </w:rPr>
            </w:pPr>
            <w:r>
              <w:rPr>
                <w:rFonts w:hint="eastAsia" w:ascii="宋体" w:hAnsi="宋体" w:cs="Times New Roman"/>
                <w:color w:val="000000"/>
                <w:sz w:val="24"/>
                <w:szCs w:val="24"/>
                <w:lang w:val="en-US" w:eastAsia="zh-CN"/>
              </w:rPr>
              <w:t>鄂尔多斯市准格尔旗公共资源交易中心二楼开标室（准格尔旗大路新区）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响应文件数量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right="165" w:rightChars="59" w:firstLine="0" w:firstLineChars="0"/>
              <w:rPr>
                <w:rFonts w:hint="eastAsia" w:ascii="宋体" w:hAnsi="宋体" w:cs="Times New Roman"/>
                <w:color w:val="000000"/>
                <w:sz w:val="24"/>
                <w:szCs w:val="24"/>
                <w:lang w:val="en-US" w:eastAsia="zh-CN"/>
              </w:rPr>
            </w:pPr>
            <w:r>
              <w:rPr>
                <w:rFonts w:hint="eastAsia" w:ascii="宋体" w:hAnsi="宋体" w:cs="Times New Roman"/>
                <w:color w:val="000000"/>
                <w:sz w:val="24"/>
                <w:szCs w:val="24"/>
                <w:lang w:val="en-US" w:eastAsia="zh-CN"/>
              </w:rPr>
              <w:t>正本1份、副本 2份，电子光盘1份（光盘上标明供应商名称）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16</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报名与投标保证金</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200" w:right="750" w:hanging="1200" w:hangingChars="500"/>
              <w:rPr>
                <w:rFonts w:ascii="宋体" w:hAnsi="宋体"/>
                <w:color w:val="000000"/>
                <w:sz w:val="24"/>
                <w:szCs w:val="24"/>
              </w:rPr>
            </w:pPr>
            <w:r>
              <w:rPr>
                <w:rFonts w:hint="eastAsia" w:ascii="宋体" w:hAnsi="宋体"/>
                <w:color w:val="000000"/>
                <w:sz w:val="24"/>
                <w:szCs w:val="24"/>
              </w:rPr>
              <w:t>本项目无须网上报名、不收取投标保证金</w:t>
            </w:r>
          </w:p>
        </w:tc>
      </w:tr>
    </w:tbl>
    <w:p>
      <w:pPr>
        <w:spacing w:line="360" w:lineRule="auto"/>
        <w:ind w:firstLine="482" w:firstLineChars="200"/>
        <w:rPr>
          <w:rFonts w:ascii="宋体" w:hAnsi="宋体"/>
          <w:b/>
          <w:sz w:val="24"/>
          <w:szCs w:val="24"/>
        </w:rPr>
      </w:pPr>
      <w:r>
        <w:rPr>
          <w:rFonts w:hint="eastAsia" w:ascii="宋体" w:hAnsi="宋体"/>
          <w:b/>
          <w:sz w:val="24"/>
          <w:szCs w:val="24"/>
        </w:rPr>
        <w:t>二.说明</w:t>
      </w:r>
    </w:p>
    <w:p>
      <w:pPr>
        <w:spacing w:line="360" w:lineRule="auto"/>
        <w:ind w:firstLine="482" w:firstLineChars="200"/>
        <w:rPr>
          <w:rFonts w:ascii="宋体" w:hAnsi="宋体" w:cs="宋体"/>
          <w:b/>
          <w:sz w:val="24"/>
          <w:szCs w:val="24"/>
        </w:rPr>
      </w:pPr>
      <w:r>
        <w:rPr>
          <w:rFonts w:hint="eastAsia" w:ascii="宋体" w:hAnsi="宋体" w:cs="宋体"/>
          <w:b/>
          <w:sz w:val="24"/>
          <w:szCs w:val="24"/>
        </w:rPr>
        <w:t>1.总则</w:t>
      </w:r>
    </w:p>
    <w:p>
      <w:pPr>
        <w:spacing w:line="360" w:lineRule="auto"/>
        <w:ind w:firstLine="480" w:firstLineChars="200"/>
        <w:rPr>
          <w:rFonts w:ascii="宋体" w:hAnsi="宋体"/>
          <w:sz w:val="24"/>
          <w:szCs w:val="24"/>
        </w:rPr>
      </w:pPr>
      <w:r>
        <w:rPr>
          <w:rFonts w:hint="eastAsia" w:ascii="宋体" w:hAnsi="宋体"/>
          <w:sz w:val="24"/>
          <w:szCs w:val="24"/>
        </w:rPr>
        <w:t>本单一来源文件依据《中华人民共和国政府采购法》、《中华人民共和国政府采购法实施条例》和《政府采购非招标采购方式管理办法》（财政部令第74号）及国家和自治区有关法律、法规、规章制度编制。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供应商应仔细阅读本单一来源文件的所有内容（包括答疑、补充、澄清以及修改等），按照单一来源文件要求以及格式编制响应文件，并保证其真实性，否则一切后果自负。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本次政府采购方式为单一来源，是指采购人从某一特定供应商处采购货物、工程和服务的采购方式。</w:t>
      </w:r>
    </w:p>
    <w:p>
      <w:pPr>
        <w:pStyle w:val="23"/>
        <w:adjustRightInd w:val="0"/>
        <w:snapToGrid w:val="0"/>
        <w:spacing w:line="360" w:lineRule="auto"/>
        <w:ind w:firstLine="484" w:firstLineChars="201"/>
        <w:rPr>
          <w:rFonts w:hAnsi="宋体"/>
          <w:b/>
          <w:kern w:val="2"/>
          <w:sz w:val="24"/>
          <w:szCs w:val="24"/>
        </w:rPr>
      </w:pPr>
      <w:r>
        <w:rPr>
          <w:rFonts w:hint="eastAsia" w:hAnsi="宋体"/>
          <w:b/>
          <w:kern w:val="2"/>
          <w:sz w:val="24"/>
          <w:szCs w:val="24"/>
        </w:rPr>
        <w:t>2.适用范围</w:t>
      </w:r>
    </w:p>
    <w:p>
      <w:pPr>
        <w:spacing w:line="360" w:lineRule="auto"/>
        <w:ind w:firstLine="482" w:firstLineChars="201"/>
        <w:rPr>
          <w:rFonts w:ascii="宋体" w:hAnsi="宋体" w:cs="宋体"/>
          <w:sz w:val="24"/>
          <w:szCs w:val="24"/>
        </w:rPr>
      </w:pPr>
      <w:r>
        <w:rPr>
          <w:rFonts w:hint="eastAsia" w:ascii="宋体" w:hAnsi="宋体" w:cs="宋体"/>
          <w:sz w:val="24"/>
          <w:szCs w:val="24"/>
        </w:rPr>
        <w:t>本单一来源文件仅适用于本次单一来源采购公告中所涉及的项目和内容。</w:t>
      </w:r>
    </w:p>
    <w:p>
      <w:pPr>
        <w:pStyle w:val="23"/>
        <w:adjustRightInd w:val="0"/>
        <w:snapToGrid w:val="0"/>
        <w:spacing w:line="360" w:lineRule="auto"/>
        <w:ind w:firstLine="482" w:firstLineChars="200"/>
        <w:rPr>
          <w:rFonts w:hAnsi="宋体"/>
          <w:b/>
          <w:sz w:val="24"/>
          <w:szCs w:val="24"/>
        </w:rPr>
      </w:pPr>
      <w:r>
        <w:rPr>
          <w:rFonts w:hint="eastAsia" w:hAnsi="宋体"/>
          <w:b/>
          <w:sz w:val="24"/>
          <w:szCs w:val="24"/>
        </w:rPr>
        <w:t>3.投标费用</w:t>
      </w:r>
    </w:p>
    <w:p>
      <w:pPr>
        <w:pStyle w:val="23"/>
        <w:adjustRightInd w:val="0"/>
        <w:snapToGrid w:val="0"/>
        <w:spacing w:line="360" w:lineRule="auto"/>
        <w:ind w:firstLine="480" w:firstLineChars="200"/>
        <w:rPr>
          <w:rFonts w:hAnsi="宋体" w:cs="Arial"/>
          <w:color w:val="000000"/>
          <w:kern w:val="2"/>
          <w:sz w:val="24"/>
          <w:szCs w:val="24"/>
        </w:rPr>
      </w:pPr>
      <w:r>
        <w:rPr>
          <w:rFonts w:hint="eastAsia" w:hAnsi="宋体"/>
          <w:sz w:val="24"/>
          <w:szCs w:val="24"/>
        </w:rPr>
        <w:t>供应商应承担所有与准备和参加投标有关的费用。不论投标结果如何，</w:t>
      </w:r>
      <w:r>
        <w:rPr>
          <w:rFonts w:hint="eastAsia" w:hAnsi="宋体"/>
          <w:sz w:val="24"/>
          <w:szCs w:val="24"/>
          <w:lang w:eastAsia="zh-CN"/>
        </w:rPr>
        <w:t>交易中心</w:t>
      </w:r>
      <w:r>
        <w:rPr>
          <w:rFonts w:hint="eastAsia" w:hAnsi="宋体" w:cs="Arial"/>
          <w:color w:val="000000"/>
          <w:kern w:val="2"/>
          <w:sz w:val="24"/>
          <w:szCs w:val="24"/>
        </w:rPr>
        <w:t>和采购人均无义务和责任承担相关费用。</w:t>
      </w:r>
    </w:p>
    <w:p>
      <w:pPr>
        <w:spacing w:line="360" w:lineRule="auto"/>
        <w:ind w:firstLine="482" w:firstLineChars="200"/>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依法进行政府采购的国家机关、事业单位、团体组织。本单一来源文件的采购人特指（</w:t>
      </w:r>
      <w:r>
        <w:rPr>
          <w:rFonts w:hint="eastAsia" w:ascii="宋体" w:hAnsi="宋体" w:cs="Arial"/>
          <w:color w:val="000000"/>
          <w:sz w:val="24"/>
          <w:szCs w:val="24"/>
          <w:lang w:eastAsia="zh-CN"/>
        </w:rPr>
        <w:t>准格尔旗文化和旅游局</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4.2“集中采购机构”是指人民政府依法设立的代理集中采购项目的执行机构。本单一来源文件的集中采购机构特指</w:t>
      </w:r>
      <w:r>
        <w:rPr>
          <w:rFonts w:hint="eastAsia" w:ascii="宋体" w:hAnsi="宋体"/>
          <w:color w:val="000000"/>
          <w:sz w:val="24"/>
          <w:szCs w:val="24"/>
          <w:lang w:eastAsia="zh-CN"/>
        </w:rPr>
        <w:t>鄂尔多斯市准格尔旗公共资源交易中心</w:t>
      </w:r>
      <w:r>
        <w:rPr>
          <w:rFonts w:hint="eastAsia" w:ascii="宋体" w:hAnsi="宋体"/>
          <w:color w:val="000000"/>
          <w:sz w:val="24"/>
          <w:szCs w:val="24"/>
        </w:rPr>
        <w:t>（以下简称</w:t>
      </w:r>
      <w:r>
        <w:rPr>
          <w:rFonts w:hint="eastAsia" w:ascii="宋体" w:hAnsi="宋体"/>
          <w:color w:val="000000"/>
          <w:sz w:val="24"/>
          <w:szCs w:val="24"/>
          <w:lang w:eastAsia="zh-CN"/>
        </w:rPr>
        <w:t>交易中心</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4.3“供应商”是指向采购人提供货物、工程或者服务的法人、其他组织或者自然人。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4.4“单一来源采购人员”是指根据《中华人民共和国政府采购法》等法律法规规定，由采购人代表和有关专家组成以确定成交供应商或者推荐成交候选人的临时组织。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4.5“成交供应商”是指经单一来源采购人员评审确定的对单一来源文件做出实质性响应，取得与采购人签订合同资格的供应商。</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5.合格的供应商</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5.2到递交</w:t>
      </w:r>
      <w:r>
        <w:rPr>
          <w:rFonts w:hint="eastAsia" w:ascii="宋体" w:hAnsi="宋体"/>
          <w:bCs/>
          <w:color w:val="auto"/>
          <w:sz w:val="24"/>
          <w:szCs w:val="24"/>
          <w:highlight w:val="none"/>
          <w:lang w:eastAsia="zh-CN"/>
        </w:rPr>
        <w:t>响应</w:t>
      </w:r>
      <w:r>
        <w:rPr>
          <w:rFonts w:hint="eastAsia" w:ascii="宋体" w:hAnsi="宋体"/>
          <w:bCs/>
          <w:color w:val="auto"/>
          <w:sz w:val="24"/>
          <w:szCs w:val="24"/>
          <w:highlight w:val="none"/>
        </w:rPr>
        <w:t>文件截止时间，通过“信用中国”网站（</w:t>
      </w:r>
      <w:r>
        <w:rPr>
          <w:rFonts w:hint="eastAsia"/>
          <w:color w:val="auto"/>
          <w:sz w:val="24"/>
          <w:szCs w:val="24"/>
          <w:highlight w:val="none"/>
          <w:u w:val="single"/>
          <w:lang w:eastAsia="zh-CN"/>
        </w:rPr>
        <w:t>http://</w:t>
      </w:r>
      <w:r>
        <w:rPr>
          <w:rFonts w:hint="eastAsia"/>
          <w:color w:val="auto"/>
          <w:sz w:val="24"/>
          <w:szCs w:val="24"/>
          <w:highlight w:val="none"/>
          <w:u w:val="single"/>
        </w:rPr>
        <w:t>www.creditchina.gov.cn</w:t>
      </w:r>
      <w:r>
        <w:rPr>
          <w:rFonts w:hint="eastAsia" w:ascii="宋体" w:hAnsi="宋体"/>
          <w:bCs/>
          <w:color w:val="auto"/>
          <w:sz w:val="24"/>
          <w:szCs w:val="24"/>
          <w:highlight w:val="none"/>
        </w:rPr>
        <w:t>）、中国政府采购网（</w:t>
      </w:r>
      <w:r>
        <w:rPr>
          <w:rFonts w:hint="eastAsia"/>
          <w:color w:val="auto"/>
          <w:sz w:val="24"/>
          <w:szCs w:val="24"/>
          <w:highlight w:val="none"/>
          <w:u w:val="single"/>
          <w:lang w:eastAsia="zh-CN"/>
        </w:rPr>
        <w:t>http://www.ccgp.gov.cn</w:t>
      </w:r>
      <w:r>
        <w:rPr>
          <w:rFonts w:hint="eastAsia" w:ascii="宋体" w:hAnsi="宋体"/>
          <w:bCs/>
          <w:color w:val="auto"/>
          <w:sz w:val="24"/>
          <w:szCs w:val="24"/>
          <w:highlight w:val="none"/>
        </w:rPr>
        <w:t>）查询相关主体信用记录。对列入失信被执行人、重大税收违法案件当事人名单、政府采购严重违法失信行为记录名单及其他不符合《中华人民共和国政府采购法》第二十二条规定条件的供应商，拒绝其参与政府采购活动。</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5.3 符合本</w:t>
      </w:r>
      <w:r>
        <w:rPr>
          <w:rFonts w:hint="eastAsia" w:ascii="宋体" w:hAnsi="宋体"/>
          <w:bCs/>
          <w:color w:val="auto"/>
          <w:sz w:val="24"/>
          <w:szCs w:val="24"/>
          <w:highlight w:val="none"/>
          <w:lang w:eastAsia="zh-CN"/>
        </w:rPr>
        <w:t>单一来源</w:t>
      </w:r>
      <w:r>
        <w:rPr>
          <w:rFonts w:hint="eastAsia" w:ascii="宋体" w:hAnsi="宋体"/>
          <w:bCs/>
          <w:color w:val="auto"/>
          <w:sz w:val="24"/>
          <w:szCs w:val="24"/>
          <w:highlight w:val="none"/>
        </w:rPr>
        <w:t>文件规定的资格要求，并按照要求提供相关证明材料。</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5.4单位负责人为同一人或者存在直接控股、管理关系的不同供应商，不得参加同一合同项下的政府采购活动。</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5.5为采购项目提供整体设计、规范编制或者项目管理、监理、检测等服务的供应商，不得再参加该采购项目的其他采购活动。</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5.6由于法人分支机构不能独立承担民事责任，不能以分支机构的身份参加政府采购，只能以法人身份参加。</w:t>
      </w:r>
    </w:p>
    <w:p>
      <w:pPr>
        <w:spacing w:line="360" w:lineRule="auto"/>
        <w:ind w:firstLine="482" w:firstLineChars="200"/>
        <w:rPr>
          <w:rFonts w:ascii="宋体" w:hAnsi="宋体"/>
          <w:b/>
          <w:sz w:val="24"/>
          <w:szCs w:val="24"/>
        </w:rPr>
      </w:pPr>
      <w:r>
        <w:rPr>
          <w:rFonts w:hint="eastAsia" w:ascii="宋体" w:hAnsi="宋体"/>
          <w:b/>
          <w:sz w:val="24"/>
          <w:szCs w:val="24"/>
        </w:rPr>
        <w:t>6.语言文字以及度量衡单位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6.1所有文件使用的语言文字为简体中文。专用术语使用外文的，应附有简体中文注释，否则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6.2所有计量均采用中国法定的计量单位。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6.3所有报价一律使用人民币，货币单位：元。</w:t>
      </w:r>
    </w:p>
    <w:p>
      <w:pPr>
        <w:spacing w:line="360" w:lineRule="auto"/>
        <w:ind w:firstLine="482" w:firstLineChars="200"/>
        <w:rPr>
          <w:rFonts w:ascii="宋体" w:hAnsi="宋体"/>
          <w:b/>
          <w:sz w:val="24"/>
          <w:szCs w:val="24"/>
        </w:rPr>
      </w:pPr>
      <w:r>
        <w:rPr>
          <w:rFonts w:hint="eastAsia" w:ascii="宋体" w:hAnsi="宋体"/>
          <w:b/>
          <w:sz w:val="24"/>
          <w:szCs w:val="24"/>
        </w:rPr>
        <w:t>7.其他条款</w:t>
      </w:r>
    </w:p>
    <w:p>
      <w:pPr>
        <w:spacing w:line="360" w:lineRule="auto"/>
        <w:ind w:firstLine="480" w:firstLineChars="200"/>
        <w:rPr>
          <w:rFonts w:ascii="宋体" w:hAnsi="宋体"/>
          <w:sz w:val="24"/>
          <w:szCs w:val="24"/>
        </w:rPr>
      </w:pPr>
      <w:r>
        <w:rPr>
          <w:rFonts w:hint="eastAsia" w:ascii="宋体" w:hAnsi="宋体"/>
          <w:sz w:val="24"/>
          <w:szCs w:val="24"/>
        </w:rPr>
        <w:t>无论成交与否供应商递交的响应文件均不予退还。</w:t>
      </w:r>
    </w:p>
    <w:p>
      <w:pPr>
        <w:spacing w:line="360" w:lineRule="auto"/>
        <w:ind w:firstLine="482" w:firstLineChars="200"/>
        <w:rPr>
          <w:rFonts w:ascii="宋体" w:hAnsi="宋体"/>
          <w:b/>
          <w:sz w:val="24"/>
          <w:szCs w:val="24"/>
        </w:rPr>
      </w:pPr>
      <w:r>
        <w:rPr>
          <w:rFonts w:hint="eastAsia" w:ascii="宋体" w:hAnsi="宋体"/>
          <w:b/>
          <w:sz w:val="24"/>
          <w:szCs w:val="24"/>
        </w:rPr>
        <w:t>三.单一来源文件的构成</w:t>
      </w:r>
    </w:p>
    <w:p>
      <w:pPr>
        <w:spacing w:line="360" w:lineRule="auto"/>
        <w:ind w:firstLine="480" w:firstLineChars="200"/>
        <w:rPr>
          <w:rFonts w:ascii="宋体" w:hAnsi="宋体"/>
          <w:b/>
          <w:sz w:val="24"/>
          <w:szCs w:val="24"/>
        </w:rPr>
      </w:pPr>
      <w:r>
        <w:rPr>
          <w:rFonts w:hint="eastAsia" w:ascii="宋体" w:hAnsi="宋体"/>
          <w:sz w:val="24"/>
          <w:szCs w:val="24"/>
        </w:rPr>
        <w:t>（1）单一来源采购公告；</w:t>
      </w:r>
    </w:p>
    <w:p>
      <w:pPr>
        <w:spacing w:line="360" w:lineRule="auto"/>
        <w:ind w:firstLine="480" w:firstLineChars="200"/>
        <w:rPr>
          <w:rFonts w:ascii="宋体" w:hAnsi="宋体"/>
          <w:sz w:val="24"/>
          <w:szCs w:val="24"/>
        </w:rPr>
      </w:pPr>
      <w:r>
        <w:rPr>
          <w:rFonts w:hint="eastAsia" w:ascii="宋体" w:hAnsi="宋体"/>
          <w:sz w:val="24"/>
          <w:szCs w:val="24"/>
        </w:rPr>
        <w:t>（2）供应商须知；</w:t>
      </w:r>
    </w:p>
    <w:p>
      <w:pPr>
        <w:spacing w:line="360" w:lineRule="auto"/>
        <w:ind w:firstLine="480" w:firstLineChars="200"/>
        <w:rPr>
          <w:rFonts w:ascii="宋体" w:hAnsi="宋体"/>
          <w:sz w:val="24"/>
          <w:szCs w:val="24"/>
        </w:rPr>
      </w:pPr>
      <w:r>
        <w:rPr>
          <w:rFonts w:hint="eastAsia" w:ascii="宋体" w:hAnsi="宋体"/>
          <w:sz w:val="24"/>
          <w:szCs w:val="24"/>
        </w:rPr>
        <w:t>（3）合同条款和格式；</w:t>
      </w:r>
    </w:p>
    <w:p>
      <w:pPr>
        <w:spacing w:line="360" w:lineRule="auto"/>
        <w:ind w:firstLine="480" w:firstLineChars="200"/>
        <w:rPr>
          <w:rFonts w:ascii="宋体" w:hAnsi="宋体"/>
          <w:sz w:val="24"/>
          <w:szCs w:val="24"/>
        </w:rPr>
      </w:pPr>
      <w:r>
        <w:rPr>
          <w:rFonts w:hint="eastAsia" w:ascii="宋体" w:hAnsi="宋体"/>
          <w:sz w:val="24"/>
          <w:szCs w:val="24"/>
        </w:rPr>
        <w:t>（4）单一来源内容和技术要求；</w:t>
      </w:r>
    </w:p>
    <w:p>
      <w:pPr>
        <w:spacing w:line="360" w:lineRule="auto"/>
        <w:ind w:firstLine="480" w:firstLineChars="200"/>
        <w:rPr>
          <w:rFonts w:ascii="宋体" w:hAnsi="宋体"/>
          <w:sz w:val="24"/>
          <w:szCs w:val="24"/>
        </w:rPr>
      </w:pPr>
      <w:r>
        <w:rPr>
          <w:rFonts w:hint="eastAsia" w:ascii="宋体" w:hAnsi="宋体"/>
          <w:sz w:val="24"/>
          <w:szCs w:val="24"/>
        </w:rPr>
        <w:t>（5）单一来源程序及方法；</w:t>
      </w:r>
    </w:p>
    <w:p>
      <w:pPr>
        <w:spacing w:line="360" w:lineRule="auto"/>
        <w:ind w:firstLine="482" w:firstLineChars="200"/>
        <w:rPr>
          <w:rFonts w:ascii="宋体" w:hAnsi="宋体"/>
          <w:b/>
          <w:sz w:val="24"/>
          <w:szCs w:val="24"/>
        </w:rPr>
      </w:pPr>
      <w:r>
        <w:rPr>
          <w:rFonts w:hint="eastAsia" w:ascii="宋体" w:hAnsi="宋体"/>
          <w:b/>
          <w:sz w:val="24"/>
          <w:szCs w:val="24"/>
        </w:rPr>
        <w:t>四.响应文件</w:t>
      </w:r>
    </w:p>
    <w:p>
      <w:pPr>
        <w:spacing w:line="360" w:lineRule="auto"/>
        <w:ind w:firstLine="482" w:firstLineChars="200"/>
        <w:rPr>
          <w:rFonts w:ascii="宋体" w:hAnsi="宋体"/>
          <w:b/>
          <w:sz w:val="24"/>
          <w:szCs w:val="24"/>
        </w:rPr>
      </w:pPr>
      <w:r>
        <w:rPr>
          <w:rFonts w:hint="eastAsia" w:ascii="宋体" w:hAnsi="宋体"/>
          <w:b/>
          <w:sz w:val="24"/>
          <w:szCs w:val="24"/>
        </w:rPr>
        <w:t>1.响应文件的构成</w:t>
      </w:r>
    </w:p>
    <w:p>
      <w:pPr>
        <w:spacing w:line="360" w:lineRule="auto"/>
        <w:ind w:firstLine="480" w:firstLineChars="200"/>
        <w:rPr>
          <w:rFonts w:ascii="宋体" w:hAnsi="宋体"/>
          <w:sz w:val="24"/>
          <w:szCs w:val="24"/>
        </w:rPr>
      </w:pPr>
      <w:r>
        <w:rPr>
          <w:rFonts w:hint="eastAsia" w:ascii="宋体" w:hAnsi="宋体"/>
          <w:sz w:val="24"/>
          <w:szCs w:val="24"/>
        </w:rPr>
        <w:t>响应文件应按照单一来源文件第七章“响应文件格式”进行编写（可以增加附页），作为响应文件的组成部分。</w:t>
      </w:r>
    </w:p>
    <w:p>
      <w:pPr>
        <w:spacing w:line="360" w:lineRule="auto"/>
        <w:ind w:firstLine="482" w:firstLineChars="200"/>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供应商应按照“第四章单一来源内容与要求”的供货内容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。投标总价中不得包含单一来源文件要求以外的内容，否则，在评审时不予核减。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spacing w:line="360" w:lineRule="auto"/>
        <w:ind w:firstLine="480" w:firstLineChars="200"/>
        <w:rPr>
          <w:rFonts w:hint="eastAsia" w:ascii="宋体" w:hAnsi="宋体"/>
          <w:sz w:val="24"/>
          <w:szCs w:val="24"/>
        </w:rPr>
      </w:pPr>
      <w:r>
        <w:rPr>
          <w:rFonts w:hint="eastAsia" w:ascii="宋体" w:hAnsi="宋体"/>
          <w:sz w:val="24"/>
          <w:szCs w:val="24"/>
        </w:rPr>
        <w:t>2.3投标报价不得有选择性报价和附有条件的报价，每一种规格的货物只允许有一个报价，不得缺项、漏项、不得高于预算价，否则按无效投标处理。</w:t>
      </w:r>
    </w:p>
    <w:p>
      <w:pPr>
        <w:spacing w:line="360" w:lineRule="auto"/>
        <w:ind w:firstLine="480" w:firstLineChars="200"/>
        <w:rPr>
          <w:rFonts w:ascii="宋体" w:hAnsi="宋体"/>
          <w:sz w:val="24"/>
          <w:szCs w:val="24"/>
        </w:rPr>
      </w:pPr>
      <w:r>
        <w:rPr>
          <w:rFonts w:hint="eastAsia" w:ascii="宋体" w:hAnsi="宋体"/>
          <w:sz w:val="24"/>
          <w:szCs w:val="24"/>
        </w:rPr>
        <w:t>2.4供应商应按单一来源文件《开标一览表》要求的统一格式填写。</w:t>
      </w:r>
    </w:p>
    <w:p>
      <w:pPr>
        <w:spacing w:line="360" w:lineRule="auto"/>
        <w:ind w:firstLine="480" w:firstLineChars="200"/>
        <w:rPr>
          <w:rFonts w:ascii="宋体" w:hAnsi="宋体"/>
          <w:sz w:val="24"/>
          <w:szCs w:val="24"/>
        </w:rPr>
      </w:pPr>
      <w:r>
        <w:rPr>
          <w:rFonts w:hint="eastAsia" w:ascii="宋体" w:hAnsi="宋体"/>
          <w:sz w:val="24"/>
          <w:szCs w:val="24"/>
        </w:rPr>
        <w:t>2.5</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）响应文件中开标一览表（报价表）内容与响应文件中相应内容不一致的，以开标一览表（报价表）为准；</w:t>
      </w:r>
    </w:p>
    <w:p>
      <w:pPr>
        <w:widowControl/>
        <w:spacing w:line="360" w:lineRule="auto"/>
        <w:ind w:firstLine="482" w:firstLineChars="201"/>
        <w:rPr>
          <w:rFonts w:ascii="宋体" w:hAnsi="宋体"/>
          <w:kern w:val="0"/>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hAnsi="宋体" w:cs="宋体"/>
          <w:kern w:val="0"/>
          <w:sz w:val="24"/>
          <w:szCs w:val="24"/>
        </w:rPr>
        <w:t>大写金额和小写金额不一致的，以大写金额为准；</w:t>
      </w:r>
    </w:p>
    <w:p>
      <w:pPr>
        <w:spacing w:line="360" w:lineRule="auto"/>
        <w:ind w:firstLine="480" w:firstLineChars="200"/>
        <w:rPr>
          <w:rFonts w:ascii="宋体" w:hAnsi="宋体" w:cs="宋体"/>
          <w:kern w:val="0"/>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hint="eastAsia" w:ascii="宋体" w:hAnsi="宋体" w:cs="宋体"/>
          <w:kern w:val="0"/>
          <w:sz w:val="24"/>
          <w:szCs w:val="24"/>
        </w:rPr>
        <w:t>单价金额之和与总价不符的，应以总价为准。</w:t>
      </w:r>
    </w:p>
    <w:p>
      <w:pPr>
        <w:spacing w:line="360" w:lineRule="auto"/>
        <w:ind w:firstLine="482" w:firstLineChars="200"/>
        <w:rPr>
          <w:rFonts w:ascii="宋体" w:hAnsi="宋体"/>
          <w:b/>
          <w:sz w:val="24"/>
          <w:szCs w:val="24"/>
        </w:rPr>
      </w:pPr>
      <w:r>
        <w:rPr>
          <w:rFonts w:hint="eastAsia" w:ascii="宋体" w:hAnsi="宋体"/>
          <w:b/>
          <w:sz w:val="24"/>
          <w:szCs w:val="24"/>
        </w:rPr>
        <w:t>3.响应文件的编制要求</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3.1纸质响应文件编制要求：响应文件应用A4纸书写、打印，响应文件正本1份,副本2份。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3.2电子版响应文件编制要求：提供PDF格式和word格式电子文档一份，内容必须一致，在电子文档上标明供应商全称。（电子文档可使用U盘或光盘）。</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注：供应商在响应文件及相关书面文件中的单位公章（包括印章、公章等）均指与供应商名称全称一致的标准公章，不得使用其他形式（如带有“专用章”、“财务章”、“业务章”等）的印章。</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3.3响应文件的密封。供应商应使用密封袋将响应文件密封，电子文档可密封至响应文件中也可单独密封。密封封面上需注明“项目名称”、“项目编号”、“分包号”、“供应商全称”和《单一来源文件》或《电子版》字样，并在密封包装上粘贴密封条。</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3.4响应文件的密封。密封封面应注明条上需分别注明“项目名称”、“项目编号”、“分包号”、“供应商全称”和《响应文件》或《电子版》字样。（电子文档可密封至响应文件中也可单独密封）</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供应商按上述规定进行密封和标记后，将响应文件按照单一来源文件的要求送达指定地点。如果未按上述规定进行密封和标记，</w:t>
      </w:r>
      <w:r>
        <w:rPr>
          <w:rFonts w:hint="eastAsia" w:ascii="宋体" w:hAnsi="宋体"/>
          <w:sz w:val="24"/>
          <w:szCs w:val="24"/>
          <w:lang w:eastAsia="zh-CN"/>
        </w:rPr>
        <w:t>交易中心</w:t>
      </w:r>
      <w:r>
        <w:rPr>
          <w:rFonts w:hint="eastAsia" w:ascii="宋体" w:hAnsi="宋体"/>
          <w:sz w:val="24"/>
          <w:szCs w:val="24"/>
        </w:rPr>
        <w:t>对误投或提前启封概不负责。</w:t>
      </w:r>
    </w:p>
    <w:p>
      <w:pPr>
        <w:spacing w:line="360" w:lineRule="auto"/>
        <w:ind w:firstLine="482" w:firstLineChars="200"/>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4.1在供应商须知前附表规定的投标有效期内，供应商不得要求撤销或修改其响应文件。</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供应商延长投标有效期。供应商同意延长的，应相应延长其投标保证金的有效期，但不得要求或被允许修改或撤销其响应文件；供应商拒绝延长的，其投标失效，但供应商有权收回其投标保证金。</w:t>
      </w:r>
    </w:p>
    <w:p>
      <w:pPr>
        <w:spacing w:line="360" w:lineRule="auto"/>
        <w:ind w:firstLine="482" w:firstLineChars="200"/>
        <w:rPr>
          <w:rFonts w:ascii="宋体" w:hAnsi="宋体"/>
          <w:color w:val="000000"/>
          <w:sz w:val="24"/>
          <w:szCs w:val="24"/>
        </w:rPr>
      </w:pPr>
      <w:r>
        <w:rPr>
          <w:rFonts w:hint="eastAsia" w:ascii="宋体" w:hAnsi="宋体"/>
          <w:b/>
          <w:sz w:val="24"/>
          <w:szCs w:val="24"/>
        </w:rPr>
        <w:t>5.</w:t>
      </w:r>
      <w:r>
        <w:rPr>
          <w:rFonts w:ascii="宋体" w:hAnsi="宋体"/>
          <w:b/>
          <w:sz w:val="24"/>
          <w:szCs w:val="24"/>
        </w:rPr>
        <w:t>响应文件的修改和撤回</w:t>
      </w:r>
    </w:p>
    <w:p>
      <w:pPr>
        <w:spacing w:line="360" w:lineRule="auto"/>
        <w:ind w:firstLine="480" w:firstLineChars="200"/>
        <w:rPr>
          <w:rFonts w:ascii="宋体" w:hAnsi="宋体"/>
          <w:sz w:val="24"/>
          <w:szCs w:val="24"/>
        </w:rPr>
      </w:pPr>
      <w:r>
        <w:rPr>
          <w:rFonts w:hint="eastAsia" w:ascii="宋体" w:hAnsi="宋体"/>
          <w:sz w:val="24"/>
          <w:szCs w:val="24"/>
        </w:rPr>
        <w:t>供应商在投标截止时间前，可以对所递交的响应文件进行补充、修改或者撤回。补充、修改的内容应当按单一来源文件要求签署、盖章，并作为响应文件的组成部分；补充、修改的内容与响应文件不一致的，以补充、修改的内容为准；撤回的应以书面形式告知</w:t>
      </w:r>
      <w:r>
        <w:rPr>
          <w:rFonts w:hint="eastAsia" w:ascii="宋体" w:hAnsi="宋体"/>
          <w:sz w:val="24"/>
          <w:szCs w:val="24"/>
          <w:lang w:eastAsia="zh-CN"/>
        </w:rPr>
        <w:t>交易中心</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在递交响应文件截止时间后到单一来源文件规定的投标有效期终止之前，供应商不得补充、修改、替代或者撤回其响应文件。</w:t>
      </w:r>
    </w:p>
    <w:p>
      <w:pPr>
        <w:spacing w:line="360" w:lineRule="auto"/>
        <w:ind w:firstLine="482" w:firstLineChars="200"/>
        <w:rPr>
          <w:rFonts w:ascii="宋体" w:hAnsi="宋体"/>
          <w:sz w:val="24"/>
          <w:szCs w:val="24"/>
        </w:rPr>
      </w:pPr>
      <w:r>
        <w:rPr>
          <w:rFonts w:hint="eastAsia" w:ascii="宋体" w:hAnsi="宋体"/>
          <w:b/>
          <w:sz w:val="24"/>
          <w:szCs w:val="24"/>
        </w:rPr>
        <w:t>6.响应文件的递交</w:t>
      </w:r>
    </w:p>
    <w:p>
      <w:pPr>
        <w:spacing w:line="360" w:lineRule="auto"/>
        <w:ind w:firstLine="480" w:firstLineChars="200"/>
        <w:rPr>
          <w:rFonts w:ascii="宋体" w:hAnsi="宋体"/>
          <w:sz w:val="24"/>
          <w:szCs w:val="24"/>
        </w:rPr>
      </w:pPr>
      <w:r>
        <w:rPr>
          <w:rFonts w:hint="eastAsia" w:ascii="宋体" w:hAnsi="宋体"/>
          <w:sz w:val="24"/>
          <w:szCs w:val="24"/>
        </w:rPr>
        <w:t>在单一来源文件要求提交响应文件的截止时间之后送达的响应文件</w:t>
      </w:r>
      <w:r>
        <w:rPr>
          <w:rFonts w:hint="eastAsia" w:ascii="宋体" w:hAnsi="宋体"/>
          <w:color w:val="000000"/>
          <w:kern w:val="0"/>
          <w:sz w:val="24"/>
          <w:szCs w:val="24"/>
        </w:rPr>
        <w:t>，</w:t>
      </w:r>
      <w:r>
        <w:rPr>
          <w:rFonts w:hint="eastAsia" w:ascii="宋体" w:hAnsi="宋体"/>
          <w:sz w:val="24"/>
          <w:szCs w:val="24"/>
        </w:rPr>
        <w:t>为无效响应文件，采购单位或</w:t>
      </w:r>
      <w:r>
        <w:rPr>
          <w:rFonts w:hint="eastAsia" w:ascii="宋体" w:hAnsi="宋体"/>
          <w:sz w:val="24"/>
          <w:szCs w:val="24"/>
          <w:lang w:eastAsia="zh-CN"/>
        </w:rPr>
        <w:t>交易中心</w:t>
      </w:r>
      <w:r>
        <w:rPr>
          <w:rFonts w:hint="eastAsia" w:ascii="宋体" w:hAnsi="宋体"/>
          <w:sz w:val="24"/>
          <w:szCs w:val="24"/>
        </w:rPr>
        <w:t>拒收。</w:t>
      </w:r>
    </w:p>
    <w:p>
      <w:pPr>
        <w:spacing w:line="360" w:lineRule="auto"/>
        <w:ind w:firstLine="482" w:firstLineChars="200"/>
        <w:rPr>
          <w:rFonts w:ascii="宋体" w:hAnsi="宋体"/>
          <w:b/>
          <w:sz w:val="24"/>
          <w:szCs w:val="24"/>
        </w:rPr>
      </w:pPr>
      <w:r>
        <w:rPr>
          <w:rFonts w:hint="eastAsia" w:ascii="宋体" w:hAnsi="宋体"/>
          <w:b/>
          <w:sz w:val="24"/>
          <w:szCs w:val="24"/>
        </w:rPr>
        <w:t>六.商定</w:t>
      </w:r>
    </w:p>
    <w:p>
      <w:pPr>
        <w:spacing w:line="360" w:lineRule="auto"/>
        <w:ind w:firstLine="482" w:firstLineChars="200"/>
        <w:rPr>
          <w:rFonts w:ascii="宋体" w:hAnsi="宋体"/>
          <w:b/>
          <w:sz w:val="24"/>
          <w:szCs w:val="24"/>
        </w:rPr>
      </w:pPr>
      <w:r>
        <w:rPr>
          <w:rFonts w:hint="eastAsia" w:ascii="宋体" w:hAnsi="宋体"/>
          <w:b/>
          <w:sz w:val="24"/>
          <w:szCs w:val="24"/>
        </w:rPr>
        <w:t>商定时间和地点</w:t>
      </w:r>
    </w:p>
    <w:p>
      <w:pPr>
        <w:spacing w:line="360" w:lineRule="auto"/>
        <w:ind w:firstLine="480" w:firstLineChars="200"/>
        <w:rPr>
          <w:rFonts w:ascii="宋体" w:hAnsi="宋体"/>
          <w:sz w:val="24"/>
          <w:szCs w:val="24"/>
        </w:rPr>
      </w:pPr>
      <w:r>
        <w:rPr>
          <w:rFonts w:hint="eastAsia" w:ascii="宋体" w:hAnsi="宋体"/>
          <w:sz w:val="24"/>
          <w:szCs w:val="24"/>
        </w:rPr>
        <w:t>1.商定时间与投标截止时间为同一时间；商定地点为单一来源文件规定的地点。</w:t>
      </w:r>
    </w:p>
    <w:p>
      <w:pPr>
        <w:spacing w:line="360" w:lineRule="auto"/>
        <w:ind w:firstLine="480" w:firstLineChars="200"/>
        <w:rPr>
          <w:rFonts w:ascii="宋体" w:hAnsi="宋体"/>
          <w:sz w:val="24"/>
          <w:szCs w:val="24"/>
        </w:rPr>
      </w:pPr>
      <w:r>
        <w:rPr>
          <w:rFonts w:hint="eastAsia" w:ascii="宋体" w:hAnsi="宋体"/>
          <w:sz w:val="24"/>
          <w:szCs w:val="24"/>
        </w:rPr>
        <w:t>2.采购人、</w:t>
      </w:r>
      <w:r>
        <w:rPr>
          <w:rFonts w:hint="eastAsia" w:ascii="宋体" w:hAnsi="宋体"/>
          <w:sz w:val="24"/>
          <w:szCs w:val="24"/>
          <w:lang w:eastAsia="zh-CN"/>
        </w:rPr>
        <w:t>交易中心</w:t>
      </w:r>
      <w:r>
        <w:rPr>
          <w:rFonts w:hint="eastAsia" w:ascii="宋体" w:hAnsi="宋体"/>
          <w:sz w:val="24"/>
          <w:szCs w:val="24"/>
        </w:rPr>
        <w:t>对误投或未按规定时间、地点进行投标的概不负责。</w:t>
      </w:r>
    </w:p>
    <w:p>
      <w:pPr>
        <w:spacing w:line="360" w:lineRule="auto"/>
        <w:ind w:firstLine="482" w:firstLineChars="200"/>
        <w:rPr>
          <w:rFonts w:ascii="宋体" w:hAnsi="宋体"/>
          <w:b/>
          <w:sz w:val="24"/>
          <w:szCs w:val="24"/>
        </w:rPr>
      </w:pPr>
      <w:r>
        <w:rPr>
          <w:rFonts w:hint="eastAsia" w:ascii="宋体" w:hAnsi="宋体"/>
          <w:b/>
          <w:sz w:val="24"/>
          <w:szCs w:val="24"/>
        </w:rPr>
        <w:t>七.评审</w:t>
      </w:r>
    </w:p>
    <w:p>
      <w:pPr>
        <w:spacing w:line="360" w:lineRule="auto"/>
        <w:ind w:firstLine="480" w:firstLineChars="200"/>
        <w:rPr>
          <w:rFonts w:ascii="宋体" w:hAnsi="宋体"/>
          <w:sz w:val="24"/>
          <w:szCs w:val="24"/>
        </w:rPr>
      </w:pPr>
      <w:r>
        <w:rPr>
          <w:rFonts w:hint="eastAsia" w:ascii="宋体" w:hAnsi="宋体"/>
          <w:sz w:val="24"/>
          <w:szCs w:val="24"/>
        </w:rPr>
        <w:t>1.单一来源采购人员</w:t>
      </w:r>
    </w:p>
    <w:p>
      <w:pPr>
        <w:spacing w:line="360" w:lineRule="auto"/>
        <w:ind w:firstLine="480" w:firstLineChars="200"/>
        <w:rPr>
          <w:rFonts w:ascii="宋体" w:hAnsi="宋体"/>
          <w:sz w:val="24"/>
          <w:szCs w:val="24"/>
        </w:rPr>
      </w:pPr>
      <w:r>
        <w:rPr>
          <w:rFonts w:hint="eastAsia" w:ascii="宋体" w:hAnsi="宋体"/>
          <w:sz w:val="24"/>
          <w:szCs w:val="24"/>
        </w:rPr>
        <w:t>1.1单一来源采购人员由采购人代表和评审专家共3人及以上单数组成，其中评审专家人数不得少于单一来源小组成员总数的2/3。</w:t>
      </w:r>
    </w:p>
    <w:p>
      <w:pPr>
        <w:spacing w:line="360" w:lineRule="auto"/>
        <w:ind w:firstLine="480" w:firstLineChars="200"/>
        <w:rPr>
          <w:rFonts w:ascii="宋体" w:hAnsi="宋体"/>
          <w:sz w:val="24"/>
          <w:szCs w:val="24"/>
        </w:rPr>
      </w:pPr>
      <w:r>
        <w:rPr>
          <w:rFonts w:hint="eastAsia" w:ascii="宋体" w:hAnsi="宋体"/>
          <w:sz w:val="24"/>
          <w:szCs w:val="24"/>
        </w:rPr>
        <w:t>1.2单一来源采购人员成员有下列情形之一的，应当回避：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（1）参加采购活动前三年内,与供应商存在劳动关系,或者担任过供应商的董事、监事,或者是供应商的控股股东或实际控制人；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（2）与供应商的法定代表人或者负责人有夫妻、直系血亲、三代以内旁系血亲或者近姻亲关系；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（3）与供应商有其他可能影响政府采购活动公平、公正进行的关系；</w:t>
      </w:r>
    </w:p>
    <w:p>
      <w:pPr>
        <w:spacing w:line="360" w:lineRule="auto"/>
        <w:ind w:firstLine="482" w:firstLineChars="200"/>
        <w:rPr>
          <w:rFonts w:ascii="宋体" w:hAnsi="宋体"/>
          <w:b/>
          <w:sz w:val="24"/>
          <w:szCs w:val="24"/>
        </w:rPr>
      </w:pPr>
      <w:r>
        <w:rPr>
          <w:rFonts w:hint="eastAsia" w:ascii="宋体" w:hAnsi="宋体"/>
          <w:b/>
          <w:sz w:val="24"/>
          <w:szCs w:val="24"/>
        </w:rPr>
        <w:t>2.单一来源原则</w:t>
      </w:r>
    </w:p>
    <w:p>
      <w:pPr>
        <w:spacing w:line="360" w:lineRule="auto"/>
        <w:ind w:firstLine="480" w:firstLineChars="200"/>
        <w:rPr>
          <w:rFonts w:ascii="宋体" w:hAnsi="宋体"/>
          <w:sz w:val="24"/>
          <w:szCs w:val="24"/>
        </w:rPr>
      </w:pPr>
      <w:r>
        <w:rPr>
          <w:rFonts w:hint="eastAsia" w:ascii="宋体" w:hAnsi="宋体"/>
          <w:sz w:val="24"/>
          <w:szCs w:val="24"/>
        </w:rPr>
        <w:t>单一来源活动遵循公平、公正、科学和择优的原则，以单一来源文件和响应文件为基本依据，并按照单一来源文件规定的方法和标准与供应商商定合理的成交价格并保证采购项目质量。</w:t>
      </w:r>
    </w:p>
    <w:p>
      <w:pPr>
        <w:spacing w:line="360" w:lineRule="auto"/>
        <w:ind w:firstLine="482" w:firstLineChars="200"/>
        <w:rPr>
          <w:rFonts w:ascii="宋体" w:hAnsi="宋体"/>
          <w:sz w:val="24"/>
          <w:szCs w:val="24"/>
        </w:rPr>
      </w:pPr>
      <w:r>
        <w:rPr>
          <w:rFonts w:hint="eastAsia" w:ascii="宋体" w:hAnsi="宋体"/>
          <w:b/>
          <w:sz w:val="24"/>
          <w:szCs w:val="24"/>
        </w:rPr>
        <w:t>3.采购活动终止的情形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出现下列情形之一的，采购人或者采购代理机构应当终止采购活动：</w:t>
      </w:r>
    </w:p>
    <w:p>
      <w:pPr>
        <w:spacing w:line="360" w:lineRule="auto"/>
        <w:ind w:firstLine="480" w:firstLineChars="200"/>
        <w:rPr>
          <w:rFonts w:ascii="宋体" w:hAnsi="宋体"/>
          <w:sz w:val="24"/>
          <w:szCs w:val="24"/>
        </w:rPr>
      </w:pPr>
      <w:r>
        <w:rPr>
          <w:rFonts w:hint="eastAsia" w:ascii="宋体" w:hAnsi="宋体"/>
          <w:sz w:val="24"/>
          <w:szCs w:val="24"/>
        </w:rPr>
        <w:t>（1）因情况变化，不再符合规定的单一来源采购方式适用情形的；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（3）报价超过采购预算的。</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（5）法律、法规以及单一来源文件规定其他情形。</w:t>
      </w:r>
    </w:p>
    <w:p>
      <w:pPr>
        <w:spacing w:line="360" w:lineRule="auto"/>
        <w:ind w:firstLine="482" w:firstLineChars="200"/>
        <w:rPr>
          <w:rFonts w:ascii="宋体" w:hAnsi="宋体"/>
          <w:b/>
          <w:sz w:val="24"/>
          <w:szCs w:val="24"/>
        </w:rPr>
      </w:pPr>
      <w:r>
        <w:rPr>
          <w:rFonts w:hint="eastAsia" w:ascii="宋体" w:hAnsi="宋体"/>
          <w:b/>
          <w:sz w:val="24"/>
          <w:szCs w:val="24"/>
        </w:rPr>
        <w:t>4.定标</w:t>
      </w:r>
    </w:p>
    <w:p>
      <w:pPr>
        <w:spacing w:line="360" w:lineRule="auto"/>
        <w:ind w:firstLine="480" w:firstLineChars="200"/>
        <w:rPr>
          <w:rFonts w:ascii="宋体" w:hAnsi="宋体"/>
          <w:sz w:val="24"/>
          <w:szCs w:val="24"/>
        </w:rPr>
      </w:pPr>
      <w:r>
        <w:rPr>
          <w:rFonts w:hint="eastAsia" w:ascii="宋体" w:hAnsi="宋体"/>
          <w:sz w:val="24"/>
          <w:szCs w:val="24"/>
        </w:rPr>
        <w:t>单一来源采购人员按照单一来源文件确定的方法、步骤、标准确定合理的成交价格并保证采购项目质量。</w:t>
      </w:r>
    </w:p>
    <w:p>
      <w:pPr>
        <w:spacing w:line="360" w:lineRule="auto"/>
        <w:ind w:firstLine="482" w:firstLineChars="200"/>
        <w:rPr>
          <w:rFonts w:ascii="宋体" w:hAnsi="宋体"/>
          <w:b/>
          <w:sz w:val="24"/>
          <w:szCs w:val="24"/>
        </w:rPr>
      </w:pPr>
      <w:r>
        <w:rPr>
          <w:rFonts w:hint="eastAsia" w:ascii="宋体" w:hAnsi="宋体"/>
          <w:b/>
          <w:sz w:val="24"/>
          <w:szCs w:val="24"/>
        </w:rPr>
        <w:t>5.成交结果公告</w:t>
      </w:r>
    </w:p>
    <w:p>
      <w:pPr>
        <w:spacing w:line="360" w:lineRule="auto"/>
        <w:ind w:firstLine="480" w:firstLineChars="200"/>
        <w:rPr>
          <w:rFonts w:hint="eastAsia" w:ascii="宋体" w:hAnsi="宋体"/>
          <w:sz w:val="24"/>
          <w:szCs w:val="24"/>
        </w:rPr>
      </w:pPr>
      <w:r>
        <w:rPr>
          <w:rFonts w:hint="eastAsia" w:ascii="宋体" w:hAnsi="宋体"/>
          <w:sz w:val="24"/>
          <w:szCs w:val="24"/>
        </w:rPr>
        <w:t>5.1成交供应商确定后，</w:t>
      </w:r>
      <w:r>
        <w:rPr>
          <w:rFonts w:hint="eastAsia" w:ascii="宋体" w:hAnsi="宋体"/>
          <w:sz w:val="24"/>
          <w:szCs w:val="24"/>
          <w:lang w:eastAsia="zh-CN"/>
        </w:rPr>
        <w:t>交易中心</w:t>
      </w:r>
      <w:r>
        <w:rPr>
          <w:rFonts w:hint="eastAsia" w:ascii="宋体" w:hAnsi="宋体"/>
          <w:sz w:val="24"/>
          <w:szCs w:val="24"/>
        </w:rPr>
        <w:t>将在内蒙古自治区政府采购网、内蒙古自治区公共资源交易网、鄂尔多斯市政府采购网</w:t>
      </w:r>
      <w:r>
        <w:rPr>
          <w:rFonts w:hint="eastAsia" w:ascii="宋体" w:hAnsi="宋体"/>
          <w:sz w:val="24"/>
          <w:szCs w:val="24"/>
          <w:lang w:eastAsia="zh-CN"/>
        </w:rPr>
        <w:t>、</w:t>
      </w:r>
      <w:r>
        <w:rPr>
          <w:rFonts w:hint="eastAsia" w:ascii="宋体" w:hAnsi="宋体"/>
          <w:sz w:val="24"/>
          <w:szCs w:val="24"/>
        </w:rPr>
        <w:t>鄂尔多斯市公共资源交易网</w:t>
      </w:r>
      <w:r>
        <w:rPr>
          <w:rFonts w:hint="eastAsia" w:ascii="宋体" w:hAnsi="宋体"/>
          <w:sz w:val="24"/>
          <w:szCs w:val="24"/>
          <w:lang w:val="en-US" w:eastAsia="zh-CN"/>
        </w:rPr>
        <w:t>和准格尔旗公共资源交易网</w:t>
      </w:r>
      <w:r>
        <w:rPr>
          <w:rFonts w:hint="eastAsia" w:ascii="宋体" w:hAnsi="宋体"/>
          <w:sz w:val="24"/>
          <w:szCs w:val="24"/>
        </w:rPr>
        <w:t>上发布成交结果公告，同时将成交结果以公告形式通知未成交的供应商，中标公告期限为1个工作日。</w:t>
      </w:r>
    </w:p>
    <w:p>
      <w:pPr>
        <w:spacing w:line="360" w:lineRule="auto"/>
        <w:ind w:firstLine="480" w:firstLineChars="200"/>
        <w:rPr>
          <w:rFonts w:hint="eastAsia" w:ascii="宋体" w:hAnsi="宋体"/>
          <w:sz w:val="24"/>
          <w:szCs w:val="24"/>
        </w:rPr>
      </w:pPr>
      <w:r>
        <w:rPr>
          <w:rFonts w:hint="eastAsia" w:ascii="宋体" w:hAnsi="宋体"/>
          <w:sz w:val="24"/>
          <w:szCs w:val="24"/>
        </w:rPr>
        <w:t>5.2成交供应商须将成交货物报价明细表（</w:t>
      </w:r>
      <w:r>
        <w:rPr>
          <w:rFonts w:hint="eastAsia" w:ascii="宋体" w:hAnsi="宋体"/>
          <w:sz w:val="24"/>
          <w:szCs w:val="24"/>
          <w:lang w:val="en-US" w:eastAsia="zh-CN"/>
        </w:rPr>
        <w:t>EXCEL</w:t>
      </w:r>
      <w:r>
        <w:rPr>
          <w:rFonts w:hint="eastAsia" w:ascii="宋体" w:hAnsi="宋体"/>
          <w:sz w:val="24"/>
          <w:szCs w:val="24"/>
        </w:rPr>
        <w:t>格式电子版）（包括货物名称、生产厂家、品牌、规格、型号、数量、单位、单价及总价等）于单一来源结束后当天发送在交易中心工作人员邮箱内（</w:t>
      </w:r>
      <w:r>
        <w:fldChar w:fldCharType="begin"/>
      </w:r>
      <w:r>
        <w:instrText xml:space="preserve">HYPERLINK "mailto:youj_0722@163.com" </w:instrText>
      </w:r>
      <w:r>
        <w:fldChar w:fldCharType="separate"/>
      </w:r>
      <w:r>
        <w:rPr>
          <w:rStyle w:val="50"/>
          <w:rFonts w:hint="eastAsia" w:ascii="宋体" w:hAnsi="宋体"/>
          <w:color w:val="auto"/>
          <w:sz w:val="24"/>
          <w:szCs w:val="24"/>
          <w:lang w:val="en-US" w:eastAsia="zh-CN"/>
        </w:rPr>
        <w:t>54493864</w:t>
      </w:r>
      <w:r>
        <w:rPr>
          <w:rStyle w:val="50"/>
          <w:rFonts w:hint="eastAsia" w:ascii="宋体" w:hAnsi="宋体"/>
          <w:color w:val="auto"/>
          <w:sz w:val="24"/>
          <w:szCs w:val="24"/>
        </w:rPr>
        <w:t>@</w:t>
      </w:r>
      <w:r>
        <w:rPr>
          <w:rStyle w:val="50"/>
          <w:rFonts w:hint="eastAsia" w:ascii="宋体" w:hAnsi="宋体"/>
          <w:color w:val="auto"/>
          <w:sz w:val="24"/>
          <w:szCs w:val="24"/>
          <w:lang w:val="en-US" w:eastAsia="zh-CN"/>
        </w:rPr>
        <w:t>qq</w:t>
      </w:r>
      <w:r>
        <w:rPr>
          <w:rStyle w:val="50"/>
          <w:rFonts w:hint="eastAsia" w:ascii="宋体" w:hAnsi="宋体"/>
          <w:color w:val="auto"/>
          <w:sz w:val="24"/>
          <w:szCs w:val="24"/>
        </w:rPr>
        <w:t>.com</w:t>
      </w:r>
      <w:r>
        <w:fldChar w:fldCharType="end"/>
      </w:r>
      <w:r>
        <w:rPr>
          <w:rFonts w:hint="eastAsia" w:ascii="宋体" w:hAnsi="宋体"/>
          <w:sz w:val="24"/>
          <w:szCs w:val="24"/>
        </w:rPr>
        <w:t>，联系电话0477-</w:t>
      </w:r>
      <w:r>
        <w:rPr>
          <w:rFonts w:hint="eastAsia" w:ascii="宋体" w:hAnsi="宋体"/>
          <w:sz w:val="24"/>
          <w:szCs w:val="24"/>
          <w:lang w:val="en-US" w:eastAsia="zh-CN"/>
        </w:rPr>
        <w:t>3864232</w:t>
      </w:r>
      <w:r>
        <w:rPr>
          <w:rFonts w:hint="eastAsia" w:ascii="宋体" w:hAnsi="宋体"/>
          <w:sz w:val="24"/>
          <w:szCs w:val="24"/>
        </w:rPr>
        <w:t>），并在邮件标题注明项目名称及成交单位名称。</w:t>
      </w:r>
    </w:p>
    <w:p>
      <w:pPr>
        <w:spacing w:line="360" w:lineRule="auto"/>
        <w:ind w:firstLine="482" w:firstLineChars="200"/>
        <w:rPr>
          <w:rFonts w:ascii="宋体" w:hAnsi="宋体"/>
          <w:b/>
          <w:sz w:val="24"/>
          <w:szCs w:val="24"/>
        </w:rPr>
      </w:pPr>
      <w:r>
        <w:rPr>
          <w:rFonts w:hint="eastAsia" w:ascii="宋体" w:hAnsi="宋体"/>
          <w:b/>
          <w:sz w:val="24"/>
          <w:szCs w:val="24"/>
        </w:rPr>
        <w:t>八.成交通知书发放</w:t>
      </w:r>
    </w:p>
    <w:p>
      <w:pPr>
        <w:spacing w:line="360" w:lineRule="auto"/>
        <w:ind w:firstLine="480" w:firstLineChars="200"/>
        <w:rPr>
          <w:rFonts w:ascii="宋体" w:hAnsi="宋体"/>
          <w:sz w:val="24"/>
          <w:szCs w:val="24"/>
        </w:rPr>
      </w:pPr>
      <w:r>
        <w:rPr>
          <w:rFonts w:hint="eastAsia" w:ascii="宋体" w:hAnsi="宋体"/>
          <w:sz w:val="24"/>
          <w:szCs w:val="24"/>
          <w:lang w:eastAsia="zh-CN"/>
        </w:rPr>
        <w:t>交易中心</w:t>
      </w:r>
      <w:r>
        <w:rPr>
          <w:rFonts w:hint="eastAsia" w:ascii="宋体" w:hAnsi="宋体"/>
          <w:sz w:val="24"/>
          <w:szCs w:val="24"/>
        </w:rPr>
        <w:t>以书面形式向成交供应商发出成交通知书，</w:t>
      </w:r>
      <w:r>
        <w:rPr>
          <w:rFonts w:ascii="宋体" w:hAnsi="宋体"/>
          <w:sz w:val="24"/>
          <w:szCs w:val="24"/>
        </w:rPr>
        <w:t>成交通知书是合同的组成部分</w:t>
      </w:r>
      <w:r>
        <w:rPr>
          <w:rFonts w:hint="eastAsia" w:ascii="宋体" w:hAnsi="宋体"/>
          <w:sz w:val="24"/>
          <w:szCs w:val="24"/>
        </w:rPr>
        <w:t>，成交通知书对采购人和成交供应商具有同等法律效力。</w:t>
      </w:r>
    </w:p>
    <w:p>
      <w:pPr>
        <w:spacing w:line="360" w:lineRule="auto"/>
        <w:ind w:firstLine="480" w:firstLineChars="200"/>
        <w:rPr>
          <w:rFonts w:ascii="宋体" w:hAnsi="宋体"/>
          <w:sz w:val="24"/>
          <w:szCs w:val="24"/>
        </w:rPr>
      </w:pPr>
      <w:r>
        <w:rPr>
          <w:rFonts w:hint="eastAsia" w:ascii="宋体" w:hAnsi="宋体"/>
          <w:sz w:val="24"/>
          <w:szCs w:val="24"/>
        </w:rPr>
        <w:t>成交供应商须持法定代表人授权委托书及本人身份证至</w:t>
      </w:r>
      <w:r>
        <w:rPr>
          <w:rFonts w:hint="eastAsia" w:ascii="宋体" w:hAnsi="宋体"/>
          <w:sz w:val="24"/>
          <w:szCs w:val="24"/>
          <w:lang w:eastAsia="zh-CN"/>
        </w:rPr>
        <w:t>鄂尔多斯市准格尔旗公共资源交易中心</w:t>
      </w:r>
      <w:r>
        <w:rPr>
          <w:rFonts w:hint="eastAsia" w:ascii="宋体" w:hAnsi="宋体"/>
          <w:sz w:val="24"/>
          <w:szCs w:val="24"/>
        </w:rPr>
        <w:t>领取。</w:t>
      </w:r>
    </w:p>
    <w:p>
      <w:pPr>
        <w:spacing w:line="360" w:lineRule="auto"/>
        <w:ind w:firstLine="480" w:firstLineChars="200"/>
        <w:rPr>
          <w:rFonts w:ascii="宋体" w:hAnsi="宋体"/>
          <w:sz w:val="24"/>
          <w:szCs w:val="24"/>
        </w:rPr>
      </w:pPr>
    </w:p>
    <w:bookmarkEnd w:id="2"/>
    <w:bookmarkEnd w:id="3"/>
    <w:p>
      <w:pPr>
        <w:pStyle w:val="40"/>
        <w:spacing w:line="360" w:lineRule="auto"/>
        <w:rPr>
          <w:rFonts w:ascii="宋体" w:hAnsi="宋体" w:eastAsia="宋体" w:cs="宋体"/>
          <w:sz w:val="24"/>
          <w:szCs w:val="24"/>
        </w:rPr>
      </w:pPr>
      <w:bookmarkStart w:id="6" w:name="_Toc447030612"/>
      <w:r>
        <w:rPr>
          <w:rFonts w:ascii="宋体" w:hAnsi="宋体" w:eastAsia="宋体" w:cs="宋体"/>
          <w:sz w:val="24"/>
          <w:szCs w:val="24"/>
        </w:rPr>
        <w:br w:type="page"/>
      </w:r>
      <w:bookmarkEnd w:id="6"/>
      <w:bookmarkStart w:id="7" w:name="_Toc497726800"/>
      <w:bookmarkStart w:id="8" w:name="_Toc494546020"/>
      <w:r>
        <w:rPr>
          <w:rFonts w:hint="eastAsia" w:ascii="宋体" w:hAnsi="宋体" w:eastAsia="宋体"/>
          <w:color w:val="000000"/>
          <w:sz w:val="24"/>
          <w:szCs w:val="24"/>
        </w:rPr>
        <w:t>第三章 合同与验收</w:t>
      </w:r>
      <w:bookmarkEnd w:id="7"/>
      <w:bookmarkEnd w:id="8"/>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1.1采购人应当自中标通知书发出之日起30日内，按照单一来源文件和中标人响应文件的规定，与中标人签订书面合同。所签订的合同不得对单一来源文件确定的事项和中标人响应文件作实质性修改。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2" w:firstLineChars="200"/>
        <w:rPr>
          <w:rFonts w:ascii="宋体" w:hAnsi="宋体"/>
          <w:b/>
          <w:bCs/>
          <w:sz w:val="24"/>
          <w:szCs w:val="24"/>
        </w:rPr>
      </w:pPr>
      <w:r>
        <w:rPr>
          <w:rFonts w:hint="eastAsia" w:ascii="宋体" w:hAnsi="宋体"/>
          <w:b/>
          <w:bCs/>
          <w:sz w:val="24"/>
          <w:szCs w:val="24"/>
        </w:rPr>
        <w:t>自合同签订之日起2个工作日内，中标人应将政府采购合同送达至交易中心</w:t>
      </w:r>
      <w:r>
        <w:rPr>
          <w:rFonts w:hint="eastAsia" w:ascii="宋体" w:hAnsi="宋体"/>
          <w:b/>
          <w:bCs/>
          <w:sz w:val="24"/>
          <w:szCs w:val="24"/>
          <w:lang w:val="en-US" w:eastAsia="zh-CN"/>
        </w:rPr>
        <w:t>305</w:t>
      </w:r>
      <w:r>
        <w:rPr>
          <w:rFonts w:hint="eastAsia" w:ascii="宋体" w:hAnsi="宋体"/>
          <w:b/>
          <w:bCs/>
          <w:sz w:val="24"/>
          <w:szCs w:val="24"/>
        </w:rPr>
        <w:t>室（联系电话：0477-</w:t>
      </w:r>
      <w:r>
        <w:rPr>
          <w:rFonts w:hint="eastAsia" w:ascii="宋体" w:hAnsi="宋体"/>
          <w:b/>
          <w:bCs/>
          <w:sz w:val="24"/>
          <w:szCs w:val="24"/>
          <w:lang w:val="en-US" w:eastAsia="zh-CN"/>
        </w:rPr>
        <w:t>3864232</w:t>
      </w:r>
      <w:r>
        <w:rPr>
          <w:rFonts w:hint="eastAsia" w:ascii="宋体" w:hAnsi="宋体"/>
          <w:b/>
          <w:bCs/>
          <w:sz w:val="24"/>
          <w:szCs w:val="24"/>
        </w:rPr>
        <w:t>）存档，逾期未签订合同或未按时交回合同，将按照相关法律法规做出相应处罚。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2.1具体格式见本单一来源文件后附拟签订的《合同文本》（部分合同条款），响应文件中可以不提供《合同文本》。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b/>
          <w:bCs/>
          <w:sz w:val="24"/>
          <w:szCs w:val="24"/>
        </w:rPr>
      </w:pPr>
      <w:r>
        <w:rPr>
          <w:rFonts w:hint="eastAsia" w:ascii="宋体" w:hAnsi="宋体"/>
          <w:sz w:val="24"/>
          <w:szCs w:val="24"/>
        </w:rPr>
        <w:t>中标人在供货、工程竣工或服务结束后，采购人应及时组织验收，并按照单一来源文件、响应文件及合同约定填写验收单（下载地址：鄂尔多斯市公共资源交易网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w:t>
      </w:r>
      <w:r>
        <w:rPr>
          <w:rFonts w:hint="eastAsia" w:ascii="宋体" w:hAnsi="宋体"/>
          <w:b/>
          <w:bCs/>
          <w:sz w:val="24"/>
          <w:szCs w:val="24"/>
        </w:rPr>
        <w:t>验收合格后2个工作日内，中标人应将政府采购项目验收单送达至</w:t>
      </w:r>
      <w:r>
        <w:rPr>
          <w:rFonts w:hint="eastAsia" w:ascii="宋体" w:hAnsi="宋体"/>
          <w:b/>
          <w:bCs/>
          <w:sz w:val="24"/>
          <w:szCs w:val="24"/>
          <w:lang w:eastAsia="zh-CN"/>
        </w:rPr>
        <w:t>鄂尔多斯</w:t>
      </w:r>
      <w:r>
        <w:rPr>
          <w:rFonts w:hint="eastAsia" w:ascii="宋体" w:hAnsi="宋体"/>
          <w:b/>
          <w:bCs/>
          <w:sz w:val="24"/>
          <w:szCs w:val="24"/>
        </w:rPr>
        <w:t>市</w:t>
      </w:r>
      <w:r>
        <w:rPr>
          <w:rFonts w:hint="eastAsia" w:ascii="宋体" w:hAnsi="宋体"/>
          <w:b/>
          <w:bCs/>
          <w:sz w:val="24"/>
          <w:szCs w:val="24"/>
          <w:lang w:eastAsia="zh-CN"/>
        </w:rPr>
        <w:t>准格尔旗</w:t>
      </w:r>
      <w:r>
        <w:rPr>
          <w:rFonts w:hint="eastAsia" w:ascii="宋体" w:hAnsi="宋体"/>
          <w:b/>
          <w:bCs/>
          <w:sz w:val="24"/>
          <w:szCs w:val="24"/>
        </w:rPr>
        <w:t>公共资源交易中心</w:t>
      </w:r>
      <w:r>
        <w:rPr>
          <w:rFonts w:hint="eastAsia" w:ascii="宋体" w:hAnsi="宋体"/>
          <w:b/>
          <w:bCs/>
          <w:sz w:val="24"/>
          <w:szCs w:val="24"/>
          <w:lang w:val="en-US" w:eastAsia="zh-CN"/>
        </w:rPr>
        <w:t>305</w:t>
      </w:r>
      <w:r>
        <w:rPr>
          <w:rFonts w:hint="eastAsia" w:ascii="宋体" w:hAnsi="宋体"/>
          <w:b/>
          <w:bCs/>
          <w:sz w:val="24"/>
          <w:szCs w:val="24"/>
        </w:rPr>
        <w:t>室（联系电话：0477-</w:t>
      </w:r>
      <w:r>
        <w:rPr>
          <w:rFonts w:hint="eastAsia" w:ascii="宋体" w:hAnsi="宋体"/>
          <w:b/>
          <w:bCs/>
          <w:sz w:val="24"/>
          <w:szCs w:val="24"/>
          <w:lang w:val="en-US" w:eastAsia="zh-CN"/>
        </w:rPr>
        <w:t>3864232</w:t>
      </w:r>
      <w:r>
        <w:rPr>
          <w:rFonts w:hint="eastAsia" w:ascii="宋体" w:hAnsi="宋体"/>
          <w:b/>
          <w:bCs/>
          <w:sz w:val="24"/>
          <w:szCs w:val="24"/>
        </w:rPr>
        <w:t>）存档。逾期未验收或未按时交回验收单，将按照相关法律法规做出相应处罚。</w:t>
      </w:r>
    </w:p>
    <w:p>
      <w:pPr>
        <w:jc w:val="center"/>
        <w:rPr>
          <w:rFonts w:ascii="宋体" w:hAnsi="宋体"/>
          <w:b/>
          <w:bCs/>
          <w:color w:val="000000"/>
          <w:kern w:val="44"/>
          <w:sz w:val="24"/>
          <w:szCs w:val="24"/>
          <w:lang w:val="zh-CN" w:eastAsia="zh-CN"/>
        </w:rPr>
      </w:pPr>
      <w:r>
        <w:rPr>
          <w:rFonts w:ascii="宋体" w:hAnsi="宋体"/>
          <w:b/>
          <w:bCs/>
          <w:color w:val="000000"/>
          <w:kern w:val="44"/>
          <w:sz w:val="24"/>
          <w:szCs w:val="24"/>
          <w:lang w:val="zh-CN" w:eastAsia="zh-CN"/>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甲方：</w:t>
      </w:r>
      <w:r>
        <w:rPr>
          <w:rFonts w:hint="eastAsia" w:asciiTheme="minorEastAsia" w:hAnsiTheme="minorEastAsia" w:eastAsiaTheme="minorEastAsia"/>
          <w:b/>
          <w:color w:val="FF0000"/>
          <w:sz w:val="24"/>
          <w:szCs w:val="24"/>
        </w:rPr>
        <w:t>***（填写采购单位）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乙方：</w:t>
      </w:r>
      <w:r>
        <w:rPr>
          <w:rFonts w:hint="eastAsia" w:asciiTheme="minorEastAsia" w:hAnsiTheme="minorEastAsia" w:eastAsiaTheme="minorEastAsia"/>
          <w:b/>
          <w:color w:val="FF0000"/>
          <w:sz w:val="24"/>
          <w:szCs w:val="24"/>
        </w:rPr>
        <w:t>***（填写中标供应商）</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3、招标文件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4、投标文件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二、本合同所提供的服务以招标文件、投标文件要求的相关服务要求为主。后附主要服务内容清单。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color w:val="FF6600"/>
          <w:sz w:val="24"/>
          <w:szCs w:val="24"/>
        </w:rPr>
        <w:t>***（见招标文件第四章）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五、提供服务时间、地点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1、服务期限：</w:t>
      </w:r>
      <w:r>
        <w:rPr>
          <w:rFonts w:asciiTheme="minorEastAsia" w:hAnsiTheme="minorEastAsia" w:eastAsiaTheme="minorEastAsia"/>
          <w:sz w:val="24"/>
          <w:szCs w:val="24"/>
        </w:rPr>
        <w:t xml:space="preserve"> </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2、服务地点：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1、由甲乙双方及第三方（如有）按照招标文件、投标文件及合同要求，一同对服务内容验收并签字确认。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2、验收不合格的甲方可以解除合同且不承担任何法律责任。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八、服务方案</w:t>
      </w:r>
    </w:p>
    <w:p>
      <w:pPr>
        <w:spacing w:line="15" w:lineRule="atLeast"/>
        <w:ind w:firstLine="720" w:firstLineChars="3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乙方应按招标文件、投标文件中做出的书面说明或承诺提供服务。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1、乙方逾期提供服务、甲方逾期付款，按日承担违约部分合同金额的违约金。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1、提交仲裁委员会仲裁。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2、向人民法院起诉。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合同文本一式五份，采购单位、供应商、政府采购监管部门、市</w:t>
      </w:r>
      <w:r>
        <w:rPr>
          <w:rFonts w:hint="eastAsia" w:asciiTheme="minorEastAsia" w:hAnsiTheme="minorEastAsia" w:eastAsiaTheme="minorEastAsia"/>
          <w:sz w:val="24"/>
          <w:szCs w:val="24"/>
          <w:lang w:eastAsia="zh-CN"/>
        </w:rPr>
        <w:t>交易中心</w:t>
      </w:r>
      <w:r>
        <w:rPr>
          <w:rFonts w:hint="eastAsia" w:asciiTheme="minorEastAsia" w:hAnsiTheme="minorEastAsia" w:eastAsiaTheme="minorEastAsia"/>
          <w:sz w:val="24"/>
          <w:szCs w:val="24"/>
        </w:rPr>
        <w:t>、国库支付执行机构各一份，自双方签订之日起生效。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供应商法人代表：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附表：服务内容</w:t>
      </w:r>
    </w:p>
    <w:tbl>
      <w:tblPr>
        <w:tblStyle w:val="43"/>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9"/>
        <w:gridCol w:w="2072"/>
        <w:gridCol w:w="1354"/>
        <w:gridCol w:w="1090"/>
        <w:gridCol w:w="1092"/>
        <w:gridCol w:w="1419"/>
        <w:gridCol w:w="10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序号</w:t>
            </w:r>
          </w:p>
        </w:tc>
        <w:tc>
          <w:tcPr>
            <w:tcW w:w="2072"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服务内容名称</w:t>
            </w:r>
          </w:p>
        </w:tc>
        <w:tc>
          <w:tcPr>
            <w:tcW w:w="1354"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服务内容简述</w:t>
            </w:r>
          </w:p>
        </w:tc>
        <w:tc>
          <w:tcPr>
            <w:tcW w:w="1090"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数量及单位</w:t>
            </w:r>
          </w:p>
        </w:tc>
        <w:tc>
          <w:tcPr>
            <w:tcW w:w="1092"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单价（元）</w:t>
            </w:r>
          </w:p>
        </w:tc>
        <w:tc>
          <w:tcPr>
            <w:tcW w:w="1419"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总价（元）</w:t>
            </w:r>
          </w:p>
        </w:tc>
        <w:tc>
          <w:tcPr>
            <w:tcW w:w="1082"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1</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2</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3</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4</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hint="eastAsia" w:ascii="宋体" w:hAnsi="宋体" w:cs="宋体"/>
                <w:sz w:val="24"/>
                <w:szCs w:val="24"/>
              </w:rPr>
              <w:t>…</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bottom w:val="single" w:color="auto" w:sz="4" w:space="0"/>
            </w:tcBorders>
            <w:vAlign w:val="center"/>
          </w:tcPr>
          <w:p>
            <w:pPr>
              <w:adjustRightInd w:val="0"/>
              <w:snapToGrid w:val="0"/>
              <w:spacing w:line="360" w:lineRule="auto"/>
              <w:ind w:left="-118" w:leftChars="-42"/>
              <w:jc w:val="center"/>
              <w:rPr>
                <w:rFonts w:ascii="宋体"/>
                <w:sz w:val="24"/>
                <w:szCs w:val="24"/>
              </w:rPr>
            </w:pPr>
            <w:r>
              <w:rPr>
                <w:rFonts w:hint="eastAsia" w:ascii="宋体" w:hAnsi="宋体" w:cs="宋体"/>
                <w:sz w:val="24"/>
                <w:szCs w:val="24"/>
              </w:rPr>
              <w:t>合计</w:t>
            </w:r>
          </w:p>
        </w:tc>
        <w:tc>
          <w:tcPr>
            <w:tcW w:w="207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r>
    </w:tbl>
    <w:p>
      <w:pPr>
        <w:jc w:val="left"/>
        <w:rPr>
          <w:rFonts w:ascii="宋体" w:hAnsi="宋体"/>
          <w:b/>
          <w:bCs/>
          <w:color w:val="000000"/>
          <w:kern w:val="44"/>
          <w:sz w:val="24"/>
          <w:szCs w:val="24"/>
        </w:rPr>
      </w:pPr>
    </w:p>
    <w:p>
      <w:pPr>
        <w:widowControl/>
        <w:jc w:val="left"/>
        <w:rPr>
          <w:rFonts w:ascii="宋体" w:hAnsi="宋体"/>
          <w:b/>
          <w:bCs/>
          <w:color w:val="000000"/>
          <w:kern w:val="44"/>
          <w:sz w:val="24"/>
          <w:szCs w:val="24"/>
        </w:rPr>
      </w:pPr>
      <w:r>
        <w:rPr>
          <w:rFonts w:ascii="宋体" w:hAnsi="宋体"/>
          <w:b/>
          <w:bCs/>
          <w:color w:val="000000"/>
          <w:kern w:val="44"/>
          <w:sz w:val="24"/>
          <w:szCs w:val="24"/>
        </w:rPr>
        <w:br w:type="page"/>
      </w:r>
    </w:p>
    <w:p>
      <w:pPr>
        <w:pStyle w:val="2"/>
        <w:keepNext w:val="0"/>
        <w:keepLines w:val="0"/>
        <w:spacing w:line="360" w:lineRule="auto"/>
        <w:rPr>
          <w:rFonts w:ascii="宋体" w:hAnsi="宋体"/>
          <w:color w:val="000000"/>
          <w:sz w:val="24"/>
          <w:szCs w:val="24"/>
        </w:rPr>
      </w:pPr>
      <w:bookmarkStart w:id="9" w:name="_Toc497726801"/>
      <w:r>
        <w:rPr>
          <w:rFonts w:hint="eastAsia" w:ascii="宋体" w:hAnsi="宋体"/>
          <w:color w:val="000000"/>
          <w:sz w:val="24"/>
          <w:szCs w:val="24"/>
        </w:rPr>
        <w:t>第四章 单一来源内容与技术要求</w:t>
      </w:r>
      <w:bookmarkEnd w:id="9"/>
    </w:p>
    <w:p>
      <w:pPr>
        <w:pStyle w:val="67"/>
        <w:autoSpaceDE w:val="0"/>
        <w:autoSpaceDN w:val="0"/>
        <w:adjustRightInd w:val="0"/>
        <w:spacing w:line="360" w:lineRule="auto"/>
        <w:ind w:left="420" w:firstLine="0" w:firstLineChars="0"/>
        <w:jc w:val="left"/>
        <w:rPr>
          <w:rFonts w:hint="eastAsia" w:ascii="宋体" w:hAnsi="宋体" w:eastAsia="宋体" w:cs="宋体"/>
          <w:kern w:val="0"/>
          <w:sz w:val="24"/>
          <w:szCs w:val="24"/>
          <w:lang w:val="en-US" w:eastAsia="zh-CN" w:bidi="ar-SA"/>
        </w:rPr>
      </w:pPr>
      <w:bookmarkStart w:id="10" w:name="_Toc397088603"/>
      <w:bookmarkStart w:id="11" w:name="_Toc303801500"/>
      <w:r>
        <w:rPr>
          <w:rFonts w:hint="eastAsia" w:ascii="宋体" w:hAnsi="宋体" w:eastAsia="宋体" w:cs="宋体"/>
          <w:kern w:val="0"/>
          <w:sz w:val="24"/>
          <w:szCs w:val="24"/>
          <w:lang w:val="en-US" w:eastAsia="zh-CN" w:bidi="ar-SA"/>
        </w:rPr>
        <w:t xml:space="preserve"> 一.主要商务要求</w:t>
      </w:r>
    </w:p>
    <w:tbl>
      <w:tblPr>
        <w:tblStyle w:val="4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64" w:type="dxa"/>
            <w:vAlign w:val="center"/>
          </w:tcPr>
          <w:p>
            <w:pPr>
              <w:pStyle w:val="67"/>
              <w:ind w:firstLine="0" w:firstLineChars="0"/>
              <w:jc w:val="center"/>
              <w:rPr>
                <w:rFonts w:ascii="宋体" w:hAnsi="宋体"/>
                <w:kern w:val="0"/>
                <w:sz w:val="24"/>
                <w:szCs w:val="24"/>
              </w:rPr>
            </w:pPr>
            <w:bookmarkStart w:id="12" w:name="_Toc491862079"/>
            <w:r>
              <w:rPr>
                <w:rFonts w:hint="eastAsia" w:ascii="宋体" w:hAnsi="宋体"/>
                <w:kern w:val="0"/>
                <w:sz w:val="24"/>
                <w:szCs w:val="24"/>
              </w:rPr>
              <w:t xml:space="preserve">   主要商务条款</w:t>
            </w:r>
            <w:bookmarkEnd w:id="12"/>
          </w:p>
        </w:tc>
        <w:tc>
          <w:tcPr>
            <w:tcW w:w="6158" w:type="dxa"/>
            <w:vAlign w:val="center"/>
          </w:tcPr>
          <w:p>
            <w:pPr>
              <w:pStyle w:val="67"/>
              <w:ind w:firstLine="0" w:firstLineChars="0"/>
              <w:jc w:val="center"/>
              <w:rPr>
                <w:rFonts w:ascii="宋体" w:hAnsi="宋体"/>
                <w:kern w:val="0"/>
                <w:sz w:val="24"/>
                <w:szCs w:val="24"/>
              </w:rPr>
            </w:pPr>
            <w:bookmarkStart w:id="13" w:name="_Toc491862080"/>
            <w:r>
              <w:rPr>
                <w:rFonts w:hint="eastAsia" w:ascii="宋体" w:hAnsi="宋体"/>
                <w:kern w:val="0"/>
                <w:sz w:val="24"/>
                <w:szCs w:val="24"/>
              </w:rPr>
              <w:t>具体要求</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64" w:type="dxa"/>
            <w:vAlign w:val="center"/>
          </w:tcPr>
          <w:p>
            <w:pPr>
              <w:pStyle w:val="67"/>
              <w:ind w:firstLine="0" w:firstLineChars="0"/>
              <w:jc w:val="center"/>
              <w:rPr>
                <w:rFonts w:ascii="宋体" w:hAnsi="宋体"/>
                <w:kern w:val="0"/>
                <w:sz w:val="24"/>
                <w:szCs w:val="24"/>
              </w:rPr>
            </w:pPr>
            <w:bookmarkStart w:id="14" w:name="_Toc491862082"/>
            <w:r>
              <w:rPr>
                <w:rFonts w:hint="eastAsia" w:ascii="宋体" w:hAnsi="宋体"/>
                <w:kern w:val="0"/>
                <w:sz w:val="24"/>
                <w:szCs w:val="24"/>
              </w:rPr>
              <w:t xml:space="preserve">  采购预算</w:t>
            </w:r>
            <w:bookmarkEnd w:id="14"/>
          </w:p>
        </w:tc>
        <w:tc>
          <w:tcPr>
            <w:tcW w:w="6158" w:type="dxa"/>
            <w:vAlign w:val="center"/>
          </w:tcPr>
          <w:p>
            <w:pPr>
              <w:ind w:firstLine="480" w:firstLineChars="200"/>
              <w:rPr>
                <w:rFonts w:ascii="宋体" w:hAnsi="宋体" w:eastAsia="宋体" w:cs="Times New Roman"/>
                <w:kern w:val="0"/>
                <w:sz w:val="24"/>
                <w:szCs w:val="24"/>
              </w:rPr>
            </w:pPr>
            <w:bookmarkStart w:id="15" w:name="_Toc491862083"/>
            <w:r>
              <w:rPr>
                <w:rFonts w:hint="eastAsia" w:ascii="宋体" w:hAnsi="宋体" w:cs="Times New Roman"/>
                <w:kern w:val="0"/>
                <w:sz w:val="24"/>
                <w:szCs w:val="24"/>
                <w:lang w:val="en-US" w:eastAsia="zh-CN"/>
              </w:rPr>
              <w:t>1990000</w:t>
            </w:r>
            <w:r>
              <w:rPr>
                <w:rFonts w:hint="eastAsia" w:ascii="宋体" w:hAnsi="宋体" w:eastAsia="宋体" w:cs="Times New Roman"/>
                <w:kern w:val="0"/>
                <w:sz w:val="24"/>
                <w:szCs w:val="24"/>
              </w:rPr>
              <w:t>元</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64" w:type="dxa"/>
            <w:vAlign w:val="center"/>
          </w:tcPr>
          <w:p>
            <w:pPr>
              <w:spacing w:line="360" w:lineRule="auto"/>
              <w:jc w:val="center"/>
              <w:rPr>
                <w:rFonts w:hint="eastAsia" w:ascii="宋体" w:hAnsi="宋体" w:eastAsia="宋体" w:cs="Times New Roman"/>
                <w:kern w:val="0"/>
                <w:sz w:val="24"/>
                <w:szCs w:val="24"/>
                <w:lang w:eastAsia="zh-CN"/>
              </w:rPr>
            </w:pPr>
            <w:r>
              <w:rPr>
                <w:rFonts w:hint="eastAsia" w:ascii="宋体" w:hAnsi="宋体" w:cs="Times New Roman"/>
                <w:kern w:val="0"/>
                <w:sz w:val="24"/>
                <w:szCs w:val="24"/>
                <w:lang w:eastAsia="zh-CN"/>
              </w:rPr>
              <w:t>服务旗</w:t>
            </w:r>
          </w:p>
        </w:tc>
        <w:tc>
          <w:tcPr>
            <w:tcW w:w="6158" w:type="dxa"/>
            <w:vAlign w:val="center"/>
          </w:tcPr>
          <w:p>
            <w:pPr>
              <w:spacing w:line="360" w:lineRule="auto"/>
              <w:rPr>
                <w:rFonts w:hint="default" w:ascii="宋体" w:hAnsi="宋体" w:eastAsia="宋体" w:cs="Times New Roman"/>
                <w:kern w:val="0"/>
                <w:sz w:val="24"/>
                <w:szCs w:val="24"/>
                <w:lang w:val="en-US" w:eastAsia="zh-CN"/>
              </w:rPr>
            </w:pPr>
            <w:r>
              <w:rPr>
                <w:rFonts w:hint="eastAsia" w:ascii="宋体" w:hAnsi="宋体" w:cs="Times New Roman"/>
                <w:kern w:val="0"/>
                <w:sz w:val="24"/>
                <w:szCs w:val="24"/>
                <w:lang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64" w:type="dxa"/>
            <w:vAlign w:val="center"/>
          </w:tcPr>
          <w:p>
            <w:pPr>
              <w:pStyle w:val="67"/>
              <w:ind w:firstLine="0" w:firstLineChars="0"/>
              <w:jc w:val="center"/>
              <w:rPr>
                <w:rFonts w:ascii="宋体" w:hAnsi="宋体"/>
                <w:kern w:val="0"/>
                <w:sz w:val="24"/>
                <w:szCs w:val="24"/>
              </w:rPr>
            </w:pPr>
            <w:bookmarkStart w:id="16" w:name="_Toc491862089"/>
            <w:r>
              <w:rPr>
                <w:rFonts w:hint="eastAsia" w:ascii="宋体" w:hAnsi="宋体"/>
                <w:kern w:val="0"/>
                <w:sz w:val="24"/>
                <w:szCs w:val="24"/>
              </w:rPr>
              <w:t>交付使用地点</w:t>
            </w:r>
            <w:bookmarkEnd w:id="16"/>
          </w:p>
        </w:tc>
        <w:tc>
          <w:tcPr>
            <w:tcW w:w="6158" w:type="dxa"/>
            <w:vAlign w:val="center"/>
          </w:tcPr>
          <w:p>
            <w:pPr>
              <w:pStyle w:val="67"/>
              <w:ind w:firstLine="0" w:firstLineChars="0"/>
              <w:rPr>
                <w:rFonts w:ascii="宋体" w:hAnsi="宋体"/>
                <w:kern w:val="0"/>
                <w:sz w:val="24"/>
                <w:szCs w:val="24"/>
              </w:rPr>
            </w:pPr>
            <w:bookmarkStart w:id="17" w:name="_Toc491862090"/>
            <w:r>
              <w:rPr>
                <w:rFonts w:hint="eastAsia" w:ascii="宋体" w:hAnsi="宋体"/>
                <w:kern w:val="0"/>
                <w:sz w:val="24"/>
                <w:szCs w:val="24"/>
              </w:rPr>
              <w:t>采购人指定地点。</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64" w:type="dxa"/>
            <w:vAlign w:val="center"/>
          </w:tcPr>
          <w:p>
            <w:pPr>
              <w:pStyle w:val="67"/>
              <w:ind w:firstLine="0" w:firstLineChars="0"/>
              <w:jc w:val="center"/>
              <w:rPr>
                <w:rFonts w:ascii="宋体" w:hAnsi="宋体"/>
                <w:kern w:val="0"/>
                <w:sz w:val="24"/>
                <w:szCs w:val="24"/>
              </w:rPr>
            </w:pPr>
            <w:r>
              <w:rPr>
                <w:rFonts w:hint="eastAsia" w:ascii="宋体" w:hAnsi="宋体"/>
                <w:kern w:val="0"/>
                <w:sz w:val="24"/>
                <w:szCs w:val="24"/>
              </w:rPr>
              <w:t>投标有效期</w:t>
            </w:r>
          </w:p>
        </w:tc>
        <w:tc>
          <w:tcPr>
            <w:tcW w:w="6158" w:type="dxa"/>
            <w:vAlign w:val="center"/>
          </w:tcPr>
          <w:p>
            <w:pPr>
              <w:pStyle w:val="67"/>
              <w:ind w:firstLine="0" w:firstLineChars="0"/>
              <w:rPr>
                <w:rFonts w:ascii="宋体" w:hAnsi="宋体"/>
                <w:kern w:val="0"/>
                <w:sz w:val="24"/>
                <w:szCs w:val="24"/>
              </w:rPr>
            </w:pPr>
            <w:r>
              <w:rPr>
                <w:rFonts w:hint="eastAsia" w:ascii="宋体" w:hAnsi="宋体"/>
                <w:kern w:val="0"/>
                <w:sz w:val="24"/>
                <w:szCs w:val="24"/>
              </w:rPr>
              <w:t>从提交响应文件的截止之日起</w:t>
            </w:r>
            <w:r>
              <w:rPr>
                <w:rFonts w:hint="eastAsia" w:ascii="宋体" w:hAnsi="宋体"/>
                <w:kern w:val="0"/>
                <w:sz w:val="24"/>
                <w:szCs w:val="24"/>
                <w:u w:val="single"/>
              </w:rPr>
              <w:t>90</w:t>
            </w:r>
            <w:r>
              <w:rPr>
                <w:rFonts w:hint="eastAsia" w:ascii="宋体" w:hAnsi="宋体"/>
                <w:kern w:val="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364" w:type="dxa"/>
            <w:vAlign w:val="center"/>
          </w:tcPr>
          <w:p>
            <w:pPr>
              <w:pStyle w:val="67"/>
              <w:ind w:firstLine="0" w:firstLineChars="0"/>
              <w:jc w:val="center"/>
              <w:rPr>
                <w:rFonts w:ascii="宋体" w:hAnsi="宋体"/>
                <w:kern w:val="0"/>
                <w:sz w:val="24"/>
                <w:szCs w:val="24"/>
              </w:rPr>
            </w:pPr>
            <w:bookmarkStart w:id="18" w:name="_Toc491862095"/>
            <w:r>
              <w:rPr>
                <w:rFonts w:hint="eastAsia" w:ascii="宋体" w:hAnsi="宋体"/>
                <w:kern w:val="0"/>
                <w:sz w:val="24"/>
                <w:szCs w:val="24"/>
              </w:rPr>
              <w:t>付款方式</w:t>
            </w:r>
            <w:bookmarkEnd w:id="18"/>
          </w:p>
        </w:tc>
        <w:tc>
          <w:tcPr>
            <w:tcW w:w="6158" w:type="dxa"/>
            <w:vAlign w:val="center"/>
          </w:tcPr>
          <w:p>
            <w:pPr>
              <w:pStyle w:val="67"/>
              <w:ind w:firstLine="0" w:firstLineChars="0"/>
              <w:rPr>
                <w:rFonts w:hint="default" w:ascii="宋体" w:hAnsi="宋体" w:eastAsia="宋体"/>
                <w:kern w:val="0"/>
                <w:sz w:val="24"/>
                <w:szCs w:val="24"/>
                <w:lang w:val="en-US" w:eastAsia="zh-CN"/>
              </w:rPr>
            </w:pPr>
            <w:r>
              <w:rPr>
                <w:rFonts w:hint="eastAsia" w:ascii="宋体" w:hAnsi="宋体"/>
                <w:kern w:val="0"/>
                <w:sz w:val="24"/>
                <w:szCs w:val="24"/>
                <w:lang w:eastAsia="zh-CN"/>
              </w:rPr>
              <w:t>合同签订后</w:t>
            </w:r>
            <w:r>
              <w:rPr>
                <w:rFonts w:hint="eastAsia" w:ascii="宋体" w:hAnsi="宋体"/>
                <w:kern w:val="0"/>
                <w:sz w:val="24"/>
                <w:szCs w:val="24"/>
                <w:lang w:val="en-US" w:eastAsia="zh-CN"/>
              </w:rPr>
              <w:t>5个工作日内付全款的50%，首演出结束后5个工作日内付清剩余50%合同款</w:t>
            </w:r>
            <w:r>
              <w:rPr>
                <w:rFonts w:hint="eastAsia" w:ascii="宋体" w:hAnsi="宋体"/>
                <w:kern w:val="0"/>
                <w:sz w:val="24"/>
                <w:szCs w:val="24"/>
                <w:lang w:eastAsia="zh-CN"/>
              </w:rPr>
              <w:t>。</w:t>
            </w:r>
          </w:p>
        </w:tc>
      </w:tr>
    </w:tbl>
    <w:p>
      <w:pPr>
        <w:spacing w:line="360" w:lineRule="auto"/>
        <w:jc w:val="left"/>
        <w:rPr>
          <w:rFonts w:hAnsi="宋体"/>
          <w:sz w:val="24"/>
          <w:szCs w:val="24"/>
        </w:rPr>
      </w:pPr>
      <w:r>
        <w:rPr>
          <w:rFonts w:hint="eastAsia" w:hAnsi="宋体"/>
          <w:sz w:val="24"/>
          <w:szCs w:val="24"/>
        </w:rPr>
        <w:t>二.技术标准与要求：</w:t>
      </w:r>
    </w:p>
    <w:p>
      <w:pPr>
        <w:rPr>
          <w:rFonts w:hint="eastAsia" w:eastAsia="宋体"/>
          <w:lang w:eastAsia="zh-CN"/>
        </w:rPr>
      </w:pPr>
      <w:r>
        <w:rPr>
          <w:rFonts w:hint="eastAsia" w:ascii="宋体" w:hAnsi="宋体" w:cs="宋体"/>
          <w:sz w:val="24"/>
          <w:szCs w:val="24"/>
          <w:lang w:eastAsia="zh-CN"/>
        </w:rPr>
        <w:t>服务</w:t>
      </w:r>
      <w:r>
        <w:rPr>
          <w:rFonts w:hint="eastAsia" w:ascii="宋体" w:hAnsi="宋体" w:cs="宋体"/>
          <w:sz w:val="24"/>
          <w:szCs w:val="24"/>
        </w:rPr>
        <w:t>需求一览表：</w:t>
      </w:r>
      <w:r>
        <w:rPr>
          <w:rFonts w:hint="eastAsia" w:asciiTheme="minorEastAsia" w:hAnsiTheme="minorEastAsia"/>
          <w:sz w:val="24"/>
          <w:szCs w:val="24"/>
          <w:lang w:val="en-US" w:eastAsia="zh-CN"/>
        </w:rPr>
        <w:t>对扶贫题材二人台戏</w:t>
      </w:r>
      <w:r>
        <w:rPr>
          <w:rFonts w:hint="eastAsia" w:asciiTheme="minorEastAsia" w:hAnsiTheme="minorEastAsia"/>
          <w:sz w:val="24"/>
          <w:szCs w:val="24"/>
          <w:lang w:eastAsia="zh-CN"/>
        </w:rPr>
        <w:t>《山那边》进行漫瀚调版的改编、移植和排演，最终实现舞台呈现，达到演出水平。创作、排演期间，内蒙古民族艺术剧院</w:t>
      </w:r>
      <w:r>
        <w:rPr>
          <w:rFonts w:hint="eastAsia" w:asciiTheme="minorEastAsia" w:hAnsiTheme="minorEastAsia"/>
          <w:sz w:val="24"/>
          <w:szCs w:val="24"/>
          <w:lang w:val="en-US" w:eastAsia="zh-CN"/>
        </w:rPr>
        <w:t>将通过</w:t>
      </w:r>
      <w:r>
        <w:rPr>
          <w:rFonts w:hint="eastAsia" w:asciiTheme="minorEastAsia" w:hAnsiTheme="minorEastAsia"/>
          <w:sz w:val="24"/>
          <w:szCs w:val="24"/>
          <w:lang w:eastAsia="zh-CN"/>
        </w:rPr>
        <w:t>“以戏带训”的方式，对主创人员和角色演员进行专业培训。</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spacing w:line="360" w:lineRule="auto"/>
        <w:ind w:right="57"/>
        <w:rPr>
          <w:rFonts w:hint="eastAsia" w:ascii="宋体" w:hAnsi="宋体" w:cs="宋体"/>
          <w:b/>
          <w:sz w:val="24"/>
          <w:szCs w:val="24"/>
        </w:rPr>
      </w:pPr>
    </w:p>
    <w:p>
      <w:pPr>
        <w:spacing w:line="360" w:lineRule="auto"/>
        <w:ind w:right="57"/>
        <w:rPr>
          <w:rFonts w:hint="eastAsia" w:ascii="宋体" w:hAnsi="宋体" w:cs="宋体"/>
          <w:b/>
          <w:sz w:val="24"/>
          <w:szCs w:val="24"/>
        </w:rPr>
      </w:pPr>
    </w:p>
    <w:p>
      <w:pPr>
        <w:spacing w:line="360" w:lineRule="auto"/>
        <w:ind w:right="57"/>
        <w:rPr>
          <w:rFonts w:hint="eastAsia" w:ascii="宋体" w:hAnsi="宋体" w:cs="宋体"/>
          <w:b/>
          <w:sz w:val="24"/>
          <w:szCs w:val="24"/>
        </w:rPr>
      </w:pPr>
    </w:p>
    <w:p>
      <w:pPr>
        <w:spacing w:line="360" w:lineRule="auto"/>
        <w:ind w:right="57"/>
        <w:rPr>
          <w:rFonts w:hint="eastAsia" w:ascii="宋体" w:hAnsi="宋体" w:cs="宋体"/>
          <w:b/>
          <w:sz w:val="24"/>
          <w:szCs w:val="24"/>
        </w:rPr>
      </w:pPr>
    </w:p>
    <w:p>
      <w:pPr>
        <w:spacing w:line="360" w:lineRule="auto"/>
        <w:ind w:right="57"/>
        <w:rPr>
          <w:rFonts w:hint="eastAsia" w:ascii="宋体" w:hAnsi="宋体" w:cs="宋体"/>
          <w:b/>
          <w:sz w:val="24"/>
          <w:szCs w:val="24"/>
        </w:rPr>
      </w:pPr>
    </w:p>
    <w:p>
      <w:pPr>
        <w:pStyle w:val="2"/>
        <w:keepNext w:val="0"/>
        <w:keepLines w:val="0"/>
        <w:spacing w:line="360" w:lineRule="auto"/>
        <w:rPr>
          <w:rFonts w:ascii="宋体" w:hAnsi="宋体"/>
          <w:color w:val="000000"/>
          <w:sz w:val="24"/>
          <w:szCs w:val="24"/>
        </w:rPr>
      </w:pPr>
      <w:bookmarkStart w:id="19" w:name="_Toc497726802"/>
      <w:r>
        <w:rPr>
          <w:rFonts w:hint="eastAsia" w:ascii="宋体" w:hAnsi="宋体" w:cs="宋体"/>
          <w:b/>
          <w:sz w:val="24"/>
          <w:szCs w:val="24"/>
          <w:lang w:val="en-US" w:eastAsia="zh-CN"/>
        </w:rPr>
        <w:t xml:space="preserve"> </w:t>
      </w:r>
      <w:r>
        <w:rPr>
          <w:rFonts w:hint="eastAsia" w:ascii="宋体" w:hAnsi="宋体"/>
          <w:color w:val="000000"/>
          <w:sz w:val="24"/>
          <w:szCs w:val="24"/>
        </w:rPr>
        <w:t>第五章 供应商资格证明</w:t>
      </w:r>
      <w:bookmarkEnd w:id="19"/>
    </w:p>
    <w:p>
      <w:pPr>
        <w:spacing w:line="360" w:lineRule="auto"/>
        <w:ind w:firstLine="482" w:firstLineChars="200"/>
        <w:rPr>
          <w:rFonts w:ascii="宋体" w:hAnsi="宋体"/>
          <w:b/>
          <w:bCs/>
          <w:color w:val="000000"/>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供应商应提交证明其有资格参加投标和成交后有能力履行合同的文件，并作为其响应文件的一部分，所有文件</w:t>
      </w:r>
      <w:r>
        <w:rPr>
          <w:rFonts w:hint="eastAsia" w:ascii="宋体" w:hAnsi="宋体" w:cs="宋体"/>
          <w:sz w:val="24"/>
          <w:szCs w:val="24"/>
        </w:rPr>
        <w:t>必须真实可靠、不得伪造，否则将按相关规定予以处罚。资质证明文件及其他文件</w:t>
      </w:r>
      <w:r>
        <w:rPr>
          <w:rFonts w:hint="eastAsia" w:ascii="宋体" w:hAnsi="宋体" w:cs="宋体"/>
          <w:kern w:val="0"/>
          <w:sz w:val="24"/>
          <w:szCs w:val="24"/>
        </w:rPr>
        <w:t>应包括：</w:t>
      </w:r>
    </w:p>
    <w:p>
      <w:pPr>
        <w:spacing w:line="360" w:lineRule="auto"/>
        <w:ind w:firstLine="482" w:firstLineChars="201"/>
        <w:rPr>
          <w:rFonts w:ascii="宋体" w:hAns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 xml:space="preserve"> 供应商是企业（包括合伙企业），提供工商部门注册的有效“企业法人营业执照”或“营业执照”；供应商是事业单位，提供有效的“事业单位法人证书”；供应商是非企业专业服务机构的，提供执业许可证等证明文件；供应商是个体工商户的，提供有效的“个体工商户营业执照”；供应商是自然人，提供有效的自然人身份证明。</w:t>
      </w:r>
    </w:p>
    <w:p>
      <w:pPr>
        <w:spacing w:line="360" w:lineRule="auto"/>
        <w:ind w:firstLine="482" w:firstLineChars="201"/>
        <w:rPr>
          <w:rFonts w:hint="eastAsia" w:ascii="宋体" w:hAnsi="宋体" w:cs="宋体"/>
          <w:color w:val="auto"/>
          <w:sz w:val="24"/>
          <w:szCs w:val="24"/>
          <w:highlight w:val="none"/>
        </w:rPr>
      </w:pPr>
      <w:r>
        <w:rPr>
          <w:rFonts w:hint="eastAsia" w:ascii="宋体" w:hAnsi="宋体" w:cs="宋体"/>
          <w:color w:val="auto"/>
          <w:sz w:val="24"/>
          <w:szCs w:val="24"/>
          <w:highlight w:val="none"/>
        </w:rPr>
        <w:t>2．财务状况报告，应附经会计师事务所出具的财务审计报告或其基本开户银行出具的资信证明；</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1.供应商是法人的审查会计师事务所出具的</w:t>
      </w:r>
      <w:r>
        <w:rPr>
          <w:rFonts w:hint="eastAsia" w:ascii="宋体" w:hAnsi="宋体" w:cs="宋体"/>
          <w:color w:val="auto"/>
          <w:sz w:val="24"/>
          <w:szCs w:val="24"/>
          <w:highlight w:val="none"/>
          <w:lang w:val="en-US" w:eastAsia="zh-CN"/>
        </w:rPr>
        <w:t>上</w:t>
      </w:r>
      <w:r>
        <w:rPr>
          <w:rFonts w:hint="eastAsia" w:ascii="宋体" w:hAnsi="宋体" w:cs="宋体"/>
          <w:color w:val="auto"/>
          <w:sz w:val="24"/>
          <w:szCs w:val="24"/>
          <w:highlight w:val="none"/>
        </w:rPr>
        <w:t>一年度财务审计报告或基本开户银行近一年内出具的资信证明。2.供应商是部分其他组织或自然人的，审查银行近一年内出具的资信证明。</w:t>
      </w:r>
      <w:r>
        <w:rPr>
          <w:rFonts w:hint="eastAsia" w:ascii="宋体" w:hAnsi="宋体" w:cs="宋体"/>
          <w:color w:val="auto"/>
          <w:sz w:val="24"/>
          <w:szCs w:val="24"/>
          <w:highlight w:val="none"/>
          <w:lang w:eastAsia="zh-CN"/>
        </w:rPr>
        <w:t>）</w:t>
      </w:r>
    </w:p>
    <w:p>
      <w:pPr>
        <w:spacing w:line="360" w:lineRule="auto"/>
        <w:ind w:firstLine="482" w:firstLineChars="201"/>
        <w:rPr>
          <w:rFonts w:ascii="宋体" w:hAnsi="宋体"/>
          <w:color w:val="auto"/>
          <w:sz w:val="24"/>
          <w:szCs w:val="24"/>
          <w:highlight w:val="none"/>
        </w:rPr>
      </w:pPr>
      <w:r>
        <w:rPr>
          <w:rFonts w:hint="eastAsia" w:ascii="宋体" w:hAnsi="宋体" w:cs="宋体"/>
          <w:color w:val="auto"/>
          <w:sz w:val="24"/>
          <w:szCs w:val="24"/>
          <w:highlight w:val="none"/>
        </w:rPr>
        <w:t>3．供应商依法缴纳税收证明材料；</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提供递交响应</w:t>
      </w:r>
      <w:r>
        <w:rPr>
          <w:rFonts w:hint="eastAsia" w:ascii="宋体" w:hAnsi="宋体" w:eastAsia="宋体" w:cs="宋体"/>
          <w:sz w:val="24"/>
          <w:szCs w:val="24"/>
          <w:highlight w:val="none"/>
        </w:rPr>
        <w:t>文件截止之日前六个月内（至少一个月）的良好缴纳税收的相关凭据。（以税务机关提供的纳税凭据或银行入账单为准）</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注：依法免税或不需要缴纳社会保障资金的供应商，应提供相应文件证明其依法免税或不需要缴纳社会保障资金。</w:t>
      </w:r>
    </w:p>
    <w:p>
      <w:pPr>
        <w:spacing w:line="360" w:lineRule="auto"/>
        <w:ind w:firstLine="482" w:firstLineChars="201"/>
        <w:rPr>
          <w:rFonts w:ascii="宋体" w:hAns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．供应商为企业员工缴纳社保资金的证明材料；</w:t>
      </w:r>
      <w:r>
        <w:rPr>
          <w:rFonts w:hint="eastAsia" w:ascii="宋体" w:hAnsi="宋体" w:cs="宋体"/>
          <w:color w:val="auto"/>
          <w:sz w:val="24"/>
          <w:szCs w:val="24"/>
          <w:highlight w:val="none"/>
          <w:lang w:val="en-US" w:eastAsia="zh-CN"/>
        </w:rPr>
        <w:t>(</w:t>
      </w:r>
      <w:r>
        <w:rPr>
          <w:rFonts w:hint="eastAsia" w:ascii="宋体" w:hAnsi="宋体" w:eastAsia="宋体" w:cs="宋体"/>
          <w:sz w:val="24"/>
          <w:szCs w:val="24"/>
          <w:highlight w:val="none"/>
        </w:rPr>
        <w:t>提供递交响应文件截止之日前六个月内（至少一个月）缴纳社会保险的凭证。（以社保机构出具的专用收据或社会保险缴纳清单为准）</w:t>
      </w:r>
      <w:r>
        <w:rPr>
          <w:rFonts w:hint="eastAsia" w:ascii="宋体" w:hAnsi="宋体" w:cs="宋体"/>
          <w:sz w:val="24"/>
          <w:szCs w:val="24"/>
          <w:highlight w:val="none"/>
          <w:lang w:val="en-US" w:eastAsia="zh-CN"/>
        </w:rPr>
        <w:t>)</w:t>
      </w:r>
      <w:r>
        <w:rPr>
          <w:rFonts w:ascii="宋体" w:hAnsi="宋体"/>
          <w:color w:val="auto"/>
          <w:sz w:val="24"/>
          <w:szCs w:val="24"/>
          <w:highlight w:val="none"/>
        </w:rPr>
        <w:t xml:space="preserve"> </w:t>
      </w:r>
      <w:r>
        <w:rPr>
          <w:rFonts w:hint="eastAsia" w:ascii="宋体" w:hAnsi="宋体" w:eastAsia="宋体" w:cs="宋体"/>
          <w:sz w:val="24"/>
          <w:szCs w:val="24"/>
          <w:highlight w:val="none"/>
        </w:rPr>
        <w:t>注：依法免税或不需要缴纳社会保障资金的供应商，应提供相应文件证明其依法免税或不需要缴纳社会保障资金。</w:t>
      </w:r>
    </w:p>
    <w:p>
      <w:pPr>
        <w:spacing w:line="360" w:lineRule="auto"/>
        <w:ind w:firstLine="482" w:firstLineChars="201"/>
        <w:rPr>
          <w:rFonts w:ascii="宋体" w:hAns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．供应商参加政府采购前三年内在经营活动中没有重大违法记录书面声明函；</w:t>
      </w:r>
      <w:r>
        <w:rPr>
          <w:rFonts w:ascii="宋体" w:hAnsi="宋体"/>
          <w:color w:val="auto"/>
          <w:sz w:val="24"/>
          <w:szCs w:val="24"/>
          <w:highlight w:val="none"/>
        </w:rPr>
        <w:t xml:space="preserve"> </w:t>
      </w:r>
      <w:r>
        <w:rPr>
          <w:rFonts w:hint="eastAsia" w:ascii="宋体" w:hAnsi="宋体"/>
          <w:color w:val="auto"/>
          <w:sz w:val="24"/>
          <w:szCs w:val="24"/>
          <w:highlight w:val="none"/>
          <w:lang w:eastAsia="zh-CN"/>
        </w:rPr>
        <w:t>（</w:t>
      </w:r>
      <w:r>
        <w:rPr>
          <w:rFonts w:hint="eastAsia" w:ascii="宋体" w:hAnsi="宋体" w:eastAsia="宋体" w:cs="宋体"/>
          <w:sz w:val="24"/>
          <w:szCs w:val="24"/>
          <w:highlight w:val="none"/>
        </w:rPr>
        <w:t>到</w:t>
      </w:r>
      <w:r>
        <w:rPr>
          <w:rFonts w:hint="eastAsia" w:ascii="宋体" w:hAnsi="宋体" w:cs="宋体"/>
          <w:color w:val="auto"/>
          <w:sz w:val="24"/>
          <w:szCs w:val="24"/>
          <w:highlight w:val="none"/>
          <w:lang w:eastAsia="zh-CN"/>
        </w:rPr>
        <w:t>递交响应</w:t>
      </w:r>
      <w:r>
        <w:rPr>
          <w:rFonts w:hint="eastAsia" w:ascii="宋体" w:hAnsi="宋体" w:eastAsia="宋体" w:cs="宋体"/>
          <w:color w:val="auto"/>
          <w:sz w:val="24"/>
          <w:szCs w:val="24"/>
          <w:highlight w:val="none"/>
        </w:rPr>
        <w:t>文件的截止时间，供应</w:t>
      </w:r>
      <w:r>
        <w:rPr>
          <w:rFonts w:hint="eastAsia" w:ascii="宋体" w:hAnsi="宋体" w:eastAsia="宋体" w:cs="宋体"/>
          <w:sz w:val="24"/>
          <w:szCs w:val="24"/>
          <w:highlight w:val="none"/>
        </w:rPr>
        <w:t>商未被列入失信被执行人、重大税收违法案件当事人名单、政府采购严重违法失信行为记录名单。（以供应商通过“信用中国”网站和“中国政府采购网”网站的信用记录截图和评标现场核实情况为准，如相关失信记录已失效，供应商提供相关证明材料）</w:t>
      </w:r>
    </w:p>
    <w:p>
      <w:pPr>
        <w:autoSpaceDE w:val="0"/>
        <w:autoSpaceDN w:val="0"/>
        <w:adjustRightInd w:val="0"/>
        <w:snapToGrid w:val="0"/>
        <w:spacing w:line="360" w:lineRule="auto"/>
        <w:ind w:right="32" w:firstLine="482" w:firstLineChars="201"/>
        <w:rPr>
          <w:rFonts w:ascii="宋体" w:hAnsi="宋体" w:cs="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.在“信用中国”网站(</w:t>
      </w:r>
      <w:r>
        <w:rPr>
          <w:rFonts w:hint="eastAsia"/>
          <w:color w:val="auto"/>
          <w:sz w:val="24"/>
          <w:szCs w:val="24"/>
          <w:highlight w:val="none"/>
          <w:u w:val="single" w:color="auto"/>
          <w:lang w:eastAsia="zh-CN"/>
        </w:rPr>
        <w:t>http://www.creditchina.gov.cn</w:t>
      </w:r>
      <w:r>
        <w:rPr>
          <w:rFonts w:hint="eastAsia" w:ascii="宋体" w:hAnsi="宋体" w:cs="宋体"/>
          <w:color w:val="auto"/>
          <w:sz w:val="24"/>
          <w:szCs w:val="24"/>
          <w:highlight w:val="none"/>
        </w:rPr>
        <w:t>)和“中国政府采购网”（</w:t>
      </w:r>
      <w:r>
        <w:rPr>
          <w:rFonts w:hint="eastAsia"/>
          <w:color w:val="auto"/>
          <w:sz w:val="24"/>
          <w:szCs w:val="24"/>
          <w:highlight w:val="none"/>
          <w:u w:val="single" w:color="auto"/>
          <w:lang w:eastAsia="zh-CN"/>
        </w:rPr>
        <w:t>http://www.ccgp.gov.cn</w:t>
      </w:r>
      <w:r>
        <w:rPr>
          <w:rFonts w:hint="eastAsia" w:ascii="宋体" w:hAnsi="宋体" w:cs="宋体"/>
          <w:color w:val="auto"/>
          <w:sz w:val="24"/>
          <w:szCs w:val="24"/>
          <w:highlight w:val="none"/>
        </w:rPr>
        <w:t>）查询供应商的信用记录截图。</w:t>
      </w:r>
    </w:p>
    <w:p>
      <w:pPr>
        <w:autoSpaceDE w:val="0"/>
        <w:autoSpaceDN w:val="0"/>
        <w:adjustRightInd w:val="0"/>
        <w:snapToGrid w:val="0"/>
        <w:spacing w:line="360" w:lineRule="auto"/>
        <w:ind w:right="32" w:firstLine="482" w:firstLineChars="201"/>
        <w:rPr>
          <w:rFonts w:ascii="宋体" w:hAnsi="宋体"/>
          <w:color w:val="auto"/>
          <w:sz w:val="24"/>
          <w:szCs w:val="24"/>
          <w:highlight w:val="none"/>
        </w:rPr>
      </w:pP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 xml:space="preserve">. </w:t>
      </w:r>
      <w:r>
        <w:rPr>
          <w:rFonts w:hint="eastAsia" w:ascii="宋体" w:hAnsi="宋体"/>
          <w:color w:val="auto"/>
          <w:sz w:val="24"/>
          <w:szCs w:val="24"/>
          <w:highlight w:val="none"/>
          <w:lang w:eastAsia="zh-CN"/>
        </w:rPr>
        <w:t>单一来源文件</w:t>
      </w:r>
      <w:r>
        <w:rPr>
          <w:rFonts w:hint="eastAsia" w:ascii="宋体" w:hAnsi="宋体"/>
          <w:color w:val="auto"/>
          <w:sz w:val="24"/>
          <w:szCs w:val="24"/>
          <w:highlight w:val="none"/>
        </w:rPr>
        <w:t>对供应商的其他资格要求。</w:t>
      </w:r>
    </w:p>
    <w:p>
      <w:pPr>
        <w:spacing w:line="360" w:lineRule="auto"/>
        <w:ind w:firstLine="482" w:firstLineChars="201"/>
        <w:rPr>
          <w:rFonts w:ascii="宋体" w:hAnsi="宋体"/>
          <w:color w:val="auto"/>
          <w:sz w:val="24"/>
          <w:szCs w:val="24"/>
          <w:highlight w:val="none"/>
        </w:rPr>
      </w:pPr>
      <w:r>
        <w:rPr>
          <w:rFonts w:hint="eastAsia" w:ascii="宋体" w:hAnsi="宋体"/>
          <w:color w:val="auto"/>
          <w:sz w:val="24"/>
          <w:szCs w:val="24"/>
          <w:highlight w:val="none"/>
        </w:rPr>
        <w:t>以上文件除要求提供“原件”以外，均应在投标文件中提供复印件并加盖供应商公章，未提供或提供的文件过期、失效的，均为无效投标。（具体要求详见本招标文件初</w:t>
      </w:r>
      <w:r>
        <w:rPr>
          <w:rFonts w:hint="eastAsia" w:ascii="宋体" w:hAnsi="宋体"/>
          <w:color w:val="auto"/>
          <w:sz w:val="24"/>
          <w:szCs w:val="24"/>
          <w:highlight w:val="none"/>
          <w:lang w:eastAsia="zh-CN"/>
        </w:rPr>
        <w:t>步</w:t>
      </w:r>
      <w:r>
        <w:rPr>
          <w:rFonts w:hint="eastAsia" w:ascii="宋体" w:hAnsi="宋体"/>
          <w:color w:val="auto"/>
          <w:sz w:val="24"/>
          <w:szCs w:val="24"/>
          <w:highlight w:val="none"/>
        </w:rPr>
        <w:t>审</w:t>
      </w:r>
      <w:r>
        <w:rPr>
          <w:rFonts w:hint="eastAsia" w:ascii="宋体" w:hAnsi="宋体"/>
          <w:color w:val="auto"/>
          <w:sz w:val="24"/>
          <w:szCs w:val="24"/>
          <w:highlight w:val="none"/>
          <w:lang w:eastAsia="zh-CN"/>
        </w:rPr>
        <w:t>查</w:t>
      </w:r>
      <w:r>
        <w:rPr>
          <w:rFonts w:hint="eastAsia" w:ascii="宋体" w:hAnsi="宋体"/>
          <w:color w:val="auto"/>
          <w:sz w:val="24"/>
          <w:szCs w:val="24"/>
          <w:highlight w:val="none"/>
        </w:rPr>
        <w:t>表）</w:t>
      </w:r>
    </w:p>
    <w:p>
      <w:pPr>
        <w:spacing w:line="360" w:lineRule="auto"/>
        <w:ind w:firstLine="482" w:firstLineChars="201"/>
        <w:rPr>
          <w:rFonts w:ascii="宋体" w:hAnsi="宋体"/>
          <w:sz w:val="24"/>
          <w:szCs w:val="24"/>
        </w:rPr>
      </w:pPr>
      <w:r>
        <w:rPr>
          <w:rFonts w:ascii="宋体" w:hAnsi="宋体"/>
          <w:sz w:val="24"/>
          <w:szCs w:val="24"/>
        </w:rPr>
        <w:br w:type="page"/>
      </w:r>
    </w:p>
    <w:p>
      <w:pPr>
        <w:pStyle w:val="2"/>
        <w:keepNext w:val="0"/>
        <w:keepLines w:val="0"/>
        <w:spacing w:line="360" w:lineRule="auto"/>
        <w:ind w:firstLine="2891" w:firstLineChars="1200"/>
        <w:jc w:val="both"/>
        <w:rPr>
          <w:rFonts w:ascii="宋体" w:hAnsi="宋体"/>
          <w:color w:val="000000"/>
          <w:sz w:val="24"/>
          <w:szCs w:val="24"/>
          <w:lang w:eastAsia="zh-CN"/>
        </w:rPr>
      </w:pPr>
      <w:bookmarkStart w:id="20" w:name="_Toc497726803"/>
      <w:r>
        <w:rPr>
          <w:rFonts w:hint="eastAsia" w:ascii="宋体" w:hAnsi="宋体"/>
          <w:color w:val="000000"/>
          <w:sz w:val="24"/>
          <w:szCs w:val="24"/>
        </w:rPr>
        <w:t>第</w:t>
      </w:r>
      <w:r>
        <w:rPr>
          <w:rFonts w:hint="eastAsia" w:ascii="宋体" w:hAnsi="宋体"/>
          <w:color w:val="000000"/>
          <w:sz w:val="24"/>
          <w:szCs w:val="24"/>
          <w:lang w:eastAsia="zh-CN"/>
        </w:rPr>
        <w:t>六</w:t>
      </w:r>
      <w:r>
        <w:rPr>
          <w:rFonts w:hint="eastAsia" w:ascii="宋体" w:hAnsi="宋体"/>
          <w:color w:val="000000"/>
          <w:sz w:val="24"/>
          <w:szCs w:val="24"/>
        </w:rPr>
        <w:t>章</w:t>
      </w:r>
      <w:r>
        <w:rPr>
          <w:rFonts w:hint="eastAsia" w:ascii="宋体" w:hAnsi="宋体"/>
          <w:color w:val="000000"/>
          <w:sz w:val="24"/>
          <w:szCs w:val="24"/>
          <w:lang w:eastAsia="zh-CN"/>
        </w:rPr>
        <w:t xml:space="preserve"> </w:t>
      </w:r>
      <w:r>
        <w:rPr>
          <w:rFonts w:hint="eastAsia" w:ascii="宋体" w:hAnsi="宋体"/>
          <w:sz w:val="24"/>
          <w:szCs w:val="24"/>
        </w:rPr>
        <w:t>单一来源程序及方法</w:t>
      </w:r>
      <w:bookmarkEnd w:id="10"/>
      <w:bookmarkEnd w:id="20"/>
    </w:p>
    <w:p>
      <w:pPr>
        <w:spacing w:after="120" w:line="360" w:lineRule="auto"/>
        <w:ind w:firstLine="446" w:firstLineChars="186"/>
        <w:rPr>
          <w:rFonts w:ascii="宋体" w:hAnsi="宋体"/>
          <w:kern w:val="0"/>
          <w:sz w:val="24"/>
          <w:szCs w:val="24"/>
        </w:rPr>
      </w:pPr>
      <w:bookmarkStart w:id="21" w:name="_Toc355703360"/>
      <w:bookmarkStart w:id="22" w:name="_Toc257983096"/>
      <w:bookmarkStart w:id="23" w:name="_Toc355703243"/>
      <w:r>
        <w:rPr>
          <w:rFonts w:hint="eastAsia" w:ascii="宋体" w:hAnsi="宋体"/>
          <w:kern w:val="0"/>
          <w:sz w:val="24"/>
          <w:szCs w:val="24"/>
        </w:rPr>
        <w:t>一.单一来源</w:t>
      </w:r>
      <w:bookmarkEnd w:id="21"/>
      <w:bookmarkEnd w:id="22"/>
      <w:bookmarkEnd w:id="23"/>
      <w:r>
        <w:rPr>
          <w:rFonts w:hint="eastAsia" w:ascii="宋体" w:hAnsi="宋体"/>
          <w:kern w:val="0"/>
          <w:sz w:val="24"/>
          <w:szCs w:val="24"/>
        </w:rPr>
        <w:t>程序</w:t>
      </w:r>
    </w:p>
    <w:p>
      <w:pPr>
        <w:adjustRightInd w:val="0"/>
        <w:snapToGrid w:val="0"/>
        <w:spacing w:line="360" w:lineRule="auto"/>
        <w:ind w:firstLine="482" w:firstLineChars="201"/>
        <w:rPr>
          <w:rFonts w:hint="eastAsia" w:ascii="宋体" w:hAnsi="宋体" w:eastAsia="宋体"/>
          <w:kern w:val="0"/>
          <w:sz w:val="24"/>
          <w:szCs w:val="24"/>
          <w:lang w:eastAsia="zh-CN"/>
        </w:rPr>
      </w:pPr>
      <w:r>
        <w:rPr>
          <w:rFonts w:hint="eastAsia" w:ascii="宋体" w:hAnsi="宋体"/>
          <w:kern w:val="0"/>
          <w:sz w:val="24"/>
          <w:szCs w:val="24"/>
        </w:rPr>
        <w:t>1.第一阶段：初步审查</w:t>
      </w:r>
      <w:r>
        <w:rPr>
          <w:rFonts w:hint="eastAsia" w:ascii="宋体" w:hAnsi="宋体"/>
          <w:kern w:val="0"/>
          <w:sz w:val="24"/>
          <w:szCs w:val="24"/>
          <w:lang w:eastAsia="zh-CN"/>
        </w:rPr>
        <w:t>（</w:t>
      </w:r>
      <w:r>
        <w:rPr>
          <w:rFonts w:hint="eastAsia" w:ascii="宋体" w:hAnsi="宋体"/>
          <w:kern w:val="0"/>
          <w:sz w:val="24"/>
          <w:szCs w:val="24"/>
          <w:lang w:val="en-US" w:eastAsia="zh-CN"/>
        </w:rPr>
        <w:t>见下附初步审查表</w:t>
      </w:r>
      <w:r>
        <w:rPr>
          <w:rFonts w:hint="eastAsia" w:ascii="宋体" w:hAnsi="宋体"/>
          <w:kern w:val="0"/>
          <w:sz w:val="24"/>
          <w:szCs w:val="24"/>
          <w:lang w:eastAsia="zh-CN"/>
        </w:rPr>
        <w:t>）</w:t>
      </w:r>
    </w:p>
    <w:p>
      <w:pPr>
        <w:adjustRightInd w:val="0"/>
        <w:snapToGrid w:val="0"/>
        <w:spacing w:line="360" w:lineRule="auto"/>
        <w:ind w:firstLine="482" w:firstLineChars="201"/>
        <w:rPr>
          <w:rFonts w:ascii="宋体" w:hAnsi="宋体"/>
          <w:kern w:val="0"/>
          <w:sz w:val="24"/>
          <w:szCs w:val="24"/>
        </w:rPr>
      </w:pPr>
      <w:r>
        <w:rPr>
          <w:rFonts w:ascii="宋体" w:hAnsi="宋体"/>
          <w:kern w:val="0"/>
          <w:sz w:val="24"/>
          <w:szCs w:val="24"/>
        </w:rPr>
        <w:t>依据有关法律和</w:t>
      </w:r>
      <w:r>
        <w:rPr>
          <w:rFonts w:hint="eastAsia" w:ascii="宋体" w:hAnsi="宋体"/>
          <w:kern w:val="0"/>
          <w:sz w:val="24"/>
          <w:szCs w:val="24"/>
        </w:rPr>
        <w:t>单一来源</w:t>
      </w:r>
      <w:r>
        <w:rPr>
          <w:rFonts w:ascii="宋体" w:hAnsi="宋体"/>
          <w:kern w:val="0"/>
          <w:sz w:val="24"/>
          <w:szCs w:val="24"/>
        </w:rPr>
        <w:t>文件的规定,对</w:t>
      </w:r>
      <w:r>
        <w:rPr>
          <w:rFonts w:hint="eastAsia" w:ascii="宋体" w:hAnsi="宋体"/>
          <w:kern w:val="0"/>
          <w:sz w:val="24"/>
          <w:szCs w:val="24"/>
        </w:rPr>
        <w:t>响应文件</w:t>
      </w:r>
      <w:r>
        <w:rPr>
          <w:rFonts w:ascii="宋体" w:hAnsi="宋体"/>
          <w:kern w:val="0"/>
          <w:sz w:val="24"/>
          <w:szCs w:val="24"/>
        </w:rPr>
        <w:t>的</w:t>
      </w:r>
      <w:r>
        <w:rPr>
          <w:rFonts w:hint="eastAsia" w:ascii="宋体" w:hAnsi="宋体"/>
          <w:kern w:val="0"/>
          <w:sz w:val="24"/>
          <w:szCs w:val="24"/>
        </w:rPr>
        <w:t>资格性、符合性</w:t>
      </w:r>
      <w:r>
        <w:rPr>
          <w:rFonts w:ascii="宋体" w:hAnsi="宋体"/>
          <w:kern w:val="0"/>
          <w:sz w:val="24"/>
          <w:szCs w:val="24"/>
        </w:rPr>
        <w:t>进行审查，以确定</w:t>
      </w:r>
      <w:r>
        <w:rPr>
          <w:rFonts w:hint="eastAsia" w:ascii="宋体" w:hAnsi="宋体"/>
          <w:kern w:val="0"/>
          <w:sz w:val="24"/>
          <w:szCs w:val="24"/>
        </w:rPr>
        <w:t>供应商是否具备商定资格</w:t>
      </w:r>
      <w:r>
        <w:rPr>
          <w:rFonts w:ascii="宋体" w:hAnsi="宋体"/>
          <w:kern w:val="0"/>
          <w:sz w:val="24"/>
          <w:szCs w:val="24"/>
        </w:rPr>
        <w:t>。</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2.第二阶段：商定</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1）对单一来源采购文件和响应文件进行澄清或修正。澄清或修正的事项不得有实质性改变、或者导致采购预算不足。澄清或修正的事项作为单一来源采购文件和响应文件的组成部分，与单一来源采购文件和响应文件同具法律效应。</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（2）商定双方进行价格及质量商定。</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3.第三阶段：最终报价</w:t>
      </w:r>
    </w:p>
    <w:p>
      <w:pPr>
        <w:widowControl/>
        <w:tabs>
          <w:tab w:val="left" w:pos="540"/>
        </w:tabs>
        <w:spacing w:line="360" w:lineRule="auto"/>
        <w:ind w:firstLine="480" w:firstLineChars="200"/>
        <w:jc w:val="left"/>
        <w:rPr>
          <w:rFonts w:ascii="宋体" w:hAnsi="宋体"/>
          <w:kern w:val="0"/>
          <w:sz w:val="24"/>
          <w:szCs w:val="24"/>
        </w:rPr>
      </w:pPr>
      <w:r>
        <w:rPr>
          <w:rFonts w:hint="eastAsia" w:ascii="宋体" w:hAnsi="宋体"/>
          <w:kern w:val="0"/>
          <w:sz w:val="24"/>
          <w:szCs w:val="24"/>
        </w:rPr>
        <w:t>供应商按照采购要求和商定内容的承诺将最后报价填写至《最终报价表》（该表在单一来源过程中由工作人员发放），并在规定的时间内递交至单一来源采购人员或</w:t>
      </w:r>
      <w:r>
        <w:rPr>
          <w:rFonts w:hint="eastAsia" w:ascii="宋体" w:hAnsi="宋体"/>
          <w:kern w:val="0"/>
          <w:sz w:val="24"/>
          <w:szCs w:val="24"/>
          <w:lang w:eastAsia="zh-CN"/>
        </w:rPr>
        <w:t>交易中心</w:t>
      </w:r>
      <w:r>
        <w:rPr>
          <w:rFonts w:hint="eastAsia" w:ascii="宋体" w:hAnsi="宋体"/>
          <w:kern w:val="0"/>
          <w:sz w:val="24"/>
          <w:szCs w:val="24"/>
        </w:rPr>
        <w:t>。</w:t>
      </w:r>
    </w:p>
    <w:p>
      <w:pPr>
        <w:widowControl/>
        <w:spacing w:after="120" w:afterLines="50" w:line="360" w:lineRule="auto"/>
        <w:ind w:firstLine="480" w:firstLineChars="200"/>
        <w:jc w:val="left"/>
        <w:rPr>
          <w:rFonts w:ascii="宋体" w:hAnsi="宋体"/>
          <w:kern w:val="0"/>
          <w:sz w:val="24"/>
          <w:szCs w:val="24"/>
        </w:rPr>
      </w:pPr>
      <w:r>
        <w:rPr>
          <w:rFonts w:hint="eastAsia" w:ascii="宋体" w:hAnsi="宋体"/>
          <w:kern w:val="0"/>
          <w:sz w:val="24"/>
          <w:szCs w:val="24"/>
        </w:rPr>
        <w:t>二.确定成交供应商</w:t>
      </w:r>
    </w:p>
    <w:p>
      <w:pPr>
        <w:widowControl/>
        <w:spacing w:after="120" w:afterLines="50" w:line="360" w:lineRule="auto"/>
        <w:ind w:firstLine="480" w:firstLineChars="200"/>
        <w:jc w:val="left"/>
        <w:rPr>
          <w:rFonts w:hint="eastAsia" w:ascii="宋体" w:hAnsi="宋体"/>
          <w:kern w:val="0"/>
          <w:sz w:val="24"/>
          <w:szCs w:val="24"/>
        </w:rPr>
      </w:pPr>
      <w:r>
        <w:rPr>
          <w:rFonts w:hint="eastAsia" w:ascii="宋体" w:hAnsi="宋体"/>
          <w:kern w:val="0"/>
          <w:sz w:val="24"/>
          <w:szCs w:val="24"/>
        </w:rPr>
        <w:t>通过商定，最终确定成交价格，并由单一来源采购人员编写协商情况记录。</w:t>
      </w:r>
    </w:p>
    <w:p>
      <w:pPr>
        <w:widowControl/>
        <w:spacing w:after="120" w:afterLines="50" w:line="360" w:lineRule="auto"/>
        <w:ind w:firstLine="482" w:firstLineChars="200"/>
        <w:jc w:val="left"/>
        <w:rPr>
          <w:rFonts w:hint="eastAsia" w:ascii="宋体" w:hAnsi="宋体" w:cs="Times New Roman"/>
          <w:b/>
          <w:bCs/>
          <w:kern w:val="0"/>
          <w:sz w:val="24"/>
          <w:szCs w:val="24"/>
        </w:rPr>
      </w:pPr>
      <w:r>
        <w:rPr>
          <w:rFonts w:hint="eastAsia" w:ascii="宋体" w:hAnsi="宋体" w:cs="Times New Roman"/>
          <w:b/>
          <w:bCs/>
          <w:kern w:val="0"/>
          <w:sz w:val="24"/>
          <w:szCs w:val="24"/>
          <w:lang w:val="en-US" w:eastAsia="zh-CN"/>
        </w:rPr>
        <w:t>初步</w:t>
      </w:r>
      <w:r>
        <w:rPr>
          <w:rFonts w:hint="eastAsia" w:ascii="宋体" w:hAnsi="宋体" w:cs="Times New Roman"/>
          <w:b/>
          <w:bCs/>
          <w:kern w:val="0"/>
          <w:sz w:val="24"/>
          <w:szCs w:val="24"/>
        </w:rPr>
        <w:t>审</w:t>
      </w:r>
      <w:r>
        <w:rPr>
          <w:rFonts w:hint="eastAsia" w:ascii="宋体" w:hAnsi="宋体" w:cs="Times New Roman"/>
          <w:b/>
          <w:bCs/>
          <w:kern w:val="0"/>
          <w:sz w:val="24"/>
          <w:szCs w:val="24"/>
          <w:lang w:eastAsia="zh-CN"/>
        </w:rPr>
        <w:t>查</w:t>
      </w:r>
      <w:r>
        <w:rPr>
          <w:rFonts w:hint="eastAsia" w:ascii="宋体" w:hAnsi="宋体" w:cs="Times New Roman"/>
          <w:b/>
          <w:bCs/>
          <w:kern w:val="0"/>
          <w:sz w:val="24"/>
          <w:szCs w:val="24"/>
        </w:rPr>
        <w:t>表：</w:t>
      </w:r>
    </w:p>
    <w:tbl>
      <w:tblPr>
        <w:tblStyle w:val="43"/>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57" w:type="dxa"/>
            <w:vMerge w:val="restart"/>
            <w:tcBorders>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资格性审查</w:t>
            </w:r>
          </w:p>
          <w:p>
            <w:pPr>
              <w:jc w:val="left"/>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审查有效的</w:t>
            </w:r>
            <w:r>
              <w:rPr>
                <w:rFonts w:hint="eastAsia" w:ascii="宋体" w:hAnsi="宋体" w:cs="宋体"/>
                <w:color w:val="auto"/>
                <w:sz w:val="24"/>
                <w:szCs w:val="24"/>
                <w:highlight w:val="none"/>
              </w:rPr>
              <w:t>企业法人营业执照</w:t>
            </w:r>
            <w:r>
              <w:rPr>
                <w:rFonts w:hint="eastAsia" w:ascii="宋体" w:hAnsi="宋体" w:cs="宋体"/>
                <w:color w:val="auto"/>
                <w:sz w:val="24"/>
                <w:szCs w:val="24"/>
                <w:highlight w:val="none"/>
                <w:lang w:val="en-US" w:eastAsia="zh-CN"/>
              </w:rPr>
              <w:t>或</w:t>
            </w:r>
            <w:r>
              <w:rPr>
                <w:rFonts w:hint="eastAsia" w:ascii="宋体" w:hAnsi="宋体"/>
                <w:color w:val="auto"/>
                <w:sz w:val="24"/>
                <w:szCs w:val="24"/>
                <w:highlight w:val="none"/>
              </w:rPr>
              <w:t>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1.供应商是法人的审查会计师事务所出具的</w:t>
            </w:r>
            <w:r>
              <w:rPr>
                <w:rFonts w:hint="eastAsia" w:ascii="宋体" w:hAnsi="宋体"/>
                <w:color w:val="auto"/>
                <w:sz w:val="24"/>
                <w:szCs w:val="24"/>
                <w:highlight w:val="none"/>
                <w:lang w:val="en-US" w:eastAsia="zh-CN"/>
              </w:rPr>
              <w:t>上</w:t>
            </w:r>
            <w:r>
              <w:rPr>
                <w:rFonts w:hint="eastAsia" w:ascii="宋体" w:hAnsi="宋体"/>
                <w:color w:val="auto"/>
                <w:sz w:val="24"/>
                <w:szCs w:val="24"/>
                <w:highlight w:val="none"/>
              </w:rPr>
              <w:t>一年度财务审计报告或基本开户银行近一年内出具的资信证明。</w:t>
            </w:r>
          </w:p>
          <w:p>
            <w:pPr>
              <w:jc w:val="left"/>
              <w:rPr>
                <w:rFonts w:ascii="宋体" w:hAnsi="宋体"/>
                <w:color w:val="auto"/>
                <w:sz w:val="24"/>
                <w:szCs w:val="24"/>
                <w:highlight w:val="none"/>
              </w:rPr>
            </w:pPr>
            <w:r>
              <w:rPr>
                <w:rFonts w:hint="eastAsia" w:ascii="宋体" w:hAnsi="宋体"/>
                <w:color w:val="auto"/>
                <w:sz w:val="24"/>
                <w:szCs w:val="24"/>
                <w:highlight w:val="none"/>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1.提供递交响应文件截止之日前六个月内（至少一个月）的良好缴纳税收的相关凭据。（以税务机关提供的纳税凭据或银行入账单为准）</w:t>
            </w:r>
          </w:p>
          <w:p>
            <w:pPr>
              <w:jc w:val="left"/>
              <w:rPr>
                <w:rFonts w:ascii="宋体" w:hAnsi="宋体" w:cs="宋体"/>
                <w:color w:val="auto"/>
                <w:sz w:val="24"/>
                <w:szCs w:val="24"/>
                <w:highlight w:val="none"/>
              </w:rPr>
            </w:pPr>
            <w:r>
              <w:rPr>
                <w:rFonts w:hint="eastAsia" w:ascii="宋体" w:hAnsi="宋体" w:cs="宋体"/>
                <w:color w:val="auto"/>
                <w:sz w:val="24"/>
                <w:szCs w:val="24"/>
                <w:highlight w:val="none"/>
              </w:rPr>
              <w:t>2.提供递交响应文件截止之日前六个月内（至少一个月）缴纳社会保险的凭证。（以社保机构出具的专用收据或社会保险缴纳清单为准）</w:t>
            </w:r>
          </w:p>
          <w:p>
            <w:pPr>
              <w:jc w:val="left"/>
              <w:rPr>
                <w:rFonts w:ascii="宋体" w:hAnsi="宋体"/>
                <w:color w:val="auto"/>
                <w:sz w:val="24"/>
                <w:szCs w:val="24"/>
                <w:highlight w:val="none"/>
              </w:rPr>
            </w:pPr>
            <w:r>
              <w:rPr>
                <w:rFonts w:hint="eastAsia" w:ascii="宋体" w:hAnsi="宋体" w:cs="宋体"/>
                <w:color w:val="auto"/>
                <w:sz w:val="24"/>
                <w:szCs w:val="24"/>
                <w:highlight w:val="none"/>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8"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1.审查“参加本采购活动前3年内”供应商书面声明函；</w:t>
            </w:r>
          </w:p>
          <w:p>
            <w:pPr>
              <w:jc w:val="left"/>
              <w:rPr>
                <w:rFonts w:ascii="宋体" w:hAnsi="宋体"/>
                <w:color w:val="auto"/>
                <w:sz w:val="24"/>
                <w:szCs w:val="24"/>
                <w:highlight w:val="none"/>
              </w:rPr>
            </w:pPr>
            <w:r>
              <w:rPr>
                <w:rFonts w:hint="eastAsia" w:ascii="宋体" w:hAnsi="宋体"/>
                <w:color w:val="auto"/>
                <w:sz w:val="24"/>
                <w:szCs w:val="24"/>
                <w:highlight w:val="none"/>
              </w:rPr>
              <w:t>2.到提交</w:t>
            </w:r>
            <w:r>
              <w:rPr>
                <w:rFonts w:hint="eastAsia" w:ascii="宋体" w:hAnsi="宋体"/>
                <w:color w:val="auto"/>
                <w:sz w:val="24"/>
                <w:szCs w:val="24"/>
                <w:highlight w:val="none"/>
                <w:lang w:val="en-US" w:eastAsia="zh-CN"/>
              </w:rPr>
              <w:t>响应</w:t>
            </w:r>
            <w:r>
              <w:rPr>
                <w:rFonts w:hint="eastAsia" w:ascii="宋体" w:hAnsi="宋体"/>
                <w:color w:val="auto"/>
                <w:sz w:val="24"/>
                <w:szCs w:val="24"/>
                <w:highlight w:val="none"/>
              </w:rPr>
              <w:t>文件的截止时间，供应商未被列入失信被执行人、重大税收违法案件当事人名单、政府采购严重违法失信行为记录名单。（以供应商通过“信用中国”网站和“中国政府采购网”网站的信用记录截图和评标现场核实情况为准，如相关失信记录已失效，供应商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供应商名称</w:t>
            </w:r>
          </w:p>
        </w:tc>
        <w:tc>
          <w:tcPr>
            <w:tcW w:w="6258"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与单一来源公示中供应商名称一致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auto"/>
                <w:sz w:val="24"/>
                <w:szCs w:val="24"/>
                <w:highlight w:val="none"/>
              </w:rPr>
            </w:pPr>
            <w:r>
              <w:rPr>
                <w:rFonts w:hint="eastAsia" w:ascii="宋体" w:hAnsi="宋体"/>
                <w:color w:val="auto"/>
                <w:sz w:val="24"/>
                <w:szCs w:val="24"/>
                <w:highlight w:val="none"/>
              </w:rPr>
              <w:t>符合性审查</w:t>
            </w:r>
          </w:p>
          <w:p>
            <w:pPr>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符合单一来源文件要求。（格式、填写要求、签署、盖章、委托人身份等）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符合单一来源文件要求。（格式、填写要求、签署、盖章等）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1"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投标文件规范性、符合性</w:t>
            </w:r>
          </w:p>
        </w:tc>
        <w:tc>
          <w:tcPr>
            <w:tcW w:w="6258"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投标文件的编制、密封、装订、签署、盖章、涂改、删除、插字、公章使用等符合单一来源文件要求；投标文件的格式、文字、目录、页码等符合单一来源文件要求或对投标无实质性影响。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4"/>
                <w:szCs w:val="24"/>
                <w:highlight w:val="none"/>
              </w:rPr>
            </w:pPr>
          </w:p>
        </w:tc>
        <w:tc>
          <w:tcPr>
            <w:tcW w:w="2913" w:type="dxa"/>
            <w:vMerge w:val="restart"/>
            <w:tcBorders>
              <w:top w:val="single" w:color="auto" w:sz="4" w:space="0"/>
              <w:left w:val="single" w:color="auto" w:sz="4" w:space="0"/>
              <w:right w:val="single" w:color="auto" w:sz="4" w:space="0"/>
            </w:tcBorders>
            <w:vAlign w:val="center"/>
          </w:tcPr>
          <w:p>
            <w:pPr>
              <w:jc w:val="left"/>
              <w:rPr>
                <w:rFonts w:hint="eastAsia" w:ascii="宋体" w:hAnsi="宋体"/>
                <w:color w:val="auto"/>
                <w:sz w:val="24"/>
                <w:szCs w:val="24"/>
                <w:highlight w:val="none"/>
              </w:rPr>
            </w:pPr>
            <w:r>
              <w:rPr>
                <w:rFonts w:hint="eastAsia" w:ascii="宋体" w:hAnsi="宋体" w:eastAsia="宋体" w:cs="宋体"/>
                <w:color w:val="auto"/>
                <w:sz w:val="24"/>
                <w:szCs w:val="24"/>
              </w:rPr>
              <w:t>技术部分实质性内容</w:t>
            </w:r>
          </w:p>
        </w:tc>
        <w:tc>
          <w:tcPr>
            <w:tcW w:w="6258" w:type="dxa"/>
            <w:tcBorders>
              <w:top w:val="single" w:color="auto" w:sz="4" w:space="0"/>
              <w:left w:val="single" w:color="auto" w:sz="4" w:space="0"/>
              <w:right w:val="single" w:color="auto" w:sz="4" w:space="0"/>
            </w:tcBorders>
            <w:vAlign w:val="center"/>
          </w:tcPr>
          <w:p>
            <w:pPr>
              <w:jc w:val="left"/>
              <w:rPr>
                <w:rFonts w:hint="eastAsia" w:ascii="宋体" w:hAnsi="宋体"/>
                <w:color w:val="auto"/>
                <w:sz w:val="24"/>
                <w:szCs w:val="24"/>
                <w:highlight w:val="none"/>
              </w:rPr>
            </w:pPr>
            <w:r>
              <w:rPr>
                <w:rFonts w:hint="eastAsia" w:ascii="宋体" w:hAnsi="宋体" w:eastAsia="宋体" w:cs="宋体"/>
                <w:color w:val="auto"/>
                <w:sz w:val="24"/>
                <w:szCs w:val="24"/>
              </w:rPr>
              <w:t>明确所投全部货物的产品品牌、型号</w:t>
            </w:r>
            <w:r>
              <w:rPr>
                <w:rFonts w:hint="eastAsia" w:ascii="宋体" w:hAnsi="宋体" w:cs="宋体"/>
                <w:color w:val="auto"/>
                <w:sz w:val="24"/>
                <w:szCs w:val="24"/>
                <w:lang w:eastAsia="zh-CN"/>
              </w:rPr>
              <w:t>和具体参数</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4"/>
                <w:szCs w:val="24"/>
                <w:highlight w:val="none"/>
              </w:rPr>
            </w:pPr>
          </w:p>
        </w:tc>
        <w:tc>
          <w:tcPr>
            <w:tcW w:w="2913" w:type="dxa"/>
            <w:vMerge w:val="continue"/>
            <w:tcBorders>
              <w:left w:val="single" w:color="auto" w:sz="4" w:space="0"/>
              <w:right w:val="single" w:color="auto" w:sz="4" w:space="0"/>
            </w:tcBorders>
            <w:vAlign w:val="center"/>
          </w:tcPr>
          <w:p>
            <w:pPr>
              <w:jc w:val="left"/>
              <w:rPr>
                <w:rFonts w:hint="eastAsia" w:ascii="宋体" w:hAnsi="宋体" w:eastAsia="宋体" w:cs="宋体"/>
                <w:color w:val="auto"/>
                <w:sz w:val="24"/>
                <w:szCs w:val="24"/>
              </w:rPr>
            </w:pPr>
          </w:p>
        </w:tc>
        <w:tc>
          <w:tcPr>
            <w:tcW w:w="6258" w:type="dxa"/>
            <w:tcBorders>
              <w:top w:val="single" w:color="auto" w:sz="4" w:space="0"/>
              <w:left w:val="single" w:color="auto" w:sz="4" w:space="0"/>
              <w:right w:val="single" w:color="auto" w:sz="4" w:space="0"/>
            </w:tcBorders>
            <w:vAlign w:val="center"/>
          </w:tcPr>
          <w:p>
            <w:pPr>
              <w:jc w:val="left"/>
              <w:rPr>
                <w:rFonts w:hint="eastAsia" w:ascii="宋体" w:hAnsi="宋体"/>
                <w:color w:val="auto"/>
                <w:sz w:val="24"/>
                <w:szCs w:val="24"/>
                <w:highlight w:val="none"/>
              </w:rPr>
            </w:pPr>
            <w:r>
              <w:rPr>
                <w:rFonts w:hint="eastAsia" w:ascii="宋体" w:hAnsi="宋体" w:eastAsia="宋体" w:cs="宋体"/>
                <w:color w:val="auto"/>
                <w:sz w:val="24"/>
                <w:szCs w:val="24"/>
              </w:rPr>
              <w:t>技术部分响应明确（逐一对应）</w:t>
            </w:r>
            <w:r>
              <w:rPr>
                <w:rFonts w:hint="eastAsia" w:ascii="宋体" w:hAnsi="宋体" w:cs="宋体"/>
                <w:color w:val="auto"/>
                <w:sz w:val="24"/>
                <w:szCs w:val="24"/>
                <w:lang w:eastAsia="zh-CN"/>
              </w:rPr>
              <w:t>，</w:t>
            </w:r>
            <w:r>
              <w:rPr>
                <w:rFonts w:hint="eastAsia" w:ascii="宋体" w:hAnsi="宋体" w:eastAsia="宋体" w:cs="宋体"/>
                <w:color w:val="auto"/>
                <w:sz w:val="24"/>
                <w:szCs w:val="24"/>
              </w:rPr>
              <w:t>并实质性满足</w:t>
            </w:r>
            <w:r>
              <w:rPr>
                <w:rFonts w:hint="eastAsia" w:ascii="宋体" w:hAnsi="宋体" w:cs="宋体"/>
                <w:color w:val="auto"/>
                <w:sz w:val="24"/>
                <w:szCs w:val="24"/>
                <w:lang w:val="en-US" w:eastAsia="zh-CN"/>
              </w:rPr>
              <w:t>单一来源文件</w:t>
            </w:r>
            <w:r>
              <w:rPr>
                <w:rFonts w:hint="eastAsia" w:ascii="宋体" w:hAnsi="宋体" w:eastAsia="宋体" w:cs="宋体"/>
                <w:color w:val="auto"/>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满足单一来源文件关于交付使用时间、付款方式要求。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 w:val="24"/>
                <w:szCs w:val="24"/>
                <w:highlight w:val="none"/>
              </w:rPr>
            </w:pPr>
            <w:r>
              <w:rPr>
                <w:rFonts w:hint="eastAsia" w:ascii="宋体" w:hAnsi="宋体"/>
                <w:color w:val="auto"/>
                <w:sz w:val="24"/>
                <w:szCs w:val="24"/>
                <w:highlight w:val="none"/>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其他要求</w:t>
            </w:r>
          </w:p>
        </w:tc>
        <w:tc>
          <w:tcPr>
            <w:tcW w:w="6258"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法律法规规定的其它投标无效条款。</w:t>
            </w:r>
          </w:p>
        </w:tc>
      </w:tr>
    </w:tbl>
    <w:p>
      <w:pPr>
        <w:spacing w:line="360" w:lineRule="auto"/>
        <w:ind w:firstLine="482" w:firstLineChars="200"/>
        <w:rPr>
          <w:rFonts w:hint="eastAsia" w:ascii="宋体" w:hAnsi="宋体"/>
          <w:b/>
          <w:sz w:val="24"/>
          <w:szCs w:val="24"/>
        </w:rPr>
      </w:pPr>
    </w:p>
    <w:p>
      <w:pPr>
        <w:widowControl/>
        <w:spacing w:after="120" w:afterLines="50" w:line="360" w:lineRule="auto"/>
        <w:ind w:firstLine="482" w:firstLineChars="200"/>
        <w:jc w:val="left"/>
        <w:rPr>
          <w:rFonts w:ascii="宋体" w:hAnsi="宋体"/>
          <w:kern w:val="0"/>
          <w:sz w:val="24"/>
          <w:szCs w:val="24"/>
        </w:rPr>
      </w:pPr>
      <w:r>
        <w:rPr>
          <w:rFonts w:ascii="宋体" w:hAnsi="宋体"/>
          <w:b/>
          <w:sz w:val="24"/>
          <w:szCs w:val="24"/>
        </w:rPr>
        <w:br w:type="page"/>
      </w:r>
    </w:p>
    <w:p>
      <w:pPr>
        <w:pStyle w:val="2"/>
        <w:keepNext w:val="0"/>
        <w:keepLines w:val="0"/>
        <w:spacing w:line="360" w:lineRule="auto"/>
        <w:ind w:firstLine="2891" w:firstLineChars="1200"/>
        <w:jc w:val="both"/>
        <w:rPr>
          <w:rFonts w:ascii="宋体" w:hAnsi="宋体"/>
          <w:color w:val="000000"/>
          <w:sz w:val="24"/>
          <w:szCs w:val="24"/>
          <w:lang w:eastAsia="zh-CN"/>
        </w:rPr>
      </w:pPr>
      <w:bookmarkStart w:id="24" w:name="_Toc497726804"/>
      <w:r>
        <w:rPr>
          <w:rFonts w:hint="eastAsia" w:ascii="宋体" w:hAnsi="宋体"/>
          <w:color w:val="000000"/>
          <w:sz w:val="24"/>
          <w:szCs w:val="24"/>
        </w:rPr>
        <w:t>第</w:t>
      </w:r>
      <w:r>
        <w:rPr>
          <w:rFonts w:hint="eastAsia" w:ascii="宋体" w:hAnsi="宋体"/>
          <w:color w:val="000000"/>
          <w:sz w:val="24"/>
          <w:szCs w:val="24"/>
          <w:lang w:eastAsia="zh-CN"/>
        </w:rPr>
        <w:t>七</w:t>
      </w:r>
      <w:r>
        <w:rPr>
          <w:rFonts w:hint="eastAsia" w:ascii="宋体" w:hAnsi="宋体"/>
          <w:color w:val="000000"/>
          <w:sz w:val="24"/>
          <w:szCs w:val="24"/>
        </w:rPr>
        <w:t>章 响应文件格式与要求</w:t>
      </w:r>
      <w:bookmarkEnd w:id="11"/>
      <w:bookmarkEnd w:id="24"/>
    </w:p>
    <w:p>
      <w:pPr>
        <w:spacing w:line="360" w:lineRule="auto"/>
        <w:rPr>
          <w:sz w:val="24"/>
          <w:szCs w:val="24"/>
          <w:lang w:val="zh-CN"/>
        </w:rPr>
      </w:pPr>
    </w:p>
    <w:p>
      <w:pPr>
        <w:spacing w:line="360" w:lineRule="auto"/>
        <w:ind w:firstLine="480" w:firstLineChars="200"/>
        <w:rPr>
          <w:sz w:val="24"/>
          <w:szCs w:val="24"/>
          <w:lang w:val="zh-CN"/>
        </w:rPr>
      </w:pPr>
      <w:r>
        <w:rPr>
          <w:rFonts w:hint="eastAsia"/>
          <w:sz w:val="24"/>
          <w:szCs w:val="24"/>
          <w:lang w:val="zh-CN"/>
        </w:rPr>
        <w:t>供应商提供响应文件应当按照以下格式急要求进行编制，且应不少于以下内容。</w:t>
      </w:r>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pPr>
        <w:spacing w:line="360" w:lineRule="auto"/>
        <w:rPr>
          <w:rFonts w:ascii="宋体" w:hAnsi="宋体" w:cs="宋体"/>
          <w:sz w:val="24"/>
          <w:szCs w:val="24"/>
        </w:rPr>
      </w:pPr>
      <w:r>
        <w:rPr>
          <w:rFonts w:hint="eastAsia" w:ascii="宋体" w:hAnsi="宋体" w:cs="宋体"/>
          <w:sz w:val="24"/>
          <w:szCs w:val="24"/>
        </w:rPr>
        <w:t>格式一：</w:t>
      </w:r>
    </w:p>
    <w:p>
      <w:pPr>
        <w:spacing w:line="360" w:lineRule="auto"/>
        <w:ind w:firstLine="3603" w:firstLineChars="1001"/>
        <w:rPr>
          <w:rFonts w:ascii="宋体" w:hAnsi="宋体" w:cs="楷体_GB2312"/>
          <w:sz w:val="36"/>
          <w:szCs w:val="36"/>
        </w:rPr>
      </w:pPr>
      <w:r>
        <w:rPr>
          <w:rFonts w:hint="eastAsia" w:ascii="宋体" w:hAnsi="宋体" w:cs="楷体_GB2312"/>
          <w:sz w:val="36"/>
          <w:szCs w:val="36"/>
        </w:rPr>
        <w:t>响应文件封面</w:t>
      </w:r>
    </w:p>
    <w:p>
      <w:pPr>
        <w:spacing w:line="360" w:lineRule="auto"/>
        <w:ind w:firstLine="3603" w:firstLineChars="1001"/>
        <w:rPr>
          <w:rFonts w:ascii="宋体" w:hAnsi="宋体" w:cs="楷体_GB2312"/>
          <w:sz w:val="36"/>
          <w:szCs w:val="36"/>
        </w:rPr>
      </w:pPr>
    </w:p>
    <w:p>
      <w:pPr>
        <w:spacing w:line="360" w:lineRule="auto"/>
        <w:ind w:firstLine="3137" w:firstLineChars="601"/>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3659" w:firstLineChars="701"/>
        <w:rPr>
          <w:rFonts w:ascii="宋体" w:hAnsi="宋体"/>
          <w:b/>
          <w:bCs/>
          <w:kern w:val="0"/>
          <w:sz w:val="52"/>
          <w:szCs w:val="52"/>
        </w:rPr>
      </w:pPr>
      <w:r>
        <w:rPr>
          <w:rFonts w:hint="eastAsia" w:ascii="宋体" w:hAnsi="宋体" w:cs="宋体"/>
          <w:b/>
          <w:bCs/>
          <w:kern w:val="0"/>
          <w:sz w:val="52"/>
          <w:szCs w:val="52"/>
        </w:rPr>
        <w:t>响应文件</w:t>
      </w:r>
    </w:p>
    <w:p>
      <w:pPr>
        <w:spacing w:line="360" w:lineRule="auto"/>
        <w:ind w:firstLine="3600" w:firstLineChars="1000"/>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2" w:firstLineChars="201"/>
        <w:jc w:val="left"/>
        <w:rPr>
          <w:rFonts w:ascii="宋体" w:hAnsi="宋体" w:cs="宋体"/>
          <w:sz w:val="24"/>
          <w:szCs w:val="24"/>
        </w:rPr>
      </w:pPr>
    </w:p>
    <w:p>
      <w:pPr>
        <w:spacing w:line="360" w:lineRule="auto"/>
        <w:ind w:firstLine="482" w:firstLineChars="201"/>
        <w:rPr>
          <w:rFonts w:ascii="宋体" w:hAnsi="宋体" w:cs="宋体"/>
          <w:sz w:val="24"/>
          <w:szCs w:val="24"/>
        </w:rPr>
      </w:pPr>
      <w:r>
        <w:rPr>
          <w:rFonts w:hint="eastAsia" w:ascii="宋体" w:hAnsi="宋体" w:cs="宋体"/>
          <w:sz w:val="24"/>
          <w:szCs w:val="24"/>
        </w:rPr>
        <w:t>项目编号：</w:t>
      </w:r>
    </w:p>
    <w:p>
      <w:pPr>
        <w:spacing w:line="360" w:lineRule="auto"/>
        <w:ind w:firstLine="482" w:firstLineChars="201"/>
        <w:rPr>
          <w:rFonts w:ascii="宋体" w:hAnsi="宋体" w:cs="宋体"/>
          <w:sz w:val="24"/>
          <w:szCs w:val="24"/>
        </w:rPr>
      </w:pPr>
      <w:r>
        <w:rPr>
          <w:rFonts w:hint="eastAsia" w:ascii="宋体" w:hAnsi="宋体" w:cs="宋体"/>
          <w:sz w:val="24"/>
          <w:szCs w:val="24"/>
        </w:rPr>
        <w:t>包</w:t>
      </w:r>
      <w:r>
        <w:rPr>
          <w:rFonts w:ascii="宋体" w:hAnsi="宋体" w:cs="宋体"/>
          <w:sz w:val="24"/>
          <w:szCs w:val="24"/>
        </w:rPr>
        <w:t xml:space="preserve">    </w:t>
      </w:r>
      <w:r>
        <w:rPr>
          <w:rFonts w:hint="eastAsia" w:ascii="宋体" w:hAnsi="宋体" w:cs="宋体"/>
          <w:sz w:val="24"/>
          <w:szCs w:val="24"/>
        </w:rPr>
        <w:t>号：</w:t>
      </w:r>
      <w:r>
        <w:rPr>
          <w:rFonts w:ascii="宋体" w:hAnsi="宋体" w:cs="宋体"/>
          <w:sz w:val="24"/>
          <w:szCs w:val="24"/>
        </w:rPr>
        <w:t xml:space="preserve">    </w:t>
      </w:r>
      <w:r>
        <w:rPr>
          <w:rFonts w:hint="eastAsia" w:ascii="宋体" w:hAnsi="宋体" w:cs="宋体"/>
          <w:sz w:val="24"/>
          <w:szCs w:val="24"/>
        </w:rPr>
        <w:t>第</w:t>
      </w:r>
      <w:r>
        <w:rPr>
          <w:rFonts w:ascii="宋体" w:hAnsi="宋体" w:cs="宋体"/>
          <w:sz w:val="24"/>
          <w:szCs w:val="24"/>
        </w:rPr>
        <w:t xml:space="preserve">    </w:t>
      </w:r>
      <w:r>
        <w:rPr>
          <w:rFonts w:hint="eastAsia" w:ascii="宋体" w:hAnsi="宋体" w:cs="宋体"/>
          <w:sz w:val="24"/>
          <w:szCs w:val="24"/>
        </w:rPr>
        <w:t>包（若项目分包时使用）</w:t>
      </w:r>
    </w:p>
    <w:p>
      <w:pPr>
        <w:spacing w:line="360" w:lineRule="auto"/>
        <w:ind w:firstLine="482" w:firstLineChars="201"/>
        <w:jc w:val="center"/>
        <w:rPr>
          <w:rFonts w:ascii="宋体" w:hAnsi="宋体" w:cs="宋体"/>
          <w:sz w:val="24"/>
          <w:szCs w:val="24"/>
        </w:rPr>
      </w:pPr>
    </w:p>
    <w:p>
      <w:pPr>
        <w:spacing w:line="360" w:lineRule="auto"/>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（供应商名称）</w:t>
      </w:r>
    </w:p>
    <w:p>
      <w:pPr>
        <w:spacing w:line="360" w:lineRule="auto"/>
        <w:ind w:firstLine="482" w:firstLineChars="201"/>
        <w:jc w:val="center"/>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bookmarkStart w:id="25" w:name="_Toc482026546"/>
    </w:p>
    <w:bookmarkEnd w:id="25"/>
    <w:p>
      <w:pPr>
        <w:spacing w:line="360" w:lineRule="auto"/>
        <w:rPr>
          <w:rFonts w:ascii="宋体" w:hAnsi="宋体" w:cs="宋体"/>
          <w:sz w:val="24"/>
          <w:szCs w:val="24"/>
        </w:rPr>
      </w:pPr>
      <w:bookmarkStart w:id="26" w:name="_Toc482196940"/>
      <w:r>
        <w:rPr>
          <w:rFonts w:ascii="宋体" w:hAnsi="宋体" w:cs="宋体"/>
          <w:sz w:val="24"/>
          <w:szCs w:val="24"/>
        </w:rPr>
        <w:br w:type="page"/>
      </w:r>
    </w:p>
    <w:bookmarkEnd w:id="26"/>
    <w:p>
      <w:pPr>
        <w:spacing w:line="360" w:lineRule="auto"/>
        <w:rPr>
          <w:rFonts w:ascii="宋体" w:hAnsi="宋体" w:cs="宋体"/>
          <w:sz w:val="24"/>
          <w:szCs w:val="24"/>
        </w:rPr>
      </w:pPr>
      <w:r>
        <w:rPr>
          <w:rFonts w:hint="eastAsia" w:ascii="宋体" w:hAnsi="宋体" w:cs="宋体"/>
          <w:sz w:val="24"/>
          <w:szCs w:val="24"/>
        </w:rPr>
        <w:t>格式二：</w:t>
      </w:r>
    </w:p>
    <w:p>
      <w:pPr>
        <w:spacing w:line="360" w:lineRule="auto"/>
        <w:jc w:val="center"/>
        <w:rPr>
          <w:rFonts w:ascii="宋体" w:hAnsi="宋体" w:cs="宋体"/>
          <w:sz w:val="24"/>
          <w:szCs w:val="24"/>
        </w:rPr>
      </w:pPr>
      <w:r>
        <w:rPr>
          <w:rFonts w:hint="eastAsia" w:ascii="宋体" w:hAnsi="宋体" w:cs="宋体"/>
          <w:sz w:val="24"/>
          <w:szCs w:val="24"/>
        </w:rPr>
        <w:t>投标文件目录</w:t>
      </w:r>
    </w:p>
    <w:p>
      <w:pPr>
        <w:spacing w:line="360" w:lineRule="auto"/>
        <w:rPr>
          <w:rFonts w:ascii="宋体" w:hAnsi="宋体" w:cs="宋体"/>
          <w:sz w:val="24"/>
          <w:szCs w:val="24"/>
        </w:rPr>
      </w:pPr>
      <w:bookmarkStart w:id="27" w:name="_Toc482026547"/>
      <w:r>
        <w:rPr>
          <w:rFonts w:hint="eastAsia" w:ascii="宋体" w:hAnsi="宋体" w:cs="宋体"/>
          <w:sz w:val="24"/>
          <w:szCs w:val="24"/>
        </w:rPr>
        <w:t>一</w:t>
      </w:r>
      <w:r>
        <w:rPr>
          <w:rFonts w:hint="eastAsia" w:ascii="宋体" w:hAnsi="宋体" w:cs="宋体"/>
          <w:sz w:val="24"/>
          <w:szCs w:val="24"/>
          <w:lang w:eastAsia="zh-CN"/>
        </w:rPr>
        <w:t>、</w:t>
      </w:r>
      <w:r>
        <w:rPr>
          <w:rFonts w:hint="eastAsia" w:ascii="宋体" w:hAnsi="宋体" w:cs="宋体"/>
          <w:sz w:val="24"/>
          <w:szCs w:val="24"/>
        </w:rPr>
        <w:t>投标承诺书…………………………………………………………</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二</w:t>
      </w:r>
      <w:r>
        <w:rPr>
          <w:rFonts w:hint="eastAsia" w:ascii="宋体" w:hAnsi="宋体" w:cs="宋体"/>
          <w:sz w:val="24"/>
          <w:szCs w:val="24"/>
          <w:lang w:eastAsia="zh-CN"/>
        </w:rPr>
        <w:t>、</w:t>
      </w:r>
      <w:r>
        <w:rPr>
          <w:rFonts w:hint="eastAsia" w:ascii="宋体" w:hAnsi="宋体" w:cs="宋体"/>
          <w:sz w:val="24"/>
          <w:szCs w:val="24"/>
        </w:rPr>
        <w:t>开标一览表</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三</w:t>
      </w:r>
      <w:r>
        <w:rPr>
          <w:rFonts w:hint="eastAsia" w:ascii="宋体" w:hAnsi="宋体" w:cs="宋体"/>
          <w:sz w:val="24"/>
          <w:szCs w:val="24"/>
          <w:lang w:eastAsia="zh-CN"/>
        </w:rPr>
        <w:t>、</w:t>
      </w:r>
      <w:r>
        <w:rPr>
          <w:rFonts w:hint="eastAsia" w:ascii="宋体" w:hAnsi="宋体" w:cs="宋体"/>
          <w:sz w:val="24"/>
          <w:szCs w:val="24"/>
        </w:rPr>
        <w:t>法定代表人身份证明………………………………………………… （ ）</w:t>
      </w:r>
    </w:p>
    <w:p>
      <w:pPr>
        <w:spacing w:line="360" w:lineRule="auto"/>
        <w:rPr>
          <w:rFonts w:ascii="宋体" w:hAnsi="宋体" w:cs="宋体"/>
          <w:sz w:val="24"/>
          <w:szCs w:val="24"/>
        </w:rPr>
      </w:pPr>
      <w:r>
        <w:rPr>
          <w:rFonts w:hint="eastAsia" w:ascii="宋体" w:hAnsi="宋体" w:cs="宋体"/>
          <w:sz w:val="24"/>
          <w:szCs w:val="24"/>
        </w:rPr>
        <w:t>四</w:t>
      </w:r>
      <w:r>
        <w:rPr>
          <w:rFonts w:hint="eastAsia" w:ascii="宋体" w:hAnsi="宋体" w:cs="宋体"/>
          <w:sz w:val="24"/>
          <w:szCs w:val="24"/>
          <w:lang w:eastAsia="zh-CN"/>
        </w:rPr>
        <w:t>、</w:t>
      </w:r>
      <w:r>
        <w:rPr>
          <w:rFonts w:hint="eastAsia" w:ascii="宋体" w:hAnsi="宋体" w:cs="宋体"/>
          <w:sz w:val="24"/>
          <w:szCs w:val="24"/>
        </w:rPr>
        <w:t>授权委托人身份证明</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 （ ）</w:t>
      </w:r>
    </w:p>
    <w:p>
      <w:pPr>
        <w:spacing w:line="360" w:lineRule="auto"/>
        <w:rPr>
          <w:rFonts w:ascii="宋体" w:hAnsi="宋体" w:cs="宋体"/>
          <w:sz w:val="24"/>
          <w:szCs w:val="24"/>
        </w:rPr>
      </w:pPr>
      <w:r>
        <w:rPr>
          <w:rFonts w:hint="eastAsia" w:ascii="宋体" w:hAnsi="宋体" w:cs="宋体"/>
          <w:sz w:val="24"/>
          <w:szCs w:val="24"/>
        </w:rPr>
        <w:t>五</w:t>
      </w:r>
      <w:r>
        <w:rPr>
          <w:rFonts w:hint="eastAsia" w:ascii="宋体" w:hAnsi="宋体" w:cs="宋体"/>
          <w:sz w:val="24"/>
          <w:szCs w:val="24"/>
          <w:lang w:eastAsia="zh-CN"/>
        </w:rPr>
        <w:t>、</w:t>
      </w:r>
      <w:r>
        <w:rPr>
          <w:rFonts w:hint="eastAsia" w:ascii="宋体" w:hAnsi="宋体" w:cs="宋体"/>
          <w:sz w:val="24"/>
          <w:szCs w:val="24"/>
        </w:rPr>
        <w:t>授权委托书</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六</w:t>
      </w:r>
      <w:r>
        <w:rPr>
          <w:rFonts w:hint="eastAsia" w:ascii="宋体" w:hAnsi="宋体" w:cs="宋体"/>
          <w:sz w:val="24"/>
          <w:szCs w:val="24"/>
          <w:lang w:eastAsia="zh-CN"/>
        </w:rPr>
        <w:t>、</w:t>
      </w:r>
      <w:r>
        <w:rPr>
          <w:rFonts w:hint="eastAsia" w:ascii="宋体" w:hAnsi="宋体" w:cs="宋体"/>
          <w:sz w:val="24"/>
          <w:szCs w:val="24"/>
        </w:rPr>
        <w:t>投标货物分项报价明细表…………………………………………… （ ）</w:t>
      </w:r>
    </w:p>
    <w:p>
      <w:pPr>
        <w:spacing w:line="360" w:lineRule="auto"/>
        <w:rPr>
          <w:rFonts w:ascii="宋体" w:hAnsi="宋体" w:cs="宋体"/>
          <w:sz w:val="24"/>
          <w:szCs w:val="24"/>
        </w:rPr>
      </w:pPr>
      <w:r>
        <w:rPr>
          <w:rFonts w:hint="eastAsia" w:ascii="宋体" w:hAnsi="宋体" w:cs="宋体"/>
          <w:sz w:val="24"/>
          <w:szCs w:val="24"/>
        </w:rPr>
        <w:t>七</w:t>
      </w:r>
      <w:r>
        <w:rPr>
          <w:rFonts w:hint="eastAsia" w:ascii="宋体" w:hAnsi="宋体" w:cs="宋体"/>
          <w:sz w:val="24"/>
          <w:szCs w:val="24"/>
          <w:lang w:eastAsia="zh-CN"/>
        </w:rPr>
        <w:t>、</w:t>
      </w:r>
      <w:r>
        <w:rPr>
          <w:rFonts w:hint="eastAsia" w:ascii="宋体" w:hAnsi="宋体" w:cs="宋体"/>
          <w:sz w:val="24"/>
          <w:szCs w:val="24"/>
        </w:rPr>
        <w:t>投标货物情况介绍表</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八</w:t>
      </w:r>
      <w:r>
        <w:rPr>
          <w:rFonts w:hint="eastAsia" w:ascii="宋体" w:hAnsi="宋体" w:cs="宋体"/>
          <w:sz w:val="24"/>
          <w:szCs w:val="24"/>
          <w:lang w:eastAsia="zh-CN"/>
        </w:rPr>
        <w:t>、</w:t>
      </w:r>
      <w:r>
        <w:rPr>
          <w:rFonts w:hint="eastAsia" w:ascii="宋体" w:hAnsi="宋体" w:cs="宋体"/>
          <w:sz w:val="24"/>
          <w:szCs w:val="24"/>
        </w:rPr>
        <w:t>技术规格响应表…………………………………………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九</w:t>
      </w:r>
      <w:r>
        <w:rPr>
          <w:rFonts w:hint="eastAsia" w:ascii="宋体" w:hAnsi="宋体" w:cs="宋体"/>
          <w:sz w:val="24"/>
          <w:szCs w:val="24"/>
          <w:lang w:eastAsia="zh-CN"/>
        </w:rPr>
        <w:t>、</w:t>
      </w:r>
      <w:r>
        <w:rPr>
          <w:rFonts w:hint="eastAsia" w:ascii="宋体" w:hAnsi="宋体" w:cs="宋体"/>
          <w:sz w:val="24"/>
          <w:szCs w:val="24"/>
        </w:rPr>
        <w:t>售后服务承诺及方案…………………</w:t>
      </w:r>
      <w:r>
        <w:rPr>
          <w:rFonts w:ascii="宋体" w:hAnsi="宋体" w:cs="宋体"/>
          <w:sz w:val="24"/>
          <w:szCs w:val="24"/>
        </w:rPr>
        <w:t>……………………………</w:t>
      </w:r>
      <w:r>
        <w:rPr>
          <w:rFonts w:hint="eastAsia" w:ascii="宋体" w:hAnsi="宋体" w:cs="宋体"/>
          <w:sz w:val="24"/>
          <w:szCs w:val="24"/>
        </w:rPr>
        <w:t>… （ ）</w:t>
      </w:r>
    </w:p>
    <w:p>
      <w:pPr>
        <w:spacing w:line="360" w:lineRule="auto"/>
        <w:rPr>
          <w:rFonts w:ascii="宋体" w:hAnsi="宋体" w:cs="宋体"/>
          <w:sz w:val="24"/>
          <w:szCs w:val="24"/>
        </w:rPr>
      </w:pPr>
      <w:r>
        <w:rPr>
          <w:rFonts w:hint="eastAsia" w:ascii="宋体" w:hAnsi="宋体" w:cs="宋体"/>
          <w:sz w:val="24"/>
          <w:szCs w:val="24"/>
        </w:rPr>
        <w:t>十</w:t>
      </w:r>
      <w:r>
        <w:rPr>
          <w:rFonts w:hint="eastAsia" w:ascii="宋体" w:hAnsi="宋体" w:cs="宋体"/>
          <w:sz w:val="24"/>
          <w:szCs w:val="24"/>
          <w:lang w:eastAsia="zh-CN"/>
        </w:rPr>
        <w:t>、</w:t>
      </w:r>
      <w:r>
        <w:rPr>
          <w:rFonts w:hint="eastAsia" w:ascii="宋体" w:hAnsi="宋体" w:cs="宋体"/>
          <w:sz w:val="24"/>
          <w:szCs w:val="24"/>
        </w:rPr>
        <w:t>商务规格响应表……………………………………………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十一</w:t>
      </w:r>
      <w:r>
        <w:rPr>
          <w:rFonts w:hint="eastAsia" w:ascii="宋体" w:hAnsi="宋体" w:cs="宋体"/>
          <w:sz w:val="24"/>
          <w:szCs w:val="24"/>
          <w:lang w:eastAsia="zh-CN"/>
        </w:rPr>
        <w:t>、</w:t>
      </w:r>
      <w:r>
        <w:rPr>
          <w:rFonts w:hint="eastAsia" w:ascii="宋体" w:hAnsi="宋体" w:cs="宋体"/>
          <w:sz w:val="24"/>
          <w:szCs w:val="24"/>
          <w:lang w:val="en-US" w:eastAsia="zh-CN"/>
        </w:rPr>
        <w:t>近</w:t>
      </w:r>
      <w:r>
        <w:rPr>
          <w:rFonts w:hint="eastAsia" w:ascii="宋体" w:hAnsi="宋体" w:cs="宋体"/>
          <w:sz w:val="24"/>
          <w:szCs w:val="24"/>
        </w:rPr>
        <w:t>一年度财务会计制度…</w:t>
      </w:r>
      <w:r>
        <w:rPr>
          <w:rFonts w:ascii="宋体" w:hAnsi="宋体" w:cs="宋体"/>
          <w:sz w:val="24"/>
          <w:szCs w:val="24"/>
        </w:rPr>
        <w:t>…………………………………………</w:t>
      </w:r>
      <w:r>
        <w:rPr>
          <w:rFonts w:hint="eastAsia" w:ascii="宋体" w:hAnsi="宋体" w:cs="宋体"/>
          <w:sz w:val="24"/>
          <w:szCs w:val="24"/>
        </w:rPr>
        <w:t xml:space="preserve"> （ ）</w:t>
      </w:r>
    </w:p>
    <w:p>
      <w:pPr>
        <w:autoSpaceDE w:val="0"/>
        <w:autoSpaceDN w:val="0"/>
        <w:spacing w:line="360" w:lineRule="auto"/>
        <w:rPr>
          <w:rFonts w:ascii="宋体" w:hAnsi="宋体" w:cs="宋体"/>
          <w:sz w:val="24"/>
          <w:szCs w:val="24"/>
        </w:rPr>
      </w:pPr>
      <w:r>
        <w:rPr>
          <w:rFonts w:hint="eastAsia" w:ascii="宋体" w:hAnsi="宋体" w:cs="宋体"/>
          <w:sz w:val="24"/>
          <w:szCs w:val="24"/>
        </w:rPr>
        <w:t>十二</w:t>
      </w:r>
      <w:r>
        <w:rPr>
          <w:rFonts w:hint="eastAsia" w:ascii="宋体" w:hAnsi="宋体" w:cs="宋体"/>
          <w:sz w:val="24"/>
          <w:szCs w:val="24"/>
          <w:lang w:eastAsia="zh-CN"/>
        </w:rPr>
        <w:t>、</w:t>
      </w:r>
      <w:r>
        <w:rPr>
          <w:rFonts w:hint="eastAsia" w:ascii="宋体" w:hAnsi="宋体"/>
          <w:color w:val="000000"/>
          <w:sz w:val="24"/>
          <w:szCs w:val="24"/>
        </w:rPr>
        <w:t>依法缴纳税收的凭据</w:t>
      </w:r>
      <w:r>
        <w:rPr>
          <w:rFonts w:ascii="宋体" w:hAnsi="宋体"/>
          <w:color w:val="000000"/>
          <w:sz w:val="24"/>
          <w:szCs w:val="24"/>
        </w:rPr>
        <w:t>………………………………………………</w:t>
      </w:r>
      <w:r>
        <w:rPr>
          <w:rFonts w:hint="eastAsia" w:ascii="宋体" w:hAnsi="宋体"/>
          <w:color w:val="000000"/>
          <w:sz w:val="24"/>
          <w:szCs w:val="24"/>
          <w:lang w:val="en-US" w:eastAsia="zh-CN"/>
        </w:rPr>
        <w:t xml:space="preserve"> </w:t>
      </w:r>
      <w:r>
        <w:rPr>
          <w:rFonts w:hint="eastAsia" w:ascii="宋体" w:hAnsi="宋体"/>
          <w:color w:val="000000"/>
          <w:sz w:val="24"/>
          <w:szCs w:val="24"/>
        </w:rPr>
        <w:t>（ ）</w:t>
      </w:r>
    </w:p>
    <w:p>
      <w:pPr>
        <w:autoSpaceDE w:val="0"/>
        <w:autoSpaceDN w:val="0"/>
        <w:spacing w:line="360" w:lineRule="auto"/>
        <w:jc w:val="both"/>
        <w:rPr>
          <w:rFonts w:ascii="宋体" w:hAnsi="宋体" w:cs="宋体"/>
          <w:sz w:val="24"/>
          <w:szCs w:val="24"/>
        </w:rPr>
      </w:pPr>
      <w:r>
        <w:rPr>
          <w:rFonts w:hint="eastAsia" w:ascii="宋体" w:hAnsi="宋体" w:cs="宋体"/>
          <w:sz w:val="24"/>
          <w:szCs w:val="24"/>
        </w:rPr>
        <w:t>十三</w:t>
      </w:r>
      <w:r>
        <w:rPr>
          <w:rFonts w:hint="eastAsia" w:ascii="宋体" w:hAnsi="宋体" w:cs="宋体"/>
          <w:sz w:val="24"/>
          <w:szCs w:val="24"/>
          <w:lang w:eastAsia="zh-CN"/>
        </w:rPr>
        <w:t>、</w:t>
      </w:r>
      <w:r>
        <w:rPr>
          <w:rFonts w:hint="eastAsia" w:ascii="宋体" w:hAnsi="宋体"/>
          <w:color w:val="000000"/>
          <w:sz w:val="24"/>
          <w:szCs w:val="24"/>
        </w:rPr>
        <w:t>依法缴纳社会保险的凭</w:t>
      </w:r>
      <w:r>
        <w:rPr>
          <w:rFonts w:hint="eastAsia" w:ascii="宋体" w:hAnsi="宋体"/>
          <w:color w:val="000000"/>
          <w:sz w:val="24"/>
          <w:szCs w:val="24"/>
          <w:lang w:eastAsia="zh-CN"/>
        </w:rPr>
        <w:t>证</w:t>
      </w:r>
      <w:r>
        <w:rPr>
          <w:rFonts w:hint="eastAsia" w:ascii="宋体" w:hAnsi="宋体" w:cs="宋体"/>
          <w:sz w:val="24"/>
          <w:szCs w:val="24"/>
        </w:rPr>
        <w:t>………………………………………… （ ）</w:t>
      </w:r>
    </w:p>
    <w:p>
      <w:pPr>
        <w:autoSpaceDE w:val="0"/>
        <w:autoSpaceDN w:val="0"/>
        <w:spacing w:line="360" w:lineRule="auto"/>
        <w:jc w:val="left"/>
        <w:rPr>
          <w:rFonts w:ascii="宋体" w:hAnsi="宋体" w:cs="宋体"/>
          <w:sz w:val="24"/>
          <w:szCs w:val="24"/>
        </w:rPr>
      </w:pPr>
      <w:r>
        <w:rPr>
          <w:rFonts w:hint="eastAsia" w:ascii="宋体" w:hAnsi="宋体" w:cs="宋体"/>
          <w:sz w:val="24"/>
          <w:szCs w:val="24"/>
        </w:rPr>
        <w:t>十四</w:t>
      </w:r>
      <w:r>
        <w:rPr>
          <w:rFonts w:hint="eastAsia" w:ascii="宋体" w:hAnsi="宋体" w:cs="宋体"/>
          <w:sz w:val="24"/>
          <w:szCs w:val="24"/>
          <w:lang w:eastAsia="zh-CN"/>
        </w:rPr>
        <w:t>、</w:t>
      </w:r>
      <w:r>
        <w:rPr>
          <w:rFonts w:hint="eastAsia" w:ascii="宋体" w:hAnsi="宋体" w:cs="宋体"/>
          <w:sz w:val="24"/>
          <w:szCs w:val="24"/>
        </w:rPr>
        <w:t>参加政府采购前三年内在经营活动中无重大违法记录书面声明</w:t>
      </w:r>
      <w:r>
        <w:rPr>
          <w:rFonts w:ascii="宋体" w:hAnsi="宋体" w:cs="宋体"/>
          <w:sz w:val="24"/>
          <w:szCs w:val="24"/>
        </w:rPr>
        <w:t>…</w:t>
      </w:r>
      <w:r>
        <w:rPr>
          <w:rFonts w:hint="eastAsia" w:ascii="宋体" w:hAnsi="宋体" w:cs="宋体"/>
          <w:sz w:val="24"/>
          <w:szCs w:val="24"/>
        </w:rPr>
        <w:t>（ ）</w:t>
      </w:r>
    </w:p>
    <w:p>
      <w:pPr>
        <w:rPr>
          <w:rFonts w:ascii="宋体" w:hAnsi="宋体" w:cs="宋体"/>
          <w:sz w:val="24"/>
          <w:szCs w:val="24"/>
        </w:rPr>
      </w:pPr>
      <w:r>
        <w:rPr>
          <w:rFonts w:hint="eastAsia" w:ascii="宋体" w:hAnsi="宋体" w:cs="宋体"/>
          <w:sz w:val="24"/>
          <w:szCs w:val="24"/>
        </w:rPr>
        <w:t>十五</w:t>
      </w:r>
      <w:r>
        <w:rPr>
          <w:rFonts w:hint="eastAsia" w:ascii="宋体" w:hAnsi="宋体" w:cs="宋体"/>
          <w:sz w:val="24"/>
          <w:szCs w:val="24"/>
          <w:lang w:eastAsia="zh-CN"/>
        </w:rPr>
        <w:t>、</w:t>
      </w:r>
      <w:r>
        <w:rPr>
          <w:rFonts w:hint="eastAsia" w:ascii="宋体" w:hAnsi="宋体" w:cs="宋体"/>
          <w:sz w:val="24"/>
          <w:szCs w:val="24"/>
        </w:rPr>
        <w:t>各类证明材料…………………………………………………</w:t>
      </w:r>
      <w:r>
        <w:rPr>
          <w:rFonts w:ascii="宋体" w:hAnsi="宋体" w:cs="宋体"/>
          <w:sz w:val="24"/>
          <w:szCs w:val="24"/>
        </w:rPr>
        <w:t>………</w:t>
      </w:r>
      <w:r>
        <w:rPr>
          <w:rFonts w:hint="eastAsia" w:ascii="宋体" w:hAnsi="宋体" w:cs="宋体"/>
          <w:sz w:val="24"/>
          <w:szCs w:val="24"/>
        </w:rPr>
        <w:t>（ ）</w:t>
      </w:r>
    </w:p>
    <w:p>
      <w:pPr>
        <w:rPr>
          <w:rFonts w:ascii="宋体" w:hAnsi="宋体" w:cs="宋体"/>
          <w:sz w:val="24"/>
          <w:szCs w:val="24"/>
        </w:rPr>
      </w:pPr>
    </w:p>
    <w:p>
      <w:pPr>
        <w:pStyle w:val="3"/>
        <w:keepNext w:val="0"/>
        <w:keepLines w:val="0"/>
        <w:spacing w:line="360" w:lineRule="auto"/>
        <w:jc w:val="left"/>
        <w:rPr>
          <w:rFonts w:ascii="宋体" w:hAnsi="宋体" w:eastAsia="宋体"/>
          <w:color w:val="000000"/>
          <w:sz w:val="24"/>
          <w:szCs w:val="24"/>
          <w:lang w:eastAsia="zh-CN"/>
        </w:rPr>
      </w:pPr>
      <w:r>
        <w:rPr>
          <w:rFonts w:ascii="宋体" w:hAnsi="宋体" w:eastAsia="宋体"/>
          <w:color w:val="000000"/>
          <w:sz w:val="24"/>
          <w:szCs w:val="24"/>
          <w:lang w:eastAsia="zh-CN"/>
        </w:rPr>
        <w:br w:type="page"/>
      </w:r>
      <w:bookmarkEnd w:id="27"/>
    </w:p>
    <w:p>
      <w:pPr>
        <w:spacing w:line="360" w:lineRule="auto"/>
        <w:rPr>
          <w:rFonts w:ascii="宋体" w:hAnsi="宋体"/>
          <w:bCs/>
          <w:sz w:val="24"/>
          <w:szCs w:val="24"/>
        </w:rPr>
      </w:pPr>
      <w:r>
        <w:rPr>
          <w:rFonts w:hint="eastAsia" w:ascii="宋体" w:hAnsi="宋体"/>
          <w:bCs/>
          <w:sz w:val="24"/>
          <w:szCs w:val="24"/>
        </w:rPr>
        <w:t>格式三：</w:t>
      </w:r>
    </w:p>
    <w:p>
      <w:pPr>
        <w:spacing w:line="360" w:lineRule="auto"/>
        <w:jc w:val="center"/>
        <w:rPr>
          <w:rFonts w:ascii="宋体" w:hAnsi="宋体"/>
          <w:b/>
          <w:bCs w:val="0"/>
          <w:sz w:val="24"/>
          <w:szCs w:val="24"/>
        </w:rPr>
      </w:pPr>
      <w:r>
        <w:rPr>
          <w:rFonts w:hint="eastAsia" w:ascii="宋体" w:hAnsi="宋体"/>
          <w:b/>
          <w:bCs w:val="0"/>
          <w:sz w:val="24"/>
          <w:szCs w:val="24"/>
        </w:rPr>
        <w:t>投标承诺书</w:t>
      </w:r>
    </w:p>
    <w:p>
      <w:pPr>
        <w:spacing w:line="360" w:lineRule="auto"/>
        <w:rPr>
          <w:rFonts w:ascii="宋体" w:hAnsi="宋体"/>
          <w:sz w:val="24"/>
          <w:szCs w:val="24"/>
        </w:rPr>
      </w:pPr>
      <w:r>
        <w:rPr>
          <w:rFonts w:hint="eastAsia" w:ascii="宋体" w:hAnsi="宋体"/>
          <w:sz w:val="24"/>
          <w:szCs w:val="24"/>
          <w:lang w:eastAsia="zh-CN"/>
        </w:rPr>
        <w:t>（采购单位名称）</w:t>
      </w:r>
      <w:r>
        <w:rPr>
          <w:rFonts w:hint="eastAsia" w:ascii="宋体" w:hAnsi="宋体"/>
          <w:sz w:val="24"/>
          <w:szCs w:val="24"/>
        </w:rPr>
        <w:t xml:space="preserve">： </w:t>
      </w:r>
    </w:p>
    <w:p>
      <w:pPr>
        <w:spacing w:line="360" w:lineRule="auto"/>
        <w:ind w:firstLine="528" w:firstLineChars="220"/>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单一来源文件要求，经我方认真研究投标须知、合同条款、技术规范、资质要求和其它有关要求后，我方愿按上述合同条款、技术规范、资质要求进行投标。我方完全接受本次单一来源文件规定的所有要求，并承诺在中标后执行单一来源文件、响应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sz w:val="24"/>
          <w:szCs w:val="24"/>
        </w:rPr>
      </w:pPr>
      <w:r>
        <w:rPr>
          <w:rFonts w:hint="eastAsia" w:ascii="宋体" w:hAnsi="宋体"/>
          <w:sz w:val="24"/>
          <w:szCs w:val="24"/>
        </w:rPr>
        <w:t xml:space="preserve">    2. 我方同意所递交的响应文件在“投标须知”规定的投标有效期内有效，在此期间内我方的投标如能中标，我方将受此约束。</w:t>
      </w:r>
    </w:p>
    <w:p>
      <w:pPr>
        <w:spacing w:line="360" w:lineRule="auto"/>
        <w:ind w:firstLine="528" w:firstLineChars="220"/>
        <w:rPr>
          <w:rFonts w:ascii="宋体" w:hAnsi="宋体"/>
          <w:sz w:val="24"/>
          <w:szCs w:val="24"/>
        </w:rPr>
      </w:pPr>
      <w:r>
        <w:rPr>
          <w:rFonts w:hint="eastAsia" w:ascii="宋体" w:hAnsi="宋体"/>
          <w:sz w:val="24"/>
          <w:szCs w:val="24"/>
        </w:rPr>
        <w:t>3. 我方郑重声明：所提供的响应文件内容全部真实有效。如经查实承诺的内容事项存在虚假，我公司愿意接受提供虚假材料谋取中标追究法律责任。</w:t>
      </w:r>
    </w:p>
    <w:p>
      <w:pPr>
        <w:spacing w:line="36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36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可能另外要求的与其投标有关的任何数据或资料。除非另外达成协议并生效，否则，中标通知书和本响应文件将构成约束双方合同的组成部分。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kern w:val="0"/>
          <w:sz w:val="24"/>
          <w:szCs w:val="24"/>
        </w:rPr>
        <w:t xml:space="preserve">6. </w:t>
      </w:r>
      <w:r>
        <w:rPr>
          <w:rFonts w:hint="eastAsia" w:ascii="宋体" w:hAnsi="宋体"/>
          <w:color w:val="000000"/>
          <w:kern w:val="0"/>
          <w:sz w:val="24"/>
          <w:szCs w:val="24"/>
        </w:rPr>
        <w:t>我单位如果出现违法违规情况，愿意承担取消中标资格、接受有关监督部门处罚等后果。</w:t>
      </w:r>
    </w:p>
    <w:p>
      <w:pPr>
        <w:spacing w:line="360" w:lineRule="auto"/>
        <w:ind w:firstLine="528" w:firstLineChars="220"/>
        <w:rPr>
          <w:rFonts w:ascii="宋体" w:hAnsi="宋体"/>
          <w:color w:val="000000"/>
          <w:kern w:val="0"/>
          <w:sz w:val="24"/>
          <w:szCs w:val="24"/>
        </w:rPr>
      </w:pPr>
    </w:p>
    <w:p>
      <w:pPr>
        <w:spacing w:line="360" w:lineRule="auto"/>
        <w:ind w:firstLine="528" w:firstLineChars="220"/>
        <w:rPr>
          <w:rFonts w:ascii="宋体" w:hAnsi="宋体"/>
          <w:color w:val="000000"/>
          <w:kern w:val="0"/>
          <w:sz w:val="24"/>
          <w:szCs w:val="24"/>
        </w:rPr>
      </w:pPr>
    </w:p>
    <w:p>
      <w:pPr>
        <w:spacing w:line="360" w:lineRule="auto"/>
        <w:ind w:firstLine="768" w:firstLineChars="32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rPr>
        <w:t>供应商开户银行：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 xml:space="preserve">供应商法人签字：            </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供应商法人授权代表签字：（加盖公章）     年 月 日</w:t>
      </w:r>
      <w:r>
        <w:rPr>
          <w:rFonts w:ascii="宋体" w:hAnsi="宋体"/>
          <w:color w:val="000000"/>
          <w:sz w:val="24"/>
          <w:szCs w:val="24"/>
        </w:rPr>
        <w:br w:type="page"/>
      </w:r>
    </w:p>
    <w:p>
      <w:pPr>
        <w:adjustRightInd w:val="0"/>
        <w:snapToGrid w:val="0"/>
        <w:spacing w:line="360" w:lineRule="auto"/>
        <w:rPr>
          <w:rFonts w:ascii="宋体" w:hAnsi="宋体"/>
          <w:sz w:val="24"/>
          <w:szCs w:val="24"/>
        </w:rPr>
      </w:pPr>
      <w:r>
        <w:rPr>
          <w:rFonts w:hint="eastAsia" w:ascii="宋体" w:hAnsi="宋体"/>
          <w:sz w:val="24"/>
          <w:szCs w:val="24"/>
        </w:rPr>
        <w:t>格式四：</w:t>
      </w:r>
    </w:p>
    <w:p>
      <w:pPr>
        <w:adjustRightInd w:val="0"/>
        <w:snapToGrid w:val="0"/>
        <w:spacing w:line="360" w:lineRule="auto"/>
        <w:jc w:val="center"/>
        <w:rPr>
          <w:rFonts w:ascii="宋体" w:hAnsi="宋体"/>
          <w:b/>
          <w:bCs/>
          <w:sz w:val="24"/>
          <w:szCs w:val="24"/>
        </w:rPr>
      </w:pPr>
      <w:r>
        <w:rPr>
          <w:rFonts w:hint="eastAsia" w:ascii="宋体" w:hAnsi="宋体"/>
          <w:b/>
          <w:bCs/>
          <w:sz w:val="24"/>
          <w:szCs w:val="24"/>
        </w:rPr>
        <w:t>开标一览表</w:t>
      </w:r>
    </w:p>
    <w:p>
      <w:pPr>
        <w:pStyle w:val="229"/>
        <w:spacing w:line="360" w:lineRule="auto"/>
        <w:ind w:left="57" w:right="57" w:firstLine="57"/>
        <w:rPr>
          <w:rFonts w:hAnsi="宋体"/>
          <w:bCs/>
          <w:sz w:val="24"/>
          <w:szCs w:val="24"/>
        </w:rPr>
      </w:pPr>
    </w:p>
    <w:p>
      <w:pPr>
        <w:pStyle w:val="229"/>
        <w:spacing w:line="360" w:lineRule="auto"/>
        <w:ind w:left="57" w:right="57" w:firstLine="57"/>
        <w:rPr>
          <w:rFonts w:hAnsi="宋体"/>
          <w:sz w:val="24"/>
          <w:szCs w:val="24"/>
        </w:rPr>
      </w:pPr>
      <w:r>
        <w:rPr>
          <w:rFonts w:hint="eastAsia" w:hAnsi="宋体"/>
          <w:sz w:val="24"/>
          <w:szCs w:val="24"/>
        </w:rPr>
        <w:t>供应商名称（加盖公章）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4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sz w:val="24"/>
                <w:szCs w:val="24"/>
              </w:rPr>
            </w:pPr>
            <w:r>
              <w:rPr>
                <w:rFonts w:hint="eastAsia" w:ascii="宋体" w:hAnsi="宋体"/>
                <w:sz w:val="24"/>
                <w:szCs w:val="24"/>
              </w:rPr>
              <w:t>投标总报价（元）</w:t>
            </w:r>
          </w:p>
        </w:tc>
        <w:tc>
          <w:tcPr>
            <w:tcW w:w="1997" w:type="dxa"/>
            <w:vAlign w:val="center"/>
          </w:tcPr>
          <w:p>
            <w:pPr>
              <w:spacing w:line="360" w:lineRule="auto"/>
              <w:jc w:val="center"/>
              <w:rPr>
                <w:rFonts w:ascii="宋体" w:hAnsi="宋体"/>
                <w:sz w:val="24"/>
                <w:szCs w:val="24"/>
              </w:rPr>
            </w:pPr>
            <w:r>
              <w:rPr>
                <w:rFonts w:hint="eastAsia" w:ascii="宋体" w:hAnsi="宋体"/>
                <w:sz w:val="24"/>
                <w:szCs w:val="24"/>
              </w:rPr>
              <w:t>交付使用时间</w:t>
            </w:r>
          </w:p>
        </w:tc>
        <w:tc>
          <w:tcPr>
            <w:tcW w:w="1997" w:type="dxa"/>
            <w:vAlign w:val="center"/>
          </w:tcPr>
          <w:p>
            <w:pPr>
              <w:spacing w:line="360" w:lineRule="auto"/>
              <w:jc w:val="center"/>
              <w:rPr>
                <w:rFonts w:ascii="宋体" w:hAnsi="宋体"/>
                <w:sz w:val="24"/>
                <w:szCs w:val="24"/>
              </w:rPr>
            </w:pPr>
            <w:r>
              <w:rPr>
                <w:rFonts w:hint="eastAsia" w:ascii="宋体" w:hAnsi="宋体"/>
                <w:sz w:val="24"/>
                <w:szCs w:val="24"/>
              </w:rPr>
              <w:t>售后服务网点</w:t>
            </w:r>
          </w:p>
        </w:tc>
        <w:tc>
          <w:tcPr>
            <w:tcW w:w="1877" w:type="dxa"/>
            <w:vAlign w:val="center"/>
          </w:tcPr>
          <w:p>
            <w:pPr>
              <w:spacing w:line="360" w:lineRule="auto"/>
              <w:jc w:val="center"/>
              <w:rPr>
                <w:rFonts w:ascii="宋体" w:hAnsi="宋体"/>
                <w:sz w:val="24"/>
                <w:szCs w:val="24"/>
              </w:rPr>
            </w:pPr>
            <w:r>
              <w:rPr>
                <w:rFonts w:hint="eastAsia" w:ascii="宋体" w:hAnsi="宋体"/>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sz w:val="24"/>
                <w:szCs w:val="24"/>
              </w:rPr>
            </w:pPr>
            <w:r>
              <w:rPr>
                <w:rFonts w:hint="eastAsia" w:ascii="宋体" w:hAnsi="宋体"/>
                <w:sz w:val="24"/>
                <w:szCs w:val="24"/>
              </w:rPr>
              <w:t>大写：</w:t>
            </w:r>
          </w:p>
        </w:tc>
        <w:tc>
          <w:tcPr>
            <w:tcW w:w="1997" w:type="dxa"/>
            <w:vMerge w:val="restart"/>
            <w:vAlign w:val="center"/>
          </w:tcPr>
          <w:p>
            <w:pPr>
              <w:spacing w:line="360" w:lineRule="auto"/>
              <w:ind w:left="57" w:right="57" w:firstLine="57"/>
              <w:jc w:val="center"/>
              <w:outlineLvl w:val="0"/>
              <w:rPr>
                <w:rFonts w:ascii="宋体" w:hAnsi="宋体"/>
                <w:sz w:val="24"/>
                <w:szCs w:val="24"/>
              </w:rPr>
            </w:pPr>
          </w:p>
        </w:tc>
        <w:tc>
          <w:tcPr>
            <w:tcW w:w="1997" w:type="dxa"/>
            <w:vMerge w:val="restart"/>
            <w:vAlign w:val="center"/>
          </w:tcPr>
          <w:p>
            <w:pPr>
              <w:spacing w:line="360" w:lineRule="auto"/>
              <w:ind w:left="57" w:right="57" w:firstLine="57"/>
              <w:jc w:val="center"/>
              <w:outlineLvl w:val="0"/>
              <w:rPr>
                <w:rFonts w:ascii="宋体" w:hAnsi="宋体"/>
                <w:sz w:val="24"/>
                <w:szCs w:val="24"/>
              </w:rPr>
            </w:pPr>
          </w:p>
        </w:tc>
        <w:tc>
          <w:tcPr>
            <w:tcW w:w="1877" w:type="dxa"/>
            <w:vMerge w:val="restart"/>
            <w:vAlign w:val="top"/>
          </w:tcPr>
          <w:p>
            <w:pPr>
              <w:spacing w:line="360" w:lineRule="auto"/>
              <w:ind w:left="57" w:right="57" w:firstLine="57"/>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sz w:val="24"/>
                <w:szCs w:val="24"/>
              </w:rPr>
            </w:pPr>
            <w:r>
              <w:rPr>
                <w:rFonts w:hint="eastAsia" w:ascii="宋体" w:hAnsi="宋体"/>
                <w:sz w:val="24"/>
                <w:szCs w:val="24"/>
              </w:rPr>
              <w:t>小写：</w:t>
            </w:r>
          </w:p>
        </w:tc>
        <w:tc>
          <w:tcPr>
            <w:tcW w:w="1997" w:type="dxa"/>
            <w:vMerge w:val="continue"/>
            <w:vAlign w:val="center"/>
          </w:tcPr>
          <w:p>
            <w:pPr>
              <w:spacing w:line="360" w:lineRule="auto"/>
              <w:ind w:left="57" w:right="57" w:firstLine="57"/>
              <w:jc w:val="center"/>
              <w:outlineLvl w:val="0"/>
              <w:rPr>
                <w:rFonts w:ascii="宋体" w:hAnsi="宋体"/>
                <w:sz w:val="24"/>
                <w:szCs w:val="24"/>
              </w:rPr>
            </w:pPr>
          </w:p>
        </w:tc>
        <w:tc>
          <w:tcPr>
            <w:tcW w:w="1997" w:type="dxa"/>
            <w:vMerge w:val="continue"/>
            <w:vAlign w:val="center"/>
          </w:tcPr>
          <w:p>
            <w:pPr>
              <w:spacing w:line="360" w:lineRule="auto"/>
              <w:ind w:left="57" w:right="57" w:firstLine="57"/>
              <w:jc w:val="center"/>
              <w:outlineLvl w:val="0"/>
              <w:rPr>
                <w:rFonts w:ascii="宋体" w:hAnsi="宋体"/>
                <w:sz w:val="24"/>
                <w:szCs w:val="24"/>
              </w:rPr>
            </w:pPr>
          </w:p>
        </w:tc>
        <w:tc>
          <w:tcPr>
            <w:tcW w:w="1877" w:type="dxa"/>
            <w:vMerge w:val="continue"/>
            <w:vAlign w:val="top"/>
          </w:tcPr>
          <w:p>
            <w:pPr>
              <w:spacing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2．价格应按照“供应商须知”的要求报价。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》中所填写内容与响应文件中内容不一致的，以开标一览表为准。</w:t>
      </w:r>
    </w:p>
    <w:p>
      <w:pPr>
        <w:adjustRightInd w:val="0"/>
        <w:snapToGrid w:val="0"/>
        <w:spacing w:line="360" w:lineRule="auto"/>
        <w:ind w:firstLine="720" w:firstLineChars="300"/>
        <w:rPr>
          <w:rFonts w:ascii="宋体" w:hAnsi="宋体" w:cs="Courier New"/>
          <w:kern w:val="0"/>
          <w:sz w:val="24"/>
          <w:szCs w:val="24"/>
        </w:rPr>
      </w:pPr>
    </w:p>
    <w:p>
      <w:pPr>
        <w:spacing w:line="360" w:lineRule="auto"/>
        <w:ind w:right="240"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2880" w:firstLineChars="1200"/>
        <w:jc w:val="both"/>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autoSpaceDE w:val="0"/>
        <w:autoSpaceDN w:val="0"/>
        <w:spacing w:line="360" w:lineRule="auto"/>
        <w:jc w:val="center"/>
        <w:rPr>
          <w:rFonts w:ascii="宋体" w:hAnsi="宋体"/>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cols w:space="720" w:num="1"/>
          <w:titlePg/>
          <w:docGrid w:linePitch="312" w:charSpace="0"/>
        </w:sectPr>
      </w:pPr>
      <w:r>
        <w:rPr>
          <w:rFonts w:hint="eastAsia" w:ascii="宋体" w:hAnsi="宋体"/>
          <w:sz w:val="24"/>
          <w:szCs w:val="24"/>
        </w:rPr>
        <w:t xml:space="preserve">                年    月 </w:t>
      </w:r>
      <w:r>
        <w:rPr>
          <w:rFonts w:hint="eastAsia" w:ascii="宋体" w:hAnsi="宋体"/>
          <w:sz w:val="24"/>
          <w:szCs w:val="24"/>
          <w:lang w:val="en-US" w:eastAsia="zh-CN"/>
        </w:rPr>
        <w:t xml:space="preserve">  日</w:t>
      </w:r>
      <w:r>
        <w:rPr>
          <w:rFonts w:hint="eastAsia" w:ascii="宋体" w:hAnsi="宋体"/>
          <w:sz w:val="24"/>
          <w:szCs w:val="24"/>
        </w:rPr>
        <w:t xml:space="preserve">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格式五：</w:t>
      </w:r>
    </w:p>
    <w:p>
      <w:pPr>
        <w:spacing w:line="360" w:lineRule="auto"/>
        <w:ind w:firstLine="42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（供应商名称）的法定代表人。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4920" w:firstLineChars="2050"/>
        <w:rPr>
          <w:rFonts w:asciiTheme="minorEastAsia" w:hAnsiTheme="minorEastAsia" w:eastAsiaTheme="minorEastAsia"/>
          <w:sz w:val="24"/>
          <w:szCs w:val="24"/>
        </w:rPr>
      </w:pPr>
    </w:p>
    <w:tbl>
      <w:tblPr>
        <w:tblStyle w:val="4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r>
        <w:rPr>
          <w:rFonts w:hint="eastAsia" w:asciiTheme="minorEastAsia" w:hAnsiTheme="minorEastAsia" w:eastAsiaTheme="minorEastAsia"/>
          <w:sz w:val="24"/>
          <w:szCs w:val="24"/>
        </w:rPr>
        <w:t xml:space="preserve">格式六： </w:t>
      </w:r>
    </w:p>
    <w:p>
      <w:pPr>
        <w:spacing w:line="360" w:lineRule="auto"/>
        <w:ind w:firstLine="42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4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sz w:val="24"/>
          <w:szCs w:val="24"/>
        </w:rPr>
      </w:pPr>
      <w:bookmarkStart w:id="28" w:name="_Toc496001220"/>
      <w:r>
        <w:rPr>
          <w:rFonts w:hint="eastAsia" w:asciiTheme="minorEastAsia" w:hAnsiTheme="minorEastAsia" w:eastAsiaTheme="minorEastAsia"/>
          <w:sz w:val="24"/>
          <w:szCs w:val="24"/>
        </w:rPr>
        <w:t>格式七</w:t>
      </w:r>
      <w:bookmarkEnd w:id="28"/>
      <w:r>
        <w:rPr>
          <w:rFonts w:hint="eastAsia" w:asciiTheme="minorEastAsia" w:hAnsiTheme="minorEastAsia" w:eastAsiaTheme="minorEastAsia"/>
          <w:sz w:val="24"/>
          <w:szCs w:val="24"/>
        </w:rPr>
        <w:t>：</w:t>
      </w:r>
    </w:p>
    <w:p>
      <w:pPr>
        <w:spacing w:line="360" w:lineRule="auto"/>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交、撤回、修改招标项目响应文件、签订合同和处理有关事宜，其法律后果由我方承担。委托期限：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注：本授权委托书需由供应商加盖单位公章并由其法定代表人和委托代理人签字。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23"/>
        <w:spacing w:line="360" w:lineRule="auto"/>
        <w:ind w:right="57"/>
        <w:jc w:val="center"/>
        <w:rPr>
          <w:rFonts w:asciiTheme="minorEastAsia" w:hAnsiTheme="minorEastAsia" w:eastAsiaTheme="minorEastAsia"/>
          <w:sz w:val="24"/>
          <w:szCs w:val="24"/>
        </w:rPr>
      </w:pP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pStyle w:val="23"/>
        <w:spacing w:line="360" w:lineRule="auto"/>
        <w:ind w:right="57"/>
        <w:jc w:val="center"/>
        <w:rPr>
          <w:rFonts w:asciiTheme="minorEastAsia" w:hAnsiTheme="minorEastAsia" w:eastAsiaTheme="minorEastAsia"/>
          <w:sz w:val="24"/>
          <w:szCs w:val="24"/>
        </w:rPr>
      </w:pPr>
      <w:r>
        <w:rPr>
          <w:rFonts w:asciiTheme="minorEastAsia" w:hAnsiTheme="minorEastAsia" w:eastAsiaTheme="minorEastAsia"/>
          <w:sz w:val="24"/>
          <w:szCs w:val="24"/>
        </w:rPr>
        <w:br w:type="page"/>
      </w:r>
    </w:p>
    <w:p>
      <w:pPr>
        <w:adjustRightInd w:val="0"/>
        <w:snapToGrid w:val="0"/>
        <w:spacing w:line="360" w:lineRule="auto"/>
        <w:jc w:val="left"/>
        <w:rPr>
          <w:rFonts w:hAnsi="宋体"/>
          <w:bCs/>
          <w:color w:val="000000"/>
          <w:sz w:val="24"/>
          <w:szCs w:val="24"/>
        </w:rPr>
      </w:pPr>
      <w:r>
        <w:rPr>
          <w:rFonts w:hint="eastAsia" w:asciiTheme="minorEastAsia" w:hAnsiTheme="minorEastAsia" w:eastAsiaTheme="minorEastAsia"/>
          <w:sz w:val="24"/>
          <w:szCs w:val="24"/>
          <w:lang w:val="en-US" w:eastAsia="zh-CN"/>
        </w:rPr>
        <w:t xml:space="preserve"> </w:t>
      </w:r>
      <w:r>
        <w:rPr>
          <w:rFonts w:hint="eastAsia" w:hAnsi="宋体"/>
          <w:bCs/>
          <w:color w:val="000000"/>
          <w:sz w:val="24"/>
          <w:szCs w:val="24"/>
        </w:rPr>
        <w:t>格式</w:t>
      </w:r>
      <w:r>
        <w:rPr>
          <w:rFonts w:hint="eastAsia" w:hAnsi="宋体"/>
          <w:bCs/>
          <w:color w:val="000000"/>
          <w:sz w:val="24"/>
          <w:szCs w:val="24"/>
          <w:lang w:val="en-US" w:eastAsia="zh-CN"/>
        </w:rPr>
        <w:t>八</w:t>
      </w:r>
      <w:r>
        <w:rPr>
          <w:rFonts w:hint="eastAsia" w:hAnsi="宋体"/>
          <w:bCs/>
          <w:color w:val="000000"/>
          <w:sz w:val="24"/>
          <w:szCs w:val="24"/>
        </w:rPr>
        <w:t xml:space="preserve">： </w:t>
      </w:r>
    </w:p>
    <w:p>
      <w:pPr>
        <w:spacing w:line="360" w:lineRule="auto"/>
        <w:jc w:val="center"/>
        <w:rPr>
          <w:rFonts w:ascii="宋体" w:hAnsi="宋体"/>
          <w:b/>
          <w:sz w:val="24"/>
          <w:szCs w:val="24"/>
        </w:rPr>
      </w:pPr>
      <w:r>
        <w:rPr>
          <w:rFonts w:hint="eastAsia" w:ascii="宋体" w:hAnsi="宋体"/>
          <w:b/>
          <w:sz w:val="24"/>
          <w:szCs w:val="24"/>
        </w:rPr>
        <w:t>投标货物分项报价明细表</w:t>
      </w:r>
    </w:p>
    <w:p>
      <w:pPr>
        <w:adjustRightInd w:val="0"/>
        <w:snapToGrid w:val="0"/>
        <w:spacing w:line="360" w:lineRule="auto"/>
        <w:rPr>
          <w:rFonts w:ascii="宋体" w:hAnsi="宋体"/>
          <w:sz w:val="24"/>
          <w:szCs w:val="24"/>
        </w:rPr>
      </w:pPr>
    </w:p>
    <w:tbl>
      <w:tblPr>
        <w:tblStyle w:val="43"/>
        <w:tblW w:w="906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37"/>
        <w:gridCol w:w="1329"/>
        <w:gridCol w:w="1656"/>
        <w:gridCol w:w="1656"/>
        <w:gridCol w:w="1317"/>
        <w:gridCol w:w="1317"/>
        <w:gridCol w:w="124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329"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1656"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品牌、型号</w:t>
            </w: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数量及单位</w:t>
            </w: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单价（元）</w:t>
            </w: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总价（元）</w:t>
            </w:r>
          </w:p>
        </w:tc>
        <w:tc>
          <w:tcPr>
            <w:tcW w:w="1248"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178" w:type="dxa"/>
            <w:gridSpan w:val="4"/>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合计</w:t>
            </w: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r>
        <w:rPr>
          <w:rFonts w:hint="eastAsia" w:ascii="宋体" w:hAnsi="宋体"/>
          <w:color w:val="000000"/>
          <w:sz w:val="24"/>
          <w:szCs w:val="24"/>
        </w:rPr>
        <w:t>说明：</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1．供货内容尽可能详细，涉及配件、备品、备件的应在备注中列出。</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w:t>
      </w:r>
      <w:r>
        <w:rPr>
          <w:rFonts w:hint="eastAsia" w:ascii="宋体" w:hAnsi="宋体" w:cs="宋体"/>
          <w:sz w:val="24"/>
          <w:szCs w:val="24"/>
        </w:rPr>
        <w:t>此表将随成交公告一并公示，请供应商认真填写</w:t>
      </w:r>
      <w:r>
        <w:rPr>
          <w:rFonts w:hint="eastAsia" w:ascii="宋体" w:hAnsi="宋体"/>
          <w:color w:val="000000"/>
          <w:sz w:val="24"/>
          <w:szCs w:val="24"/>
        </w:rPr>
        <w:t>。</w:t>
      </w:r>
    </w:p>
    <w:p>
      <w:pPr>
        <w:suppressAutoHyphens/>
        <w:snapToGrid w:val="0"/>
        <w:spacing w:line="360" w:lineRule="auto"/>
        <w:rPr>
          <w:rFonts w:ascii="宋体" w:hAnsi="宋体" w:cs="宋体"/>
          <w:sz w:val="21"/>
          <w:szCs w:val="21"/>
        </w:rPr>
      </w:pPr>
    </w:p>
    <w:p>
      <w:pPr>
        <w:suppressAutoHyphens/>
        <w:snapToGrid w:val="0"/>
        <w:spacing w:line="360" w:lineRule="auto"/>
        <w:ind w:left="432"/>
        <w:rPr>
          <w:rFonts w:ascii="宋体" w:hAnsi="宋体" w:cs="宋体"/>
          <w:sz w:val="21"/>
          <w:szCs w:val="21"/>
        </w:rPr>
      </w:pPr>
      <w:r>
        <w:rPr>
          <w:rFonts w:hint="eastAsia" w:ascii="宋体" w:hAnsi="宋体" w:cs="宋体"/>
          <w:sz w:val="21"/>
          <w:szCs w:val="21"/>
        </w:rPr>
        <w:t xml:space="preserve">                                      </w:t>
      </w:r>
      <w:r>
        <w:rPr>
          <w:rFonts w:hint="eastAsia" w:ascii="宋体" w:hAnsi="宋体" w:cs="宋体"/>
          <w:sz w:val="24"/>
          <w:szCs w:val="24"/>
        </w:rPr>
        <w:t>供应商名称（盖章）：</w:t>
      </w:r>
      <w:r>
        <w:rPr>
          <w:rFonts w:hint="eastAsia" w:ascii="宋体" w:hAnsi="宋体" w:cs="宋体"/>
          <w:sz w:val="21"/>
          <w:szCs w:val="21"/>
          <w:u w:val="single"/>
        </w:rPr>
        <w:t xml:space="preserve">                        </w:t>
      </w:r>
    </w:p>
    <w:p>
      <w:pPr>
        <w:suppressAutoHyphens/>
        <w:spacing w:line="360" w:lineRule="auto"/>
        <w:ind w:left="432"/>
        <w:rPr>
          <w:rFonts w:hint="eastAsia" w:ascii="宋体" w:hAnsi="宋体" w:cs="宋体"/>
          <w:sz w:val="24"/>
          <w:szCs w:val="24"/>
        </w:rPr>
      </w:pPr>
      <w:r>
        <w:rPr>
          <w:rFonts w:hint="eastAsia" w:ascii="宋体" w:hAnsi="宋体" w:cs="宋体"/>
          <w:sz w:val="21"/>
          <w:szCs w:val="21"/>
        </w:rPr>
        <w:t xml:space="preserve">                                               </w:t>
      </w:r>
      <w:r>
        <w:rPr>
          <w:rFonts w:hint="eastAsia" w:ascii="宋体" w:hAnsi="宋体" w:cs="宋体"/>
          <w:sz w:val="24"/>
          <w:szCs w:val="24"/>
        </w:rPr>
        <w:t xml:space="preserve">   年   月   日</w:t>
      </w:r>
    </w:p>
    <w:p>
      <w:pPr>
        <w:adjustRightInd w:val="0"/>
        <w:snapToGrid w:val="0"/>
        <w:spacing w:line="360" w:lineRule="auto"/>
        <w:ind w:firstLine="480" w:firstLineChars="200"/>
        <w:rPr>
          <w:rFonts w:ascii="宋体" w:hAnsi="宋体"/>
          <w:color w:val="000000"/>
          <w:sz w:val="24"/>
          <w:szCs w:val="24"/>
        </w:rPr>
      </w:pPr>
    </w:p>
    <w:p>
      <w:pPr>
        <w:rPr>
          <w:b/>
          <w:sz w:val="24"/>
          <w:szCs w:val="24"/>
          <w:lang w:val="zh-CN"/>
        </w:rPr>
      </w:pPr>
      <w:r>
        <w:rPr>
          <w:b/>
          <w:sz w:val="24"/>
          <w:szCs w:val="24"/>
          <w:lang w:val="zh-CN"/>
        </w:rPr>
        <w:br w:type="page"/>
      </w:r>
    </w:p>
    <w:p>
      <w:pPr>
        <w:rPr>
          <w:sz w:val="24"/>
          <w:szCs w:val="24"/>
          <w:lang w:val="zh-CN"/>
        </w:rPr>
      </w:pPr>
      <w:r>
        <w:rPr>
          <w:rFonts w:hint="eastAsia"/>
          <w:sz w:val="24"/>
          <w:szCs w:val="24"/>
          <w:lang w:val="zh-CN"/>
        </w:rPr>
        <w:t>格式</w:t>
      </w:r>
      <w:r>
        <w:rPr>
          <w:rFonts w:hint="eastAsia"/>
          <w:sz w:val="24"/>
          <w:szCs w:val="24"/>
          <w:lang w:val="en-US" w:eastAsia="zh-CN"/>
        </w:rPr>
        <w:t>九</w:t>
      </w:r>
      <w:r>
        <w:rPr>
          <w:rFonts w:hint="eastAsia"/>
          <w:sz w:val="24"/>
          <w:szCs w:val="24"/>
          <w:lang w:val="zh-CN"/>
        </w:rPr>
        <w:t>：</w:t>
      </w:r>
    </w:p>
    <w:p>
      <w:pPr>
        <w:rPr>
          <w:sz w:val="24"/>
          <w:szCs w:val="24"/>
          <w:lang w:val="zh-CN"/>
        </w:rPr>
      </w:pPr>
    </w:p>
    <w:p>
      <w:pPr>
        <w:jc w:val="center"/>
        <w:rPr>
          <w:rFonts w:hint="eastAsia" w:ascii="宋体" w:hAnsi="宋体"/>
          <w:b/>
          <w:sz w:val="24"/>
          <w:szCs w:val="24"/>
        </w:rPr>
      </w:pPr>
      <w:r>
        <w:rPr>
          <w:rFonts w:hint="eastAsia" w:ascii="宋体" w:hAnsi="宋体"/>
          <w:b/>
          <w:sz w:val="24"/>
          <w:szCs w:val="24"/>
        </w:rPr>
        <w:t>投标货物情况介绍表</w:t>
      </w:r>
    </w:p>
    <w:p>
      <w:pPr>
        <w:jc w:val="center"/>
        <w:rPr>
          <w:rFonts w:hint="eastAsia" w:ascii="宋体" w:hAnsi="宋体"/>
          <w:b/>
          <w:sz w:val="24"/>
          <w:szCs w:val="24"/>
        </w:rPr>
      </w:pPr>
    </w:p>
    <w:tbl>
      <w:tblPr>
        <w:tblStyle w:val="43"/>
        <w:tblW w:w="906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37"/>
        <w:gridCol w:w="1329"/>
        <w:gridCol w:w="1656"/>
        <w:gridCol w:w="1656"/>
        <w:gridCol w:w="1317"/>
        <w:gridCol w:w="1317"/>
        <w:gridCol w:w="124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329"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1656"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品牌、型号</w:t>
            </w: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生产厂家</w:t>
            </w: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生产产地</w:t>
            </w: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进口/国产</w:t>
            </w:r>
          </w:p>
        </w:tc>
        <w:tc>
          <w:tcPr>
            <w:tcW w:w="1248"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bl>
    <w:p>
      <w:r>
        <w:br w:type="page"/>
      </w:r>
    </w:p>
    <w:p>
      <w:pPr>
        <w:widowControl/>
        <w:rPr>
          <w:sz w:val="21"/>
        </w:rPr>
      </w:pPr>
    </w:p>
    <w:p>
      <w:pPr>
        <w:spacing w:line="360" w:lineRule="auto"/>
        <w:ind w:left="0" w:leftChars="0" w:firstLine="0" w:firstLineChars="0"/>
        <w:rPr>
          <w:rFonts w:hint="eastAsia" w:ascii="宋体" w:hAnsi="宋体"/>
          <w:bCs/>
          <w:color w:val="000000"/>
          <w:kern w:val="0"/>
          <w:sz w:val="24"/>
          <w:szCs w:val="24"/>
          <w:lang w:val="zh-CN"/>
        </w:rPr>
      </w:pPr>
      <w:r>
        <w:rPr>
          <w:rFonts w:hint="eastAsia"/>
          <w:sz w:val="24"/>
          <w:lang w:val="en-US" w:eastAsia="zh-CN"/>
        </w:rPr>
        <w:t xml:space="preserve"> </w:t>
      </w:r>
      <w:r>
        <w:rPr>
          <w:rFonts w:hint="eastAsia" w:ascii="宋体" w:hAnsi="宋体"/>
          <w:bCs/>
          <w:color w:val="000000"/>
          <w:kern w:val="0"/>
          <w:sz w:val="24"/>
          <w:szCs w:val="24"/>
          <w:lang w:val="zh-CN"/>
        </w:rPr>
        <w:t>格式十：</w:t>
      </w:r>
    </w:p>
    <w:p>
      <w:pPr>
        <w:spacing w:line="360" w:lineRule="auto"/>
        <w:ind w:left="0" w:leftChars="0" w:firstLine="0" w:firstLineChars="0"/>
        <w:jc w:val="center"/>
        <w:rPr>
          <w:rFonts w:ascii="宋体" w:hAnsi="宋体"/>
          <w:b/>
          <w:color w:val="000000"/>
          <w:sz w:val="24"/>
          <w:szCs w:val="24"/>
        </w:rPr>
      </w:pPr>
      <w:r>
        <w:rPr>
          <w:rFonts w:hint="eastAsia" w:ascii="宋体" w:hAnsi="宋体"/>
          <w:b/>
          <w:color w:val="000000"/>
          <w:sz w:val="24"/>
          <w:szCs w:val="24"/>
        </w:rPr>
        <w:t>技术规格响应表</w:t>
      </w:r>
    </w:p>
    <w:p>
      <w:pPr>
        <w:spacing w:line="360" w:lineRule="auto"/>
        <w:rPr>
          <w:rFonts w:ascii="宋体" w:hAnsi="宋体"/>
          <w:color w:val="000000"/>
          <w:sz w:val="24"/>
          <w:szCs w:val="24"/>
        </w:rPr>
      </w:pPr>
    </w:p>
    <w:tbl>
      <w:tblPr>
        <w:tblStyle w:val="43"/>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97"/>
        <w:gridCol w:w="1198"/>
        <w:gridCol w:w="1198"/>
        <w:gridCol w:w="1753"/>
        <w:gridCol w:w="1418"/>
        <w:gridCol w:w="927"/>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1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119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品牌</w:t>
            </w:r>
          </w:p>
        </w:tc>
        <w:tc>
          <w:tcPr>
            <w:tcW w:w="119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型号</w:t>
            </w:r>
          </w:p>
        </w:tc>
        <w:tc>
          <w:tcPr>
            <w:tcW w:w="175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单一来源文件要求技术参数、性能指标</w:t>
            </w:r>
          </w:p>
        </w:tc>
        <w:tc>
          <w:tcPr>
            <w:tcW w:w="14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供应商提供技术参数、性能指标</w:t>
            </w:r>
          </w:p>
        </w:tc>
        <w:tc>
          <w:tcPr>
            <w:tcW w:w="92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6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197" w:type="dxa"/>
            <w:vAlign w:val="center"/>
          </w:tcPr>
          <w:p>
            <w:pPr>
              <w:spacing w:line="360" w:lineRule="auto"/>
              <w:jc w:val="center"/>
              <w:rPr>
                <w:rFonts w:ascii="宋体" w:hAnsi="宋体"/>
                <w:color w:val="000000"/>
                <w:sz w:val="24"/>
                <w:szCs w:val="24"/>
              </w:rPr>
            </w:pPr>
          </w:p>
        </w:tc>
        <w:tc>
          <w:tcPr>
            <w:tcW w:w="1198" w:type="dxa"/>
            <w:vAlign w:val="center"/>
          </w:tcPr>
          <w:p>
            <w:pPr>
              <w:spacing w:line="360" w:lineRule="auto"/>
              <w:jc w:val="center"/>
              <w:rPr>
                <w:rFonts w:ascii="宋体" w:hAnsi="宋体"/>
                <w:color w:val="000000"/>
                <w:sz w:val="24"/>
                <w:szCs w:val="24"/>
              </w:rPr>
            </w:pPr>
          </w:p>
        </w:tc>
        <w:tc>
          <w:tcPr>
            <w:tcW w:w="1198" w:type="dxa"/>
            <w:vAlign w:val="center"/>
          </w:tcPr>
          <w:p>
            <w:pPr>
              <w:spacing w:line="360" w:lineRule="auto"/>
              <w:jc w:val="center"/>
              <w:rPr>
                <w:rFonts w:ascii="宋体" w:hAnsi="宋体"/>
                <w:color w:val="000000"/>
                <w:sz w:val="24"/>
                <w:szCs w:val="24"/>
              </w:rPr>
            </w:pPr>
          </w:p>
        </w:tc>
        <w:tc>
          <w:tcPr>
            <w:tcW w:w="1753" w:type="dxa"/>
            <w:vAlign w:val="center"/>
          </w:tcPr>
          <w:p>
            <w:pPr>
              <w:spacing w:line="360" w:lineRule="auto"/>
              <w:jc w:val="center"/>
              <w:rPr>
                <w:rFonts w:ascii="宋体" w:hAnsi="宋体"/>
                <w:color w:val="000000"/>
                <w:sz w:val="24"/>
                <w:szCs w:val="24"/>
              </w:rPr>
            </w:pPr>
          </w:p>
        </w:tc>
        <w:tc>
          <w:tcPr>
            <w:tcW w:w="1418" w:type="dxa"/>
            <w:vAlign w:val="center"/>
          </w:tcPr>
          <w:p>
            <w:pPr>
              <w:spacing w:line="360" w:lineRule="auto"/>
              <w:jc w:val="center"/>
              <w:rPr>
                <w:rFonts w:ascii="宋体" w:hAnsi="宋体"/>
                <w:color w:val="000000"/>
                <w:sz w:val="24"/>
                <w:szCs w:val="24"/>
              </w:rPr>
            </w:pPr>
          </w:p>
        </w:tc>
        <w:tc>
          <w:tcPr>
            <w:tcW w:w="927" w:type="dxa"/>
            <w:vAlign w:val="center"/>
          </w:tcPr>
          <w:p>
            <w:pPr>
              <w:spacing w:line="360" w:lineRule="auto"/>
              <w:jc w:val="center"/>
              <w:rPr>
                <w:rFonts w:ascii="宋体" w:hAnsi="宋体"/>
                <w:color w:val="000000"/>
                <w:sz w:val="24"/>
                <w:szCs w:val="24"/>
              </w:rPr>
            </w:pPr>
          </w:p>
        </w:tc>
        <w:tc>
          <w:tcPr>
            <w:tcW w:w="694" w:type="dxa"/>
            <w:vAlign w:val="center"/>
          </w:tcPr>
          <w:p>
            <w:pPr>
              <w:spacing w:line="360" w:lineRule="auto"/>
              <w:ind w:left="2201" w:leftChars="786"/>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197" w:type="dxa"/>
            <w:vAlign w:val="center"/>
          </w:tcPr>
          <w:p>
            <w:pPr>
              <w:spacing w:line="360" w:lineRule="auto"/>
              <w:jc w:val="center"/>
              <w:rPr>
                <w:rFonts w:ascii="宋体" w:hAnsi="宋体"/>
                <w:color w:val="000000"/>
                <w:sz w:val="24"/>
                <w:szCs w:val="24"/>
              </w:rPr>
            </w:pPr>
          </w:p>
        </w:tc>
        <w:tc>
          <w:tcPr>
            <w:tcW w:w="1198" w:type="dxa"/>
            <w:vAlign w:val="center"/>
          </w:tcPr>
          <w:p>
            <w:pPr>
              <w:spacing w:line="360" w:lineRule="auto"/>
              <w:jc w:val="center"/>
              <w:rPr>
                <w:rFonts w:ascii="宋体" w:hAnsi="宋体"/>
                <w:color w:val="000000"/>
                <w:sz w:val="24"/>
                <w:szCs w:val="24"/>
              </w:rPr>
            </w:pPr>
          </w:p>
        </w:tc>
        <w:tc>
          <w:tcPr>
            <w:tcW w:w="1198" w:type="dxa"/>
            <w:vAlign w:val="center"/>
          </w:tcPr>
          <w:p>
            <w:pPr>
              <w:spacing w:line="360" w:lineRule="auto"/>
              <w:jc w:val="center"/>
              <w:rPr>
                <w:rFonts w:ascii="宋体" w:hAnsi="宋体"/>
                <w:color w:val="000000"/>
                <w:sz w:val="24"/>
                <w:szCs w:val="24"/>
              </w:rPr>
            </w:pPr>
          </w:p>
        </w:tc>
        <w:tc>
          <w:tcPr>
            <w:tcW w:w="1753" w:type="dxa"/>
            <w:vAlign w:val="center"/>
          </w:tcPr>
          <w:p>
            <w:pPr>
              <w:spacing w:line="360" w:lineRule="auto"/>
              <w:jc w:val="center"/>
              <w:rPr>
                <w:rFonts w:ascii="宋体" w:hAnsi="宋体"/>
                <w:color w:val="000000"/>
                <w:sz w:val="24"/>
                <w:szCs w:val="24"/>
              </w:rPr>
            </w:pPr>
          </w:p>
        </w:tc>
        <w:tc>
          <w:tcPr>
            <w:tcW w:w="1418" w:type="dxa"/>
            <w:vAlign w:val="center"/>
          </w:tcPr>
          <w:p>
            <w:pPr>
              <w:spacing w:line="360" w:lineRule="auto"/>
              <w:jc w:val="center"/>
              <w:rPr>
                <w:rFonts w:ascii="宋体" w:hAnsi="宋体"/>
                <w:color w:val="000000"/>
                <w:sz w:val="24"/>
                <w:szCs w:val="24"/>
              </w:rPr>
            </w:pPr>
          </w:p>
        </w:tc>
        <w:tc>
          <w:tcPr>
            <w:tcW w:w="927" w:type="dxa"/>
            <w:vAlign w:val="center"/>
          </w:tcPr>
          <w:p>
            <w:pPr>
              <w:spacing w:line="360" w:lineRule="auto"/>
              <w:jc w:val="center"/>
              <w:rPr>
                <w:rFonts w:ascii="宋体" w:hAnsi="宋体"/>
                <w:color w:val="000000"/>
                <w:sz w:val="24"/>
                <w:szCs w:val="24"/>
              </w:rPr>
            </w:pPr>
          </w:p>
        </w:tc>
        <w:tc>
          <w:tcPr>
            <w:tcW w:w="694"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3</w:t>
            </w:r>
          </w:p>
        </w:tc>
        <w:tc>
          <w:tcPr>
            <w:tcW w:w="1197" w:type="dxa"/>
            <w:vAlign w:val="center"/>
          </w:tcPr>
          <w:p>
            <w:pPr>
              <w:spacing w:line="360" w:lineRule="auto"/>
              <w:jc w:val="center"/>
              <w:rPr>
                <w:rFonts w:ascii="宋体" w:hAnsi="宋体"/>
                <w:color w:val="000000"/>
                <w:sz w:val="24"/>
                <w:szCs w:val="24"/>
              </w:rPr>
            </w:pPr>
          </w:p>
        </w:tc>
        <w:tc>
          <w:tcPr>
            <w:tcW w:w="1198" w:type="dxa"/>
            <w:vAlign w:val="center"/>
          </w:tcPr>
          <w:p>
            <w:pPr>
              <w:spacing w:line="360" w:lineRule="auto"/>
              <w:jc w:val="center"/>
              <w:rPr>
                <w:rFonts w:ascii="宋体" w:hAnsi="宋体"/>
                <w:color w:val="000000"/>
                <w:sz w:val="24"/>
                <w:szCs w:val="24"/>
              </w:rPr>
            </w:pPr>
          </w:p>
        </w:tc>
        <w:tc>
          <w:tcPr>
            <w:tcW w:w="1198" w:type="dxa"/>
            <w:vAlign w:val="center"/>
          </w:tcPr>
          <w:p>
            <w:pPr>
              <w:spacing w:line="360" w:lineRule="auto"/>
              <w:jc w:val="center"/>
              <w:rPr>
                <w:rFonts w:ascii="宋体" w:hAnsi="宋体"/>
                <w:color w:val="000000"/>
                <w:sz w:val="24"/>
                <w:szCs w:val="24"/>
              </w:rPr>
            </w:pPr>
          </w:p>
        </w:tc>
        <w:tc>
          <w:tcPr>
            <w:tcW w:w="1753" w:type="dxa"/>
            <w:vAlign w:val="center"/>
          </w:tcPr>
          <w:p>
            <w:pPr>
              <w:spacing w:line="360" w:lineRule="auto"/>
              <w:jc w:val="center"/>
              <w:rPr>
                <w:rFonts w:ascii="宋体" w:hAnsi="宋体"/>
                <w:color w:val="000000"/>
                <w:sz w:val="24"/>
                <w:szCs w:val="24"/>
              </w:rPr>
            </w:pPr>
          </w:p>
        </w:tc>
        <w:tc>
          <w:tcPr>
            <w:tcW w:w="1418" w:type="dxa"/>
            <w:vAlign w:val="center"/>
          </w:tcPr>
          <w:p>
            <w:pPr>
              <w:spacing w:line="360" w:lineRule="auto"/>
              <w:jc w:val="center"/>
              <w:rPr>
                <w:rFonts w:ascii="宋体" w:hAnsi="宋体"/>
                <w:color w:val="000000"/>
                <w:sz w:val="24"/>
                <w:szCs w:val="24"/>
              </w:rPr>
            </w:pPr>
          </w:p>
        </w:tc>
        <w:tc>
          <w:tcPr>
            <w:tcW w:w="927" w:type="dxa"/>
            <w:vAlign w:val="center"/>
          </w:tcPr>
          <w:p>
            <w:pPr>
              <w:spacing w:line="360" w:lineRule="auto"/>
              <w:jc w:val="center"/>
              <w:rPr>
                <w:rFonts w:ascii="宋体" w:hAnsi="宋体"/>
                <w:color w:val="000000"/>
                <w:sz w:val="24"/>
                <w:szCs w:val="24"/>
              </w:rPr>
            </w:pPr>
          </w:p>
        </w:tc>
        <w:tc>
          <w:tcPr>
            <w:tcW w:w="694"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5" w:type="dxa"/>
            <w:vAlign w:val="center"/>
          </w:tcPr>
          <w:p>
            <w:pPr>
              <w:spacing w:line="360" w:lineRule="auto"/>
              <w:jc w:val="center"/>
              <w:rPr>
                <w:rFonts w:ascii="宋体" w:hAnsi="宋体"/>
                <w:color w:val="000000"/>
                <w:sz w:val="24"/>
                <w:szCs w:val="24"/>
              </w:rPr>
            </w:pPr>
            <w:r>
              <w:rPr>
                <w:rFonts w:ascii="宋体" w:hAnsi="宋体"/>
                <w:color w:val="000000"/>
                <w:sz w:val="24"/>
                <w:szCs w:val="24"/>
              </w:rPr>
              <w:t>…</w:t>
            </w:r>
          </w:p>
        </w:tc>
        <w:tc>
          <w:tcPr>
            <w:tcW w:w="1197" w:type="dxa"/>
            <w:vAlign w:val="center"/>
          </w:tcPr>
          <w:p>
            <w:pPr>
              <w:spacing w:line="360" w:lineRule="auto"/>
              <w:jc w:val="center"/>
              <w:rPr>
                <w:rFonts w:ascii="宋体" w:hAnsi="宋体"/>
                <w:color w:val="000000"/>
                <w:sz w:val="24"/>
                <w:szCs w:val="24"/>
              </w:rPr>
            </w:pPr>
          </w:p>
        </w:tc>
        <w:tc>
          <w:tcPr>
            <w:tcW w:w="1198" w:type="dxa"/>
            <w:vAlign w:val="center"/>
          </w:tcPr>
          <w:p>
            <w:pPr>
              <w:spacing w:line="360" w:lineRule="auto"/>
              <w:jc w:val="center"/>
              <w:rPr>
                <w:rFonts w:ascii="宋体" w:hAnsi="宋体"/>
                <w:color w:val="000000"/>
                <w:sz w:val="24"/>
                <w:szCs w:val="24"/>
              </w:rPr>
            </w:pPr>
          </w:p>
        </w:tc>
        <w:tc>
          <w:tcPr>
            <w:tcW w:w="1198" w:type="dxa"/>
            <w:vAlign w:val="center"/>
          </w:tcPr>
          <w:p>
            <w:pPr>
              <w:spacing w:line="360" w:lineRule="auto"/>
              <w:jc w:val="center"/>
              <w:rPr>
                <w:rFonts w:ascii="宋体" w:hAnsi="宋体"/>
                <w:color w:val="000000"/>
                <w:sz w:val="24"/>
                <w:szCs w:val="24"/>
              </w:rPr>
            </w:pPr>
          </w:p>
        </w:tc>
        <w:tc>
          <w:tcPr>
            <w:tcW w:w="1753" w:type="dxa"/>
            <w:vAlign w:val="center"/>
          </w:tcPr>
          <w:p>
            <w:pPr>
              <w:spacing w:line="360" w:lineRule="auto"/>
              <w:jc w:val="center"/>
              <w:rPr>
                <w:rFonts w:ascii="宋体" w:hAnsi="宋体"/>
                <w:color w:val="000000"/>
                <w:sz w:val="24"/>
                <w:szCs w:val="24"/>
              </w:rPr>
            </w:pPr>
          </w:p>
        </w:tc>
        <w:tc>
          <w:tcPr>
            <w:tcW w:w="1418" w:type="dxa"/>
            <w:vAlign w:val="center"/>
          </w:tcPr>
          <w:p>
            <w:pPr>
              <w:spacing w:line="360" w:lineRule="auto"/>
              <w:jc w:val="center"/>
              <w:rPr>
                <w:rFonts w:ascii="宋体" w:hAnsi="宋体"/>
                <w:color w:val="000000"/>
                <w:sz w:val="24"/>
                <w:szCs w:val="24"/>
              </w:rPr>
            </w:pPr>
          </w:p>
        </w:tc>
        <w:tc>
          <w:tcPr>
            <w:tcW w:w="927" w:type="dxa"/>
            <w:vAlign w:val="center"/>
          </w:tcPr>
          <w:p>
            <w:pPr>
              <w:spacing w:line="360" w:lineRule="auto"/>
              <w:jc w:val="center"/>
              <w:rPr>
                <w:rFonts w:ascii="宋体" w:hAnsi="宋体"/>
                <w:color w:val="000000"/>
                <w:sz w:val="24"/>
                <w:szCs w:val="24"/>
              </w:rPr>
            </w:pPr>
          </w:p>
        </w:tc>
        <w:tc>
          <w:tcPr>
            <w:tcW w:w="694" w:type="dxa"/>
            <w:vAlign w:val="center"/>
          </w:tcPr>
          <w:p>
            <w:pPr>
              <w:spacing w:line="360" w:lineRule="auto"/>
              <w:jc w:val="center"/>
              <w:rPr>
                <w:rFonts w:ascii="宋体" w:hAnsi="宋体"/>
                <w:color w:val="000000"/>
                <w:sz w:val="24"/>
                <w:szCs w:val="24"/>
              </w:rPr>
            </w:pPr>
          </w:p>
        </w:tc>
      </w:tr>
    </w:tbl>
    <w:p>
      <w:pPr>
        <w:spacing w:line="360" w:lineRule="auto"/>
        <w:ind w:right="57"/>
        <w:rPr>
          <w:rFonts w:ascii="宋体" w:hAnsi="宋体"/>
          <w:color w:val="000000"/>
          <w:sz w:val="24"/>
          <w:szCs w:val="24"/>
        </w:rPr>
      </w:pPr>
      <w:r>
        <w:rPr>
          <w:rFonts w:hint="eastAsia" w:ascii="宋体" w:hAnsi="宋体"/>
          <w:b/>
          <w:bCs/>
          <w:color w:val="000000"/>
          <w:sz w:val="24"/>
          <w:szCs w:val="24"/>
        </w:rPr>
        <w:t>说明</w:t>
      </w:r>
      <w:r>
        <w:rPr>
          <w:rFonts w:hint="eastAsia" w:ascii="宋体" w:hAnsi="宋体"/>
          <w:b/>
          <w:color w:val="000000"/>
          <w:sz w:val="24"/>
          <w:szCs w:val="24"/>
        </w:rPr>
        <w:t>：</w:t>
      </w:r>
    </w:p>
    <w:p>
      <w:pPr>
        <w:spacing w:line="360" w:lineRule="auto"/>
        <w:ind w:right="57" w:firstLine="360" w:firstLineChars="150"/>
        <w:rPr>
          <w:rFonts w:ascii="宋体" w:hAnsi="宋体"/>
          <w:color w:val="000000"/>
          <w:sz w:val="24"/>
          <w:szCs w:val="24"/>
        </w:rPr>
      </w:pPr>
      <w:r>
        <w:rPr>
          <w:rFonts w:hint="eastAsia" w:ascii="宋体" w:hAnsi="宋体"/>
          <w:color w:val="000000"/>
          <w:sz w:val="24"/>
          <w:szCs w:val="24"/>
        </w:rPr>
        <w:t>供应商应按照“招标内容与技术要求”中确定的技术参数与配置要求，将投标产品的技术参数和性能指标逐一列出，以证明投标产品对单一来源文件要求的技术参数和性能指标做出实质性响应。如果未提供所投货物的产品品牌、型号和具体参数，或直接复制单一来源文件要求的参数但与佐证材料不符的，为无效投标。</w:t>
      </w:r>
    </w:p>
    <w:p>
      <w:pPr>
        <w:spacing w:line="360" w:lineRule="auto"/>
        <w:ind w:right="57" w:firstLine="360" w:firstLineChars="150"/>
        <w:rPr>
          <w:rFonts w:ascii="宋体" w:hAnsi="宋体"/>
          <w:color w:val="000000"/>
          <w:sz w:val="24"/>
          <w:szCs w:val="24"/>
        </w:rPr>
      </w:pPr>
      <w:r>
        <w:rPr>
          <w:rFonts w:hint="eastAsia" w:ascii="宋体" w:hAnsi="宋体"/>
          <w:color w:val="000000"/>
          <w:sz w:val="24"/>
          <w:szCs w:val="24"/>
        </w:rPr>
        <w:t>“响应程度”处可填写满足、响应或正偏离、负偏离。</w:t>
      </w:r>
    </w:p>
    <w:p>
      <w:pPr>
        <w:spacing w:line="360" w:lineRule="auto"/>
        <w:ind w:right="57" w:firstLine="360" w:firstLineChars="150"/>
        <w:rPr>
          <w:rFonts w:ascii="宋体" w:hAnsi="宋体"/>
          <w:sz w:val="24"/>
          <w:szCs w:val="24"/>
        </w:rPr>
      </w:pPr>
    </w:p>
    <w:p>
      <w:pPr>
        <w:spacing w:line="360" w:lineRule="auto"/>
        <w:rPr>
          <w:rFonts w:ascii="宋体" w:hAnsi="宋体"/>
          <w:b/>
          <w:color w:val="000000"/>
          <w:sz w:val="24"/>
          <w:szCs w:val="24"/>
        </w:rPr>
      </w:pPr>
      <w:r>
        <w:rPr>
          <w:rFonts w:ascii="宋体" w:hAnsi="宋体"/>
          <w:b/>
          <w:color w:val="000000"/>
          <w:sz w:val="24"/>
          <w:szCs w:val="24"/>
        </w:rPr>
        <w:br w:type="page"/>
      </w:r>
    </w:p>
    <w:p>
      <w:pPr>
        <w:adjustRightInd w:val="0"/>
        <w:snapToGrid w:val="0"/>
        <w:spacing w:line="360" w:lineRule="auto"/>
        <w:rPr>
          <w:rFonts w:ascii="宋体" w:hAnsi="宋体"/>
          <w:color w:val="000000"/>
          <w:sz w:val="24"/>
          <w:szCs w:val="24"/>
        </w:rPr>
      </w:pPr>
      <w:r>
        <w:rPr>
          <w:rFonts w:hint="eastAsia" w:ascii="宋体" w:hAnsi="宋体"/>
          <w:color w:val="000000"/>
          <w:sz w:val="24"/>
          <w:szCs w:val="24"/>
        </w:rPr>
        <w:t>格式十一：</w:t>
      </w:r>
    </w:p>
    <w:p>
      <w:pPr>
        <w:adjustRightInd w:val="0"/>
        <w:snapToGrid w:val="0"/>
        <w:spacing w:line="360" w:lineRule="auto"/>
        <w:jc w:val="center"/>
        <w:rPr>
          <w:rFonts w:ascii="宋体" w:hAnsi="宋体"/>
          <w:b/>
          <w:color w:val="000000"/>
          <w:sz w:val="24"/>
          <w:szCs w:val="24"/>
        </w:rPr>
      </w:pPr>
      <w:r>
        <w:rPr>
          <w:rFonts w:hint="eastAsia" w:ascii="宋体" w:hAnsi="宋体"/>
          <w:b/>
          <w:color w:val="000000"/>
          <w:sz w:val="24"/>
          <w:szCs w:val="24"/>
        </w:rPr>
        <w:t>售后服务承诺及方案</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一．售后服务承诺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1.在</w:t>
      </w:r>
      <w:r>
        <w:rPr>
          <w:rFonts w:hint="eastAsia" w:ascii="宋体" w:hAnsi="宋体"/>
          <w:color w:val="000000"/>
          <w:sz w:val="24"/>
          <w:szCs w:val="24"/>
          <w:u w:val="single"/>
        </w:rPr>
        <w:t xml:space="preserve">   </w:t>
      </w:r>
      <w:r>
        <w:rPr>
          <w:rFonts w:hint="eastAsia" w:ascii="宋体" w:hAnsi="宋体"/>
          <w:color w:val="000000"/>
          <w:sz w:val="24"/>
          <w:szCs w:val="24"/>
        </w:rPr>
        <w:t>年的质保期内，供应商对所投产品在使用过程中出现的故障和零配件磨损问题，免费提供维修和更换服务。</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2.质保期过后</w:t>
      </w:r>
      <w:r>
        <w:rPr>
          <w:rFonts w:hint="eastAsia" w:ascii="宋体" w:hAnsi="宋体"/>
          <w:color w:val="000000"/>
          <w:sz w:val="24"/>
          <w:szCs w:val="24"/>
          <w:u w:val="single"/>
        </w:rPr>
        <w:t xml:space="preserve">   </w:t>
      </w:r>
      <w:r>
        <w:rPr>
          <w:rFonts w:hint="eastAsia" w:ascii="宋体" w:hAnsi="宋体"/>
          <w:color w:val="000000"/>
          <w:sz w:val="24"/>
          <w:szCs w:val="24"/>
        </w:rPr>
        <w:t>年内，供应商将继续为</w:t>
      </w:r>
      <w:r>
        <w:rPr>
          <w:rFonts w:hint="eastAsia" w:ascii="宋体" w:hAnsi="宋体"/>
          <w:color w:val="000000"/>
          <w:sz w:val="24"/>
          <w:szCs w:val="24"/>
          <w:u w:val="single"/>
        </w:rPr>
        <w:t xml:space="preserve"> （货物名称） </w:t>
      </w:r>
      <w:r>
        <w:rPr>
          <w:rFonts w:hint="eastAsia" w:ascii="宋体" w:hAnsi="宋体"/>
          <w:color w:val="000000"/>
          <w:sz w:val="24"/>
          <w:szCs w:val="24"/>
        </w:rPr>
        <w:t>提供免费维修服务，在此期间不收取维护费，如需更换零配件，只收取零配件的成本费。</w:t>
      </w:r>
    </w:p>
    <w:p>
      <w:pPr>
        <w:pStyle w:val="19"/>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3.质保期过后</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年内，供应商将继续为</w:t>
      </w:r>
      <w:r>
        <w:rPr>
          <w:rFonts w:hint="eastAsia" w:ascii="宋体" w:hAnsi="宋体" w:eastAsia="宋体"/>
          <w:color w:val="000000"/>
          <w:sz w:val="24"/>
          <w:szCs w:val="24"/>
          <w:u w:val="single"/>
        </w:rPr>
        <w:t xml:space="preserve"> （货物名称） </w:t>
      </w:r>
      <w:r>
        <w:rPr>
          <w:rFonts w:hint="eastAsia" w:ascii="宋体" w:hAnsi="宋体" w:eastAsia="宋体"/>
          <w:color w:val="000000"/>
          <w:sz w:val="24"/>
          <w:szCs w:val="24"/>
        </w:rPr>
        <w:t>提供维修服务，除收取交通费.住宿费和所更换部件的成本费外，不再收取任何维修费用。</w:t>
      </w:r>
    </w:p>
    <w:p>
      <w:pPr>
        <w:pStyle w:val="19"/>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4．供应商在接到用户维修通知后</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小时内响应，</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个工作日内排除故障（节假日照常服务）。</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5．在设备的设计使用寿命期内，供应商必须保证零部件的正常供应，对所有部件终身维修服务，对设备定期维护保养，确保设备正常使用。 </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6.免费安装调试、人员培训、技术支持。</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7.定期进行用户回访，及时处理用户意见。</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二．技术培训</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1.免费培训内容：</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2.培训日期及地点：</w:t>
      </w:r>
    </w:p>
    <w:p>
      <w:pPr>
        <w:adjustRightInd w:val="0"/>
        <w:spacing w:line="360" w:lineRule="auto"/>
        <w:ind w:firstLine="480" w:firstLineChars="200"/>
        <w:rPr>
          <w:rFonts w:ascii="宋体"/>
          <w:bCs/>
          <w:sz w:val="24"/>
          <w:szCs w:val="24"/>
        </w:rPr>
      </w:pPr>
      <w:r>
        <w:rPr>
          <w:rFonts w:hint="eastAsia" w:ascii="宋体" w:hAnsi="宋体" w:cs="宋体"/>
          <w:bCs/>
          <w:sz w:val="24"/>
          <w:szCs w:val="24"/>
        </w:rPr>
        <w:t>三．售后服务机构和服务体系</w:t>
      </w:r>
    </w:p>
    <w:p>
      <w:pPr>
        <w:spacing w:line="360" w:lineRule="auto"/>
        <w:ind w:firstLine="480" w:firstLineChars="200"/>
        <w:rPr>
          <w:rFonts w:ascii="宋体"/>
          <w:sz w:val="24"/>
          <w:szCs w:val="24"/>
        </w:rPr>
      </w:pPr>
      <w:bookmarkStart w:id="29" w:name="_Toc266431151"/>
      <w:r>
        <w:rPr>
          <w:rFonts w:ascii="宋体" w:hAnsi="宋体" w:cs="宋体"/>
          <w:sz w:val="24"/>
          <w:szCs w:val="24"/>
        </w:rPr>
        <w:t>1.</w:t>
      </w:r>
      <w:r>
        <w:rPr>
          <w:rFonts w:hint="eastAsia" w:ascii="宋体" w:hAnsi="宋体" w:cs="宋体"/>
          <w:sz w:val="24"/>
          <w:szCs w:val="24"/>
        </w:rPr>
        <w:t>生产厂家售后服务机构、联系人、联系电话</w:t>
      </w:r>
      <w:bookmarkEnd w:id="29"/>
      <w:r>
        <w:rPr>
          <w:rFonts w:hint="eastAsia" w:ascii="宋体" w:hAnsi="宋体" w:cs="宋体"/>
          <w:sz w:val="24"/>
          <w:szCs w:val="24"/>
        </w:rPr>
        <w:t>。</w:t>
      </w:r>
    </w:p>
    <w:p>
      <w:pPr>
        <w:pStyle w:val="229"/>
        <w:spacing w:line="360" w:lineRule="auto"/>
        <w:ind w:firstLine="480" w:firstLineChars="200"/>
        <w:rPr>
          <w:sz w:val="24"/>
          <w:szCs w:val="24"/>
        </w:rPr>
      </w:pPr>
      <w:bookmarkStart w:id="30" w:name="_Toc266431152"/>
      <w:r>
        <w:rPr>
          <w:sz w:val="24"/>
          <w:szCs w:val="24"/>
        </w:rPr>
        <w:t>2.</w:t>
      </w:r>
      <w:r>
        <w:rPr>
          <w:rFonts w:hint="eastAsia"/>
          <w:sz w:val="24"/>
          <w:szCs w:val="24"/>
        </w:rPr>
        <w:t>本地化售后服务网点分布、机构名称、联系人、联系电话。</w:t>
      </w:r>
      <w:bookmarkEnd w:id="30"/>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四．售后方案（自拟）</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：供应商提供售后服务承诺及方案不少于以上内容。</w:t>
      </w:r>
      <w:bookmarkStart w:id="31" w:name="_Toc482026552"/>
    </w:p>
    <w:p>
      <w:pPr>
        <w:spacing w:line="360" w:lineRule="auto"/>
        <w:rPr>
          <w:rFonts w:ascii="宋体" w:hAnsi="宋体"/>
          <w:bCs/>
          <w:color w:val="000000"/>
          <w:kern w:val="0"/>
          <w:sz w:val="24"/>
          <w:szCs w:val="24"/>
        </w:rPr>
      </w:pPr>
      <w:r>
        <w:rPr>
          <w:rFonts w:ascii="宋体" w:hAnsi="宋体"/>
          <w:bCs/>
          <w:color w:val="000000"/>
          <w:kern w:val="0"/>
          <w:sz w:val="24"/>
          <w:szCs w:val="24"/>
        </w:rPr>
        <w:br w:type="page"/>
      </w:r>
    </w:p>
    <w:bookmarkEnd w:id="31"/>
    <w:p>
      <w:pPr>
        <w:spacing w:line="360" w:lineRule="auto"/>
        <w:rPr>
          <w:rFonts w:ascii="宋体" w:hAnsi="宋体"/>
          <w:color w:val="000000"/>
          <w:sz w:val="24"/>
          <w:szCs w:val="24"/>
        </w:rPr>
      </w:pPr>
      <w:r>
        <w:rPr>
          <w:rFonts w:hint="eastAsia" w:ascii="宋体" w:hAnsi="宋体"/>
          <w:color w:val="000000"/>
          <w:sz w:val="24"/>
          <w:szCs w:val="24"/>
        </w:rPr>
        <w:t>格式十二：</w:t>
      </w:r>
    </w:p>
    <w:p>
      <w:pPr>
        <w:spacing w:line="360" w:lineRule="auto"/>
        <w:jc w:val="center"/>
        <w:rPr>
          <w:rFonts w:ascii="宋体" w:hAnsi="宋体"/>
          <w:b/>
          <w:bCs/>
          <w:color w:val="000000"/>
          <w:sz w:val="24"/>
          <w:szCs w:val="24"/>
        </w:rPr>
      </w:pPr>
      <w:r>
        <w:rPr>
          <w:rFonts w:hint="eastAsia" w:ascii="宋体" w:hAnsi="宋体"/>
          <w:b/>
          <w:bCs/>
          <w:color w:val="000000"/>
          <w:sz w:val="24"/>
          <w:szCs w:val="24"/>
        </w:rPr>
        <w:t>商务规格响应表</w:t>
      </w:r>
    </w:p>
    <w:tbl>
      <w:tblPr>
        <w:tblStyle w:val="43"/>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单一来源文件商务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说 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63"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交货期</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63"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付款方式</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63"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质保期</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63"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质量保证条款</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63"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09"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1" w:firstLineChars="150"/>
        <w:rPr>
          <w:rFonts w:ascii="宋体" w:hAnsi="宋体"/>
          <w:color w:val="000000"/>
          <w:sz w:val="24"/>
          <w:szCs w:val="24"/>
        </w:rPr>
      </w:pPr>
      <w:r>
        <w:rPr>
          <w:rFonts w:hint="eastAsia" w:ascii="宋体" w:hAnsi="宋体"/>
          <w:b/>
          <w:color w:val="000000"/>
          <w:sz w:val="24"/>
          <w:szCs w:val="24"/>
        </w:rPr>
        <w:t>说明</w:t>
      </w:r>
      <w:r>
        <w:rPr>
          <w:rFonts w:hint="eastAsia" w:ascii="宋体" w:hAnsi="宋体"/>
          <w:color w:val="000000"/>
          <w:sz w:val="24"/>
          <w:szCs w:val="24"/>
        </w:rPr>
        <w:t>：“响应程度”处可填写满足、响应或正偏离、负偏离。</w:t>
      </w: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ascii="宋体" w:hAnsi="宋体"/>
          <w:sz w:val="24"/>
          <w:szCs w:val="24"/>
        </w:rPr>
      </w:pPr>
      <w:r>
        <w:rPr>
          <w:rFonts w:hint="eastAsia" w:ascii="宋体" w:hAnsi="宋体"/>
          <w:sz w:val="24"/>
          <w:szCs w:val="24"/>
        </w:rPr>
        <w:t>格式十</w:t>
      </w:r>
      <w:r>
        <w:rPr>
          <w:rFonts w:hint="eastAsia" w:ascii="宋体" w:hAnsi="宋体"/>
          <w:sz w:val="24"/>
          <w:szCs w:val="24"/>
          <w:lang w:val="en-US" w:eastAsia="zh-CN"/>
        </w:rPr>
        <w:t>三</w:t>
      </w:r>
      <w:r>
        <w:rPr>
          <w:rFonts w:hint="eastAsia" w:ascii="宋体" w:hAnsi="宋体"/>
          <w:sz w:val="24"/>
          <w:szCs w:val="24"/>
        </w:rPr>
        <w:t>：</w:t>
      </w:r>
    </w:p>
    <w:p>
      <w:pPr>
        <w:spacing w:line="360" w:lineRule="auto"/>
        <w:jc w:val="center"/>
        <w:rPr>
          <w:rFonts w:ascii="宋体" w:hAnsi="宋体"/>
          <w:b/>
          <w:color w:val="000000"/>
          <w:sz w:val="24"/>
          <w:szCs w:val="24"/>
        </w:rPr>
      </w:pPr>
      <w:r>
        <w:rPr>
          <w:rFonts w:hint="eastAsia" w:ascii="宋体" w:hAnsi="宋体"/>
          <w:b/>
          <w:color w:val="000000"/>
          <w:sz w:val="24"/>
          <w:szCs w:val="24"/>
        </w:rPr>
        <w:t>上一年度财务会计制度</w:t>
      </w:r>
    </w:p>
    <w:p>
      <w:pPr>
        <w:spacing w:line="360" w:lineRule="auto"/>
        <w:rPr>
          <w:rFonts w:ascii="宋体" w:hAnsi="宋体"/>
          <w:sz w:val="24"/>
          <w:szCs w:val="24"/>
        </w:rPr>
      </w:pPr>
      <w:r>
        <w:rPr>
          <w:rFonts w:hint="eastAsia" w:ascii="宋体" w:hAnsi="宋体"/>
          <w:sz w:val="24"/>
          <w:szCs w:val="24"/>
        </w:rPr>
        <w:t>注：</w:t>
      </w:r>
    </w:p>
    <w:p>
      <w:pPr>
        <w:spacing w:line="360" w:lineRule="auto"/>
        <w:rPr>
          <w:rFonts w:ascii="宋体" w:hAnsi="宋体"/>
          <w:sz w:val="24"/>
          <w:szCs w:val="24"/>
        </w:rPr>
      </w:pPr>
      <w:r>
        <w:rPr>
          <w:rFonts w:hint="eastAsia" w:ascii="宋体" w:hAnsi="宋体"/>
          <w:sz w:val="24"/>
          <w:szCs w:val="24"/>
        </w:rPr>
        <w:t>1.提供上一年度财务审计报告的，须提供会计师事务所出具的经审计的财务报告。</w:t>
      </w:r>
    </w:p>
    <w:p>
      <w:pPr>
        <w:spacing w:line="360" w:lineRule="auto"/>
        <w:rPr>
          <w:rFonts w:ascii="宋体" w:hAnsi="宋体"/>
          <w:sz w:val="24"/>
          <w:szCs w:val="24"/>
        </w:rPr>
      </w:pPr>
      <w:r>
        <w:rPr>
          <w:rFonts w:hint="eastAsia" w:ascii="宋体" w:hAnsi="宋体"/>
          <w:sz w:val="24"/>
          <w:szCs w:val="24"/>
        </w:rPr>
        <w:t>2.提供银行资信证明的，同时提供基本开户银行的开户许可证。</w:t>
      </w:r>
      <w:bookmarkStart w:id="32" w:name="_Toc482026556"/>
      <w:bookmarkStart w:id="33" w:name="_Toc438655702"/>
      <w:bookmarkStart w:id="34" w:name="_Toc438714732"/>
    </w:p>
    <w:p>
      <w:pPr>
        <w:pStyle w:val="3"/>
        <w:keepNext w:val="0"/>
        <w:keepLines w:val="0"/>
        <w:spacing w:line="360" w:lineRule="auto"/>
        <w:rPr>
          <w:rFonts w:ascii="宋体" w:hAnsi="宋体" w:eastAsia="宋体"/>
          <w:b w:val="0"/>
          <w:color w:val="000000"/>
          <w:sz w:val="24"/>
          <w:szCs w:val="24"/>
          <w:lang w:val="en-US" w:eastAsia="zh-CN"/>
        </w:rPr>
      </w:pPr>
      <w:r>
        <w:rPr>
          <w:rFonts w:ascii="宋体" w:hAnsi="宋体" w:eastAsia="宋体"/>
          <w:b w:val="0"/>
          <w:color w:val="000000"/>
          <w:sz w:val="24"/>
          <w:szCs w:val="24"/>
          <w:lang w:val="en-US"/>
        </w:rPr>
        <w:br w:type="page"/>
      </w:r>
      <w:bookmarkEnd w:id="32"/>
      <w:bookmarkEnd w:id="33"/>
      <w:bookmarkEnd w:id="34"/>
    </w:p>
    <w:p>
      <w:pPr>
        <w:autoSpaceDE w:val="0"/>
        <w:autoSpaceDN w:val="0"/>
        <w:spacing w:line="360" w:lineRule="auto"/>
        <w:rPr>
          <w:rFonts w:ascii="宋体" w:hAnsi="宋体"/>
          <w:color w:val="000000"/>
          <w:sz w:val="24"/>
          <w:szCs w:val="24"/>
        </w:rPr>
      </w:pPr>
      <w:r>
        <w:rPr>
          <w:rFonts w:hint="eastAsia" w:ascii="宋体" w:hAnsi="宋体"/>
          <w:color w:val="000000"/>
          <w:sz w:val="24"/>
          <w:szCs w:val="24"/>
        </w:rPr>
        <w:t>格式十</w:t>
      </w:r>
      <w:r>
        <w:rPr>
          <w:rFonts w:hint="eastAsia" w:ascii="宋体" w:hAnsi="宋体"/>
          <w:color w:val="000000"/>
          <w:sz w:val="24"/>
          <w:szCs w:val="24"/>
          <w:lang w:val="en-US" w:eastAsia="zh-CN"/>
        </w:rPr>
        <w:t>四</w:t>
      </w:r>
      <w:r>
        <w:rPr>
          <w:rFonts w:hint="eastAsia" w:ascii="宋体" w:hAnsi="宋体"/>
          <w:color w:val="000000"/>
          <w:sz w:val="24"/>
          <w:szCs w:val="24"/>
        </w:rPr>
        <w:t>：</w:t>
      </w:r>
    </w:p>
    <w:p>
      <w:pPr>
        <w:autoSpaceDE w:val="0"/>
        <w:autoSpaceDN w:val="0"/>
        <w:spacing w:line="360" w:lineRule="auto"/>
        <w:jc w:val="center"/>
        <w:rPr>
          <w:rFonts w:ascii="宋体" w:hAnsi="宋体"/>
          <w:b/>
          <w:bCs/>
          <w:sz w:val="24"/>
          <w:szCs w:val="24"/>
          <w:highlight w:val="none"/>
        </w:rPr>
      </w:pPr>
      <w:bookmarkStart w:id="35" w:name="_Toc438655703"/>
      <w:bookmarkStart w:id="36" w:name="_Toc482026557"/>
      <w:bookmarkStart w:id="37" w:name="_Toc438714733"/>
      <w:r>
        <w:rPr>
          <w:rFonts w:hint="eastAsia" w:ascii="宋体" w:hAnsi="宋体"/>
          <w:b/>
          <w:bCs/>
          <w:sz w:val="24"/>
          <w:szCs w:val="24"/>
          <w:highlight w:val="none"/>
        </w:rPr>
        <w:t>依法缴纳税收的凭据</w:t>
      </w:r>
    </w:p>
    <w:p>
      <w:pPr>
        <w:autoSpaceDE w:val="0"/>
        <w:autoSpaceDN w:val="0"/>
        <w:spacing w:line="360" w:lineRule="auto"/>
        <w:jc w:val="center"/>
        <w:rPr>
          <w:rFonts w:ascii="宋体" w:hAnsi="宋体"/>
          <w:b/>
          <w:sz w:val="24"/>
          <w:szCs w:val="24"/>
          <w:highlight w:val="none"/>
        </w:rPr>
      </w:pPr>
    </w:p>
    <w:p>
      <w:pPr>
        <w:spacing w:line="360" w:lineRule="auto"/>
        <w:ind w:firstLine="600" w:firstLineChars="250"/>
        <w:rPr>
          <w:rFonts w:ascii="宋体" w:hAnsi="宋体"/>
          <w:color w:val="000000"/>
          <w:sz w:val="24"/>
          <w:szCs w:val="24"/>
          <w:highlight w:val="none"/>
        </w:rPr>
      </w:pPr>
      <w:r>
        <w:rPr>
          <w:rFonts w:hint="eastAsia" w:ascii="宋体" w:hAnsi="宋体"/>
          <w:sz w:val="24"/>
          <w:szCs w:val="24"/>
          <w:highlight w:val="none"/>
        </w:rPr>
        <w:t>提供递交响应文件截止之日前六个月内（至少一个月）的良好缴纳税收的相关凭据。</w:t>
      </w:r>
      <w:r>
        <w:rPr>
          <w:rFonts w:hint="eastAsia" w:ascii="宋体" w:hAnsi="宋体" w:cs="宋体"/>
          <w:sz w:val="24"/>
          <w:szCs w:val="24"/>
          <w:highlight w:val="none"/>
        </w:rPr>
        <w:t>（以税务机关提供的纳税凭据或银行入账单为准）</w:t>
      </w:r>
    </w:p>
    <w:p>
      <w:pPr>
        <w:pStyle w:val="3"/>
        <w:keepNext w:val="0"/>
        <w:keepLines w:val="0"/>
        <w:spacing w:line="360" w:lineRule="auto"/>
        <w:ind w:firstLine="723" w:firstLineChars="300"/>
        <w:rPr>
          <w:rFonts w:ascii="宋体" w:hAnsi="宋体" w:eastAsia="宋体"/>
          <w:b w:val="0"/>
          <w:color w:val="000000"/>
          <w:sz w:val="24"/>
          <w:szCs w:val="24"/>
          <w:lang w:val="en-US"/>
        </w:rPr>
      </w:pPr>
      <w:r>
        <w:rPr>
          <w:rFonts w:hint="eastAsia" w:ascii="宋体" w:hAnsi="宋体" w:eastAsia="宋体" w:cs="Times New Roman"/>
          <w:b/>
          <w:bCs/>
          <w:kern w:val="2"/>
          <w:sz w:val="24"/>
          <w:szCs w:val="24"/>
          <w:highlight w:val="none"/>
          <w:lang w:val="en-US" w:eastAsia="zh-CN" w:bidi="ar-SA"/>
        </w:rPr>
        <w:t>说明：</w:t>
      </w:r>
      <w:r>
        <w:rPr>
          <w:rFonts w:hint="eastAsia" w:ascii="宋体" w:hAnsi="宋体" w:eastAsia="宋体" w:cs="Times New Roman"/>
          <w:b w:val="0"/>
          <w:bCs w:val="0"/>
          <w:kern w:val="2"/>
          <w:sz w:val="24"/>
          <w:szCs w:val="24"/>
          <w:highlight w:val="none"/>
          <w:lang w:val="en-US" w:eastAsia="zh-CN" w:bidi="ar-SA"/>
        </w:rPr>
        <w:t>依法免税的供应商，应提供相应文件证明其依法免税。</w:t>
      </w:r>
      <w:r>
        <w:rPr>
          <w:rFonts w:ascii="宋体" w:hAnsi="宋体" w:eastAsia="宋体"/>
          <w:b w:val="0"/>
          <w:color w:val="000000"/>
          <w:sz w:val="24"/>
          <w:szCs w:val="24"/>
          <w:lang w:val="en-US"/>
        </w:rPr>
        <w:br w:type="page"/>
      </w:r>
    </w:p>
    <w:bookmarkEnd w:id="35"/>
    <w:bookmarkEnd w:id="36"/>
    <w:bookmarkEnd w:id="37"/>
    <w:p>
      <w:pPr>
        <w:autoSpaceDE w:val="0"/>
        <w:autoSpaceDN w:val="0"/>
        <w:spacing w:line="360" w:lineRule="auto"/>
        <w:rPr>
          <w:rFonts w:ascii="宋体" w:hAnsi="宋体"/>
          <w:color w:val="000000"/>
          <w:sz w:val="24"/>
          <w:szCs w:val="24"/>
        </w:rPr>
      </w:pPr>
      <w:r>
        <w:rPr>
          <w:rFonts w:hint="eastAsia" w:ascii="宋体" w:hAnsi="宋体"/>
          <w:color w:val="000000"/>
          <w:sz w:val="24"/>
          <w:szCs w:val="24"/>
        </w:rPr>
        <w:t>格式十</w:t>
      </w:r>
      <w:r>
        <w:rPr>
          <w:rFonts w:hint="eastAsia" w:ascii="宋体" w:hAnsi="宋体"/>
          <w:color w:val="000000"/>
          <w:sz w:val="24"/>
          <w:szCs w:val="24"/>
          <w:lang w:val="en-US" w:eastAsia="zh-CN"/>
        </w:rPr>
        <w:t>五</w:t>
      </w:r>
      <w:r>
        <w:rPr>
          <w:rFonts w:hint="eastAsia" w:ascii="宋体" w:hAnsi="宋体"/>
          <w:color w:val="000000"/>
          <w:sz w:val="24"/>
          <w:szCs w:val="24"/>
        </w:rPr>
        <w:t>：</w:t>
      </w:r>
    </w:p>
    <w:p>
      <w:pPr>
        <w:autoSpaceDE w:val="0"/>
        <w:autoSpaceDN w:val="0"/>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依法缴纳社会保险的凭</w:t>
      </w:r>
      <w:r>
        <w:rPr>
          <w:rFonts w:hint="eastAsia" w:ascii="宋体" w:hAnsi="宋体"/>
          <w:b/>
          <w:bCs/>
          <w:color w:val="auto"/>
          <w:sz w:val="24"/>
          <w:szCs w:val="24"/>
          <w:highlight w:val="none"/>
          <w:lang w:eastAsia="zh-CN"/>
        </w:rPr>
        <w:t>证</w:t>
      </w:r>
    </w:p>
    <w:p>
      <w:pPr>
        <w:autoSpaceDE w:val="0"/>
        <w:autoSpaceDN w:val="0"/>
        <w:spacing w:line="360" w:lineRule="auto"/>
        <w:rPr>
          <w:rFonts w:ascii="宋体" w:hAnsi="宋体"/>
          <w:b/>
          <w:color w:val="auto"/>
          <w:sz w:val="24"/>
          <w:szCs w:val="24"/>
          <w:highlight w:val="none"/>
        </w:rPr>
      </w:pP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提供递交响应文件截止之日前六个月内（至少一个月）缴纳社会保险的凭证。（以社保机构出具的专用收据或社会保险缴纳清单为准）</w:t>
      </w:r>
    </w:p>
    <w:p>
      <w:pPr>
        <w:ind w:firstLine="482" w:firstLineChars="200"/>
        <w:rPr>
          <w:rFonts w:ascii="宋体" w:hAnsi="宋体"/>
          <w:color w:val="000000"/>
          <w:sz w:val="24"/>
          <w:szCs w:val="24"/>
        </w:rPr>
      </w:pPr>
      <w:r>
        <w:rPr>
          <w:rFonts w:hint="eastAsia" w:ascii="宋体" w:hAnsi="宋体"/>
          <w:b/>
          <w:color w:val="000000"/>
          <w:sz w:val="24"/>
          <w:szCs w:val="24"/>
        </w:rPr>
        <w:t>说明</w:t>
      </w:r>
      <w:r>
        <w:rPr>
          <w:rFonts w:hint="eastAsia" w:ascii="宋体" w:hAnsi="宋体"/>
          <w:color w:val="000000"/>
          <w:sz w:val="24"/>
          <w:szCs w:val="24"/>
        </w:rPr>
        <w:t>：依法不需要缴纳社会保障资金的供应商，应提供相应文件证明其依法不需要缴纳社会保障资金。</w:t>
      </w:r>
      <w:bookmarkStart w:id="38" w:name="_Toc482026558"/>
    </w:p>
    <w:p>
      <w:pPr>
        <w:pStyle w:val="3"/>
        <w:keepNext w:val="0"/>
        <w:keepLines w:val="0"/>
        <w:spacing w:line="360" w:lineRule="auto"/>
        <w:rPr>
          <w:rFonts w:ascii="宋体" w:hAnsi="宋体" w:eastAsia="宋体"/>
          <w:b w:val="0"/>
          <w:color w:val="000000"/>
          <w:sz w:val="24"/>
          <w:szCs w:val="24"/>
          <w:lang w:val="en-US"/>
        </w:rPr>
      </w:pPr>
      <w:r>
        <w:rPr>
          <w:rFonts w:ascii="宋体" w:hAnsi="宋体" w:eastAsia="宋体"/>
          <w:b w:val="0"/>
          <w:color w:val="000000"/>
          <w:sz w:val="24"/>
          <w:szCs w:val="24"/>
          <w:lang w:val="en-US"/>
        </w:rPr>
        <w:br w:type="page"/>
      </w:r>
    </w:p>
    <w:bookmarkEnd w:id="38"/>
    <w:p>
      <w:pPr>
        <w:spacing w:line="360" w:lineRule="auto"/>
        <w:rPr>
          <w:rFonts w:ascii="宋体" w:hAnsi="宋体" w:cs="宋体"/>
          <w:kern w:val="0"/>
          <w:sz w:val="24"/>
          <w:szCs w:val="24"/>
        </w:rPr>
      </w:pPr>
      <w:r>
        <w:rPr>
          <w:rFonts w:hint="eastAsia" w:ascii="宋体" w:hAnsi="宋体" w:cs="宋体"/>
          <w:kern w:val="0"/>
          <w:sz w:val="24"/>
          <w:szCs w:val="24"/>
        </w:rPr>
        <w:t>格式十</w:t>
      </w:r>
      <w:r>
        <w:rPr>
          <w:rFonts w:hint="eastAsia" w:ascii="宋体" w:hAnsi="宋体" w:cs="宋体"/>
          <w:kern w:val="0"/>
          <w:sz w:val="24"/>
          <w:szCs w:val="24"/>
          <w:lang w:val="en-US" w:eastAsia="zh-CN"/>
        </w:rPr>
        <w:t>六</w:t>
      </w:r>
      <w:r>
        <w:rPr>
          <w:rFonts w:hint="eastAsia" w:ascii="宋体" w:hAnsi="宋体" w:cs="宋体"/>
          <w:kern w:val="0"/>
          <w:sz w:val="24"/>
          <w:szCs w:val="24"/>
        </w:rPr>
        <w:t>：</w:t>
      </w:r>
    </w:p>
    <w:p>
      <w:pPr>
        <w:ind w:firstLine="1446" w:firstLineChars="6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参加政府采购前三年内在经营活动中无重大违法记录书面声明</w:t>
      </w:r>
    </w:p>
    <w:p>
      <w:pPr>
        <w:ind w:firstLine="1446" w:firstLineChars="600"/>
        <w:rPr>
          <w:rFonts w:ascii="宋体" w:hAnsi="宋体" w:cs="宋体"/>
          <w:b/>
          <w:bCs/>
          <w:color w:val="auto"/>
          <w:kern w:val="0"/>
          <w:sz w:val="24"/>
          <w:szCs w:val="24"/>
          <w:highlight w:val="none"/>
        </w:rPr>
      </w:pPr>
    </w:p>
    <w:p>
      <w:pPr>
        <w:tabs>
          <w:tab w:val="left" w:pos="8820"/>
        </w:tabs>
        <w:autoSpaceDE w:val="0"/>
        <w:autoSpaceDN w:val="0"/>
        <w:spacing w:line="360" w:lineRule="auto"/>
        <w:ind w:left="0" w:leftChars="0" w:firstLine="0" w:firstLineChars="0"/>
        <w:jc w:val="left"/>
        <w:rPr>
          <w:rFonts w:hint="eastAsia" w:ascii="宋体" w:hAnsi="宋体"/>
          <w:sz w:val="24"/>
          <w:szCs w:val="24"/>
        </w:rPr>
      </w:pPr>
      <w:r>
        <w:rPr>
          <w:rFonts w:hint="eastAsia" w:ascii="宋体" w:hAnsi="宋体"/>
          <w:sz w:val="24"/>
          <w:szCs w:val="24"/>
          <w:lang w:eastAsia="zh-CN"/>
        </w:rPr>
        <w:t>（采购单位名称）</w:t>
      </w:r>
      <w:r>
        <w:rPr>
          <w:rFonts w:hint="eastAsia" w:ascii="宋体" w:hAnsi="宋体"/>
          <w:sz w:val="24"/>
          <w:szCs w:val="24"/>
        </w:rPr>
        <w:t>：</w:t>
      </w:r>
    </w:p>
    <w:p>
      <w:pPr>
        <w:tabs>
          <w:tab w:val="left" w:pos="8820"/>
        </w:tabs>
        <w:autoSpaceDE w:val="0"/>
        <w:autoSpaceDN w:val="0"/>
        <w:spacing w:line="360" w:lineRule="auto"/>
        <w:ind w:firstLine="560"/>
        <w:rPr>
          <w:rFonts w:ascii="宋体" w:hAnsi="宋体" w:cs="宋体"/>
          <w:color w:val="auto"/>
          <w:kern w:val="0"/>
          <w:sz w:val="24"/>
          <w:szCs w:val="24"/>
          <w:highlight w:val="none"/>
        </w:rPr>
      </w:pPr>
      <w:r>
        <w:rPr>
          <w:rFonts w:hint="eastAsia" w:ascii="宋体" w:hAnsi="宋体" w:cs="宋体"/>
          <w:color w:val="auto"/>
          <w:kern w:val="0"/>
          <w:sz w:val="24"/>
          <w:szCs w:val="24"/>
          <w:highlight w:val="none"/>
        </w:rPr>
        <w:t>我公司自愿参加本次政府采购活动（项目名称</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，项目编号：</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s="宋体"/>
          <w:color w:val="auto"/>
          <w:kern w:val="0"/>
          <w:sz w:val="24"/>
          <w:szCs w:val="24"/>
          <w:highlight w:val="none"/>
        </w:rPr>
        <w:t>在参加此次政府采购活动前3年内，本公司在经营活动中无重大违法记录，并在“信用中国”网站(</w:t>
      </w:r>
      <w:r>
        <w:rPr>
          <w:rFonts w:hint="eastAsia"/>
          <w:color w:val="auto"/>
          <w:sz w:val="24"/>
          <w:szCs w:val="24"/>
          <w:highlight w:val="none"/>
          <w:u w:val="single" w:color="auto"/>
          <w:lang w:eastAsia="zh-CN"/>
        </w:rPr>
        <w:t>http://www.creditchina.gov.cn</w:t>
      </w:r>
      <w:r>
        <w:rPr>
          <w:rFonts w:hint="eastAsia" w:ascii="宋体" w:hAnsi="宋体" w:cs="宋体"/>
          <w:color w:val="auto"/>
          <w:kern w:val="0"/>
          <w:sz w:val="24"/>
          <w:szCs w:val="24"/>
          <w:highlight w:val="none"/>
        </w:rPr>
        <w:t>)、“中国政府采购网”网站（</w:t>
      </w:r>
      <w:r>
        <w:rPr>
          <w:rFonts w:hint="eastAsia"/>
          <w:color w:val="auto"/>
          <w:sz w:val="24"/>
          <w:szCs w:val="24"/>
          <w:highlight w:val="none"/>
          <w:u w:val="single" w:color="auto"/>
          <w:lang w:eastAsia="zh-CN"/>
        </w:rPr>
        <w:t>http://www.ccgp.gov.cn</w:t>
      </w:r>
      <w:r>
        <w:rPr>
          <w:rFonts w:hint="eastAsia" w:ascii="宋体" w:hAnsi="宋体" w:cs="宋体"/>
          <w:color w:val="auto"/>
          <w:kern w:val="0"/>
          <w:sz w:val="24"/>
          <w:szCs w:val="24"/>
          <w:highlight w:val="none"/>
        </w:rPr>
        <w:t>）上均</w:t>
      </w:r>
      <w:r>
        <w:rPr>
          <w:rFonts w:hint="eastAsia" w:ascii="宋体" w:hAnsi="宋体"/>
          <w:color w:val="auto"/>
          <w:sz w:val="24"/>
          <w:szCs w:val="24"/>
          <w:highlight w:val="none"/>
        </w:rPr>
        <w:t>无相关不良行为的纪录。</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特此声明。</w:t>
      </w:r>
    </w:p>
    <w:p>
      <w:pPr>
        <w:tabs>
          <w:tab w:val="left" w:pos="8820"/>
        </w:tabs>
        <w:autoSpaceDE w:val="0"/>
        <w:autoSpaceDN w:val="0"/>
        <w:spacing w:line="360" w:lineRule="auto"/>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 xml:space="preserve">                                年  月  日</w:t>
      </w:r>
    </w:p>
    <w:p>
      <w:pPr>
        <w:spacing w:line="360" w:lineRule="auto"/>
        <w:rPr>
          <w:rFonts w:ascii="宋体" w:hAnsi="宋体"/>
          <w:color w:val="auto"/>
          <w:sz w:val="24"/>
          <w:szCs w:val="24"/>
          <w:highlight w:val="none"/>
        </w:rPr>
      </w:pPr>
    </w:p>
    <w:p>
      <w:pPr>
        <w:spacing w:line="360" w:lineRule="auto"/>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 xml:space="preserve">                 投标人名称（公章）：</w:t>
      </w:r>
      <w:r>
        <w:rPr>
          <w:rFonts w:hint="eastAsia" w:ascii="宋体" w:hAnsi="宋体"/>
          <w:color w:val="auto"/>
          <w:sz w:val="24"/>
          <w:szCs w:val="24"/>
          <w:highlight w:val="none"/>
          <w:u w:val="single"/>
        </w:rPr>
        <w:t xml:space="preserve">                        </w:t>
      </w:r>
    </w:p>
    <w:p>
      <w:pPr>
        <w:tabs>
          <w:tab w:val="left" w:pos="8820"/>
        </w:tabs>
        <w:autoSpaceDE w:val="0"/>
        <w:autoSpaceDN w:val="0"/>
        <w:spacing w:line="360" w:lineRule="auto"/>
        <w:ind w:firstLine="560"/>
        <w:rPr>
          <w:rFonts w:ascii="宋体" w:hAnsi="宋体"/>
          <w:color w:val="auto"/>
          <w:sz w:val="24"/>
          <w:szCs w:val="24"/>
          <w:highlight w:val="none"/>
          <w:u w:val="single"/>
        </w:rPr>
      </w:pPr>
      <w:r>
        <w:rPr>
          <w:rFonts w:hint="eastAsia" w:ascii="宋体" w:hAnsi="宋体"/>
          <w:color w:val="auto"/>
          <w:sz w:val="24"/>
          <w:szCs w:val="24"/>
          <w:highlight w:val="none"/>
        </w:rPr>
        <w:t xml:space="preserve">                法定代表或其授权人（签字）：</w:t>
      </w:r>
      <w:r>
        <w:rPr>
          <w:rFonts w:hint="eastAsia" w:ascii="宋体" w:hAnsi="宋体"/>
          <w:color w:val="auto"/>
          <w:sz w:val="24"/>
          <w:szCs w:val="24"/>
          <w:highlight w:val="none"/>
          <w:u w:val="single"/>
        </w:rPr>
        <w:t xml:space="preserve">                </w:t>
      </w: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注：</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1.信用记录查询渠道：通过“信用中国”网站（</w:t>
      </w:r>
      <w:r>
        <w:rPr>
          <w:rFonts w:hint="eastAsia"/>
          <w:color w:val="auto"/>
          <w:sz w:val="24"/>
          <w:szCs w:val="24"/>
          <w:highlight w:val="none"/>
          <w:u w:val="single" w:color="auto"/>
          <w:lang w:eastAsia="zh-CN"/>
        </w:rPr>
        <w:t>http://www.creditchina.gov.cn</w:t>
      </w:r>
      <w:r>
        <w:rPr>
          <w:rFonts w:hint="eastAsia" w:ascii="宋体" w:hAnsi="宋体"/>
          <w:color w:val="auto"/>
          <w:sz w:val="24"/>
          <w:szCs w:val="24"/>
          <w:highlight w:val="none"/>
        </w:rPr>
        <w:t>）、中国政府采购网（</w:t>
      </w:r>
      <w:r>
        <w:rPr>
          <w:rFonts w:hint="eastAsia"/>
          <w:color w:val="auto"/>
          <w:sz w:val="24"/>
          <w:szCs w:val="24"/>
          <w:highlight w:val="none"/>
          <w:u w:val="single" w:color="auto"/>
          <w:lang w:eastAsia="zh-CN"/>
        </w:rPr>
        <w:t>http://www.ccgp.gov.cn</w:t>
      </w:r>
      <w:r>
        <w:rPr>
          <w:rFonts w:hint="eastAsia" w:ascii="宋体" w:hAnsi="宋体"/>
          <w:color w:val="auto"/>
          <w:sz w:val="24"/>
          <w:szCs w:val="24"/>
          <w:highlight w:val="none"/>
        </w:rPr>
        <w:t>）查询信用记录。</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2.截图要求：</w:t>
      </w: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r>
        <w:rPr>
          <w:rFonts w:hint="eastAsia" w:ascii="宋体" w:hAnsi="宋体"/>
          <w:color w:val="auto"/>
          <w:sz w:val="24"/>
          <w:szCs w:val="24"/>
          <w:highlight w:val="none"/>
        </w:rPr>
        <w:t>（1）登录“信用中国”网站，在搜索框中填写投标人全称，点击查询“下载信用报告”进行截图。</w:t>
      </w: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r>
        <w:rPr>
          <w:rFonts w:hint="eastAsia" w:ascii="宋体" w:hAnsi="宋体"/>
          <w:color w:val="auto"/>
          <w:sz w:val="24"/>
          <w:szCs w:val="24"/>
          <w:highlight w:val="none"/>
        </w:rPr>
        <w:t>（2）登录“中国政府采购网”网站，点击“</w:t>
      </w:r>
      <w:r>
        <w:rPr>
          <w:rFonts w:hint="eastAsia" w:ascii="宋体" w:hAnsi="宋体"/>
          <w:color w:val="auto"/>
          <w:sz w:val="24"/>
          <w:szCs w:val="24"/>
          <w:highlight w:val="none"/>
        </w:rPr>
        <w:fldChar w:fldCharType="begin"/>
      </w:r>
      <w:r>
        <w:rPr>
          <w:rFonts w:hint="eastAsia" w:ascii="宋体" w:hAnsi="宋体"/>
          <w:color w:val="auto"/>
          <w:sz w:val="24"/>
          <w:szCs w:val="24"/>
          <w:highlight w:val="none"/>
        </w:rPr>
        <w:instrText xml:space="preserve"> HYPERLINK "http://www.ccgp.gov.cn/search/cr/" \o "政府采购严重违法失信行为记录名单" </w:instrText>
      </w:r>
      <w:r>
        <w:rPr>
          <w:rFonts w:hint="eastAsia" w:ascii="宋体" w:hAnsi="宋体"/>
          <w:color w:val="auto"/>
          <w:sz w:val="24"/>
          <w:szCs w:val="24"/>
          <w:highlight w:val="none"/>
        </w:rPr>
        <w:fldChar w:fldCharType="separate"/>
      </w:r>
      <w:r>
        <w:rPr>
          <w:rFonts w:hint="eastAsia" w:ascii="宋体" w:hAnsi="宋体"/>
          <w:color w:val="auto"/>
          <w:sz w:val="24"/>
          <w:szCs w:val="24"/>
          <w:highlight w:val="none"/>
        </w:rPr>
        <w:t>政府采购严重违法失信行为记录名单</w:t>
      </w:r>
      <w:r>
        <w:rPr>
          <w:rFonts w:hint="eastAsia" w:ascii="宋体" w:hAnsi="宋体"/>
          <w:color w:val="auto"/>
          <w:sz w:val="24"/>
          <w:szCs w:val="24"/>
          <w:highlight w:val="none"/>
        </w:rPr>
        <w:fldChar w:fldCharType="end"/>
      </w:r>
      <w:r>
        <w:rPr>
          <w:rFonts w:hint="eastAsia" w:ascii="宋体" w:hAnsi="宋体"/>
          <w:color w:val="auto"/>
          <w:sz w:val="24"/>
          <w:szCs w:val="24"/>
          <w:highlight w:val="none"/>
        </w:rPr>
        <w:t>”，输入投标人全称点击查询，将整个页面进行截图。</w:t>
      </w: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p>
    <w:p>
      <w:pPr>
        <w:autoSpaceDE w:val="0"/>
        <w:autoSpaceDN w:val="0"/>
        <w:spacing w:line="360" w:lineRule="auto"/>
        <w:rPr>
          <w:rFonts w:ascii="宋体" w:hAnsi="宋体"/>
          <w:sz w:val="24"/>
          <w:szCs w:val="24"/>
        </w:rPr>
      </w:pPr>
      <w:r>
        <w:rPr>
          <w:rFonts w:hint="eastAsia" w:ascii="宋体" w:hAnsi="宋体"/>
          <w:sz w:val="24"/>
          <w:szCs w:val="24"/>
        </w:rPr>
        <w:t>格式十</w:t>
      </w:r>
      <w:r>
        <w:rPr>
          <w:rFonts w:hint="eastAsia" w:ascii="宋体" w:hAnsi="宋体"/>
          <w:sz w:val="24"/>
          <w:szCs w:val="24"/>
          <w:lang w:val="en-US" w:eastAsia="zh-CN"/>
        </w:rPr>
        <w:t>七</w:t>
      </w:r>
      <w:r>
        <w:rPr>
          <w:rFonts w:hint="eastAsia" w:ascii="宋体" w:hAnsi="宋体"/>
          <w:sz w:val="24"/>
          <w:szCs w:val="24"/>
        </w:rPr>
        <w:t>：</w:t>
      </w:r>
    </w:p>
    <w:p>
      <w:pPr>
        <w:autoSpaceDE w:val="0"/>
        <w:autoSpaceDN w:val="0"/>
        <w:spacing w:line="360" w:lineRule="auto"/>
        <w:jc w:val="center"/>
        <w:rPr>
          <w:rFonts w:ascii="宋体" w:hAnsi="宋体"/>
          <w:b/>
          <w:color w:val="000000"/>
          <w:sz w:val="24"/>
          <w:szCs w:val="24"/>
          <w:lang w:val="zh-CN"/>
        </w:rPr>
      </w:pP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1.单一来源文件要求提供的其他资料。</w:t>
      </w:r>
    </w:p>
    <w:p>
      <w:pPr>
        <w:spacing w:line="360" w:lineRule="auto"/>
        <w:rPr>
          <w:rFonts w:ascii="宋体" w:hAnsi="宋体"/>
          <w:sz w:val="24"/>
          <w:szCs w:val="24"/>
        </w:rPr>
      </w:pPr>
      <w:r>
        <w:rPr>
          <w:rFonts w:hint="eastAsia" w:ascii="宋体" w:hAnsi="宋体"/>
          <w:sz w:val="24"/>
          <w:szCs w:val="24"/>
        </w:rPr>
        <w:t>2.供应商认为需提供的其他资料。</w:t>
      </w:r>
    </w:p>
    <w:p>
      <w:pPr>
        <w:pStyle w:val="3"/>
        <w:keepNext w:val="0"/>
        <w:keepLines w:val="0"/>
        <w:spacing w:line="360" w:lineRule="auto"/>
        <w:ind w:firstLine="3012" w:firstLineChars="1250"/>
        <w:rPr>
          <w:rFonts w:ascii="宋体" w:hAnsi="宋体" w:eastAsia="宋体"/>
          <w:bCs w:val="0"/>
          <w:color w:val="000000"/>
          <w:kern w:val="2"/>
          <w:sz w:val="24"/>
          <w:szCs w:val="24"/>
          <w:lang w:val="en-US" w:eastAsia="zh-CN"/>
        </w:rPr>
      </w:pPr>
      <w:r>
        <w:rPr>
          <w:rFonts w:ascii="宋体" w:hAnsi="宋体" w:eastAsia="宋体"/>
          <w:bCs w:val="0"/>
          <w:color w:val="000000"/>
          <w:kern w:val="2"/>
          <w:sz w:val="24"/>
          <w:szCs w:val="24"/>
          <w:lang w:val="en-US" w:eastAsia="zh-CN"/>
        </w:rPr>
        <w:br w:type="page"/>
      </w:r>
    </w:p>
    <w:p>
      <w:pPr>
        <w:pStyle w:val="2"/>
        <w:keepNext w:val="0"/>
        <w:keepLines w:val="0"/>
        <w:spacing w:line="360" w:lineRule="auto"/>
        <w:rPr>
          <w:rFonts w:ascii="宋体" w:hAnsi="宋体"/>
          <w:color w:val="000000"/>
          <w:sz w:val="24"/>
          <w:szCs w:val="24"/>
        </w:rPr>
      </w:pPr>
      <w:bookmarkStart w:id="39" w:name="_Toc497726806"/>
      <w:r>
        <w:rPr>
          <w:rFonts w:hint="eastAsia" w:ascii="宋体" w:hAnsi="宋体"/>
          <w:color w:val="000000"/>
          <w:sz w:val="24"/>
          <w:szCs w:val="24"/>
        </w:rPr>
        <w:t>温馨提示</w:t>
      </w:r>
      <w:bookmarkEnd w:id="39"/>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各位供应商:</w:t>
      </w:r>
    </w:p>
    <w:p>
      <w:pPr>
        <w:spacing w:line="360" w:lineRule="auto"/>
        <w:rPr>
          <w:rFonts w:ascii="宋体" w:hAnsi="宋体"/>
          <w:b/>
          <w:color w:val="000000"/>
          <w:sz w:val="24"/>
          <w:szCs w:val="24"/>
          <w:lang w:val="zh-CN"/>
        </w:rPr>
      </w:pPr>
    </w:p>
    <w:p>
      <w:pPr>
        <w:spacing w:line="360" w:lineRule="auto"/>
        <w:rPr>
          <w:rFonts w:ascii="宋体" w:hAnsi="宋体"/>
          <w:sz w:val="24"/>
          <w:szCs w:val="24"/>
        </w:rPr>
      </w:pPr>
      <w:r>
        <w:rPr>
          <w:rFonts w:hint="eastAsia" w:ascii="宋体" w:hAnsi="宋体"/>
          <w:color w:val="000000"/>
          <w:sz w:val="24"/>
          <w:szCs w:val="24"/>
          <w:lang w:val="zh-CN"/>
        </w:rPr>
        <w:t xml:space="preserve">  </w:t>
      </w:r>
      <w:r>
        <w:rPr>
          <w:rFonts w:hint="eastAsia" w:ascii="宋体" w:hAnsi="宋体"/>
          <w:sz w:val="24"/>
          <w:szCs w:val="24"/>
        </w:rPr>
        <w:t xml:space="preserve">  请在编制响应文件前请认真阅读并理解单一来源文件。现就容易导致废标或无效投标的条款特别提示如下：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及时查看投标项目的相关信息公告，如单一来源采购公告、变更公告、废标公告等。</w:t>
      </w:r>
    </w:p>
    <w:p>
      <w:pPr>
        <w:tabs>
          <w:tab w:val="left" w:pos="851"/>
        </w:tabs>
        <w:spacing w:line="360" w:lineRule="auto"/>
        <w:rPr>
          <w:rFonts w:ascii="宋体" w:hAnsi="宋体"/>
          <w:sz w:val="24"/>
          <w:szCs w:val="24"/>
        </w:rPr>
      </w:pPr>
      <w:r>
        <w:rPr>
          <w:rFonts w:hint="eastAsia" w:ascii="宋体" w:hAnsi="宋体"/>
          <w:sz w:val="24"/>
          <w:szCs w:val="24"/>
        </w:rPr>
        <w:t>2. 注意响应文件的密封、装订及签署、盖章，如项目分包，响应文件务必分包、分别编制。</w:t>
      </w:r>
    </w:p>
    <w:p>
      <w:pPr>
        <w:tabs>
          <w:tab w:val="left" w:pos="851"/>
        </w:tabs>
        <w:spacing w:line="360" w:lineRule="auto"/>
        <w:rPr>
          <w:rFonts w:ascii="宋体" w:hAnsi="宋体"/>
          <w:sz w:val="24"/>
          <w:szCs w:val="24"/>
        </w:rPr>
      </w:pPr>
      <w:r>
        <w:rPr>
          <w:rFonts w:hint="eastAsia" w:ascii="宋体" w:hAnsi="宋体"/>
          <w:sz w:val="24"/>
          <w:szCs w:val="24"/>
        </w:rPr>
        <w:t>3. 按照单一来源文件规定的时间、地点，提前到达并递交响应文件。</w:t>
      </w:r>
    </w:p>
    <w:p>
      <w:pPr>
        <w:tabs>
          <w:tab w:val="left" w:pos="851"/>
        </w:tabs>
        <w:spacing w:line="360" w:lineRule="auto"/>
        <w:rPr>
          <w:rFonts w:ascii="宋体" w:hAnsi="宋体"/>
          <w:sz w:val="24"/>
          <w:szCs w:val="24"/>
        </w:rPr>
      </w:pPr>
      <w:r>
        <w:rPr>
          <w:rFonts w:hint="eastAsia" w:ascii="宋体" w:hAnsi="宋体"/>
          <w:sz w:val="24"/>
          <w:szCs w:val="24"/>
        </w:rPr>
        <w:t>4. 注意响应文件中相关证明材料的完整性及有效期限。</w:t>
      </w:r>
    </w:p>
    <w:p>
      <w:pPr>
        <w:tabs>
          <w:tab w:val="left" w:pos="851"/>
        </w:tabs>
        <w:spacing w:line="360" w:lineRule="auto"/>
        <w:rPr>
          <w:rFonts w:ascii="宋体" w:hAnsi="宋体"/>
          <w:sz w:val="24"/>
          <w:szCs w:val="24"/>
        </w:rPr>
      </w:pPr>
    </w:p>
    <w:p>
      <w:pPr>
        <w:tabs>
          <w:tab w:val="left" w:pos="851"/>
        </w:tabs>
        <w:spacing w:line="360" w:lineRule="auto"/>
        <w:ind w:firstLine="480" w:firstLineChars="200"/>
        <w:rPr>
          <w:rFonts w:ascii="宋体" w:hAnsi="宋体"/>
          <w:sz w:val="24"/>
          <w:szCs w:val="24"/>
        </w:rPr>
        <w:sectPr>
          <w:headerReference r:id="rId11" w:type="first"/>
          <w:footerReference r:id="rId14" w:type="first"/>
          <w:headerReference r:id="rId9" w:type="default"/>
          <w:footerReference r:id="rId12" w:type="default"/>
          <w:headerReference r:id="rId10" w:type="even"/>
          <w:footerReference r:id="rId13" w:type="even"/>
          <w:pgSz w:w="11906" w:h="16838"/>
          <w:pgMar w:top="1588" w:right="1474" w:bottom="1418" w:left="1588" w:header="851" w:footer="992" w:gutter="0"/>
          <w:cols w:space="720" w:num="1"/>
          <w:titlePg/>
          <w:docGrid w:linePitch="312" w:charSpace="0"/>
        </w:sectPr>
      </w:pPr>
      <w:r>
        <w:rPr>
          <w:rFonts w:hint="eastAsia" w:ascii="宋体" w:hAnsi="宋体"/>
          <w:sz w:val="24"/>
          <w:szCs w:val="24"/>
        </w:rPr>
        <w:t>请各供应商严格遵守《中华人民共和国政府采购法》及其条例，如出现违法、违规行为，将承担响应法律责任。</w:t>
      </w:r>
    </w:p>
    <w:p>
      <w:pPr>
        <w:pStyle w:val="3"/>
        <w:keepNext w:val="0"/>
        <w:keepLines w:val="0"/>
        <w:spacing w:line="360" w:lineRule="auto"/>
        <w:rPr>
          <w:rFonts w:ascii="宋体" w:hAnsi="宋体" w:eastAsia="宋体"/>
          <w:bCs w:val="0"/>
          <w:color w:val="000000"/>
          <w:kern w:val="2"/>
          <w:sz w:val="24"/>
          <w:szCs w:val="24"/>
          <w:lang w:val="en-US" w:eastAsia="zh-CN"/>
        </w:rPr>
      </w:pPr>
    </w:p>
    <w:sectPr>
      <w:headerReference r:id="rId15" w:type="default"/>
      <w:footerReference r:id="rId16" w:type="default"/>
      <w:footerReference r:id="rId17" w:type="even"/>
      <w:pgSz w:w="11907" w:h="16840"/>
      <w:pgMar w:top="1134" w:right="1134" w:bottom="1134" w:left="1134" w:header="851" w:footer="992" w:gutter="0"/>
      <w:pgNumType w:start="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script"/>
    <w:pitch w:val="default"/>
    <w:sig w:usb0="00000000" w:usb1="00000000" w:usb2="00000010" w:usb3="00000000" w:csb0="00040000" w:csb1="00000000"/>
  </w:font>
  <w:font w:name="方正大黑简体">
    <w:altName w:val="宋体"/>
    <w:panose1 w:val="00000000000000000000"/>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黑体....">
    <w:altName w:val="黑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Align="top"/>
      <w:pBdr>
        <w:between w:val="none" w:color="auto" w:sz="0" w:space="0"/>
      </w:pBdr>
    </w:pPr>
    <w:r>
      <w:fldChar w:fldCharType="begin"/>
    </w:r>
    <w:r>
      <w:rPr>
        <w:rStyle w:val="47"/>
      </w:rPr>
      <w:instrText xml:space="preserve"> PAGE  </w:instrText>
    </w:r>
    <w:r>
      <w:fldChar w:fldCharType="separate"/>
    </w:r>
    <w:r>
      <w:rPr>
        <w:rStyle w:val="47"/>
      </w:rPr>
      <w:t>22</w:t>
    </w:r>
    <w:r>
      <w:fldChar w:fldCharType="end"/>
    </w:r>
  </w:p>
  <w:p>
    <w:pPr>
      <w:pStyle w:val="2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Align="top"/>
      <w:pBdr>
        <w:between w:val="none" w:color="auto" w:sz="0" w:space="0"/>
      </w:pBdr>
    </w:pPr>
    <w:r>
      <w:fldChar w:fldCharType="begin"/>
    </w:r>
    <w:r>
      <w:rPr>
        <w:rStyle w:val="47"/>
      </w:rPr>
      <w:instrText xml:space="preserve"> PAGE  </w:instrText>
    </w:r>
    <w:r>
      <w:fldChar w:fldCharType="separate"/>
    </w:r>
    <w:r>
      <w:rPr>
        <w:rStyle w:val="47"/>
      </w:rPr>
      <w:t>37</w:t>
    </w:r>
    <w:r>
      <w:fldChar w:fldCharType="end"/>
    </w:r>
  </w:p>
  <w:p>
    <w:pPr>
      <w:pStyle w:val="2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7"/>
      </w:rPr>
    </w:pPr>
  </w:p>
  <w:p>
    <w:pPr>
      <w:pStyle w:val="28"/>
      <w:tabs>
        <w:tab w:val="right" w:pos="8485"/>
        <w:tab w:val="clear" w:pos="4153"/>
        <w:tab w:val="clear" w:pos="8306"/>
      </w:tabs>
      <w:ind w:right="360"/>
      <w:rPr>
        <w:rFonts w:ascii="宋体" w:hAnsi="宋体"/>
        <w:bCs/>
        <w:sz w:val="21"/>
        <w:szCs w:val="21"/>
      </w:rPr>
    </w:pPr>
    <w:r>
      <w:rPr>
        <w:rFonts w:ascii="宋体" w:hAnsi="宋体"/>
        <w:bCs/>
        <w:sz w:val="21"/>
        <w:szCs w:val="21"/>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-635</wp:posOffset>
              </wp:positionV>
              <wp:extent cx="4914900" cy="0"/>
              <wp:effectExtent l="13970" t="8890" r="5080" b="1016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6pt;margin-top:-0.05pt;height:0pt;width:387pt;z-index:251660288;mso-width-relative:page;mso-height-relative:page;" filled="f" stroked="t" coordsize="21600,21600" o:gfxdata="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sMYwDSAAAABQEAAA8AAAAAAAAAAQAgAAAAIgAAAGRycy9k&#10;b3ducmV2LnhtbFBLAQIUABQAAAAIAIdO4kBE6FgqzwEAAGYDAAAOAAAAAAAAAAEAIAAAACEBAABk&#10;cnMvZTJvRG9jLnhtbFBLBQYAAAAABgAGAFkBAABiBQAAAAA=&#10;">
              <v:fill on="f" focussize="0,0"/>
              <v:stroke color="#000000" joinstyle="round"/>
              <v:imagedata o:title=""/>
              <o:lock v:ext="edit" aspectratio="f"/>
            </v:line>
          </w:pict>
        </mc:Fallback>
      </mc:AlternateContent>
    </w:r>
    <w:r>
      <w:rPr>
        <w:rFonts w:ascii="宋体" w:hAnsi="宋体"/>
        <w:bCs/>
        <w:sz w:val="21"/>
        <w:szCs w:val="21"/>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2982595</wp:posOffset>
              </wp:positionV>
              <wp:extent cx="5257800" cy="0"/>
              <wp:effectExtent l="9525" t="10795" r="9525" b="825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15pt;margin-top:234.85pt;height:0pt;width:414pt;z-index:251659264;mso-width-relative:page;mso-height-relative:page;" filled="f" stroked="t" coordsize="21600,21600" o:gfxdata="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xlHWtkAAAAMAQAADwAAAAAAAAABACAAAAAiAAAAZHJzL2Rv&#10;d25yZXYueG1sUEsBAhQAFAAAAAgAh07iQCf/DH7HAQAAXAMAAA4AAAAAAAAAAQAgAAAAKAEAAGRy&#10;cy9lMm9Eb2MueG1sUEsFBgAAAAAGAAYAWQEAAGEFAAAAAA==&#10;">
              <v:fill on="f" focussize="0,0"/>
              <v:stroke color="#000000" joinstyle="round"/>
              <v:imagedata o:title=""/>
              <o:lock v:ext="edit" aspectratio="f"/>
            </v:lin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7"/>
        <w:sz w:val="17"/>
        <w:szCs w:val="17"/>
      </w:rPr>
    </w:pPr>
    <w:r>
      <w:rPr>
        <w:rStyle w:val="47"/>
        <w:sz w:val="17"/>
        <w:szCs w:val="17"/>
      </w:rPr>
      <w:fldChar w:fldCharType="begin"/>
    </w:r>
    <w:r>
      <w:rPr>
        <w:rStyle w:val="47"/>
        <w:sz w:val="17"/>
        <w:szCs w:val="17"/>
      </w:rPr>
      <w:instrText xml:space="preserve">PAGE  </w:instrText>
    </w:r>
    <w:r>
      <w:rPr>
        <w:rStyle w:val="47"/>
        <w:sz w:val="17"/>
        <w:szCs w:val="17"/>
      </w:rPr>
      <w:fldChar w:fldCharType="end"/>
    </w:r>
  </w:p>
  <w:p>
    <w:pPr>
      <w:pStyle w:val="28"/>
      <w:ind w:right="360" w:firstLine="360"/>
      <w:rPr>
        <w:sz w:val="17"/>
        <w:szCs w:val="17"/>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jc w:val="both"/>
      <w:rPr>
        <w:sz w:val="24"/>
        <w:szCs w:val="24"/>
      </w:rPr>
    </w:pPr>
    <w:r>
      <w:rPr>
        <w:rFonts w:hint="eastAsia"/>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jc w:val="both"/>
      <w:rPr>
        <w:sz w:val="24"/>
        <w:szCs w:val="24"/>
      </w:rPr>
    </w:pPr>
    <w:r>
      <w:rPr>
        <w:rFonts w:hint="eastAsia"/>
        <w:sz w:val="24"/>
        <w:szCs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pStyle w:val="175"/>
      <w:lvlText w:val="一、"/>
      <w:lvlJc w:val="left"/>
      <w:pPr>
        <w:tabs>
          <w:tab w:val="left" w:pos="1282"/>
        </w:tabs>
        <w:ind w:left="1282" w:hanging="720"/>
      </w:pPr>
      <w:rPr>
        <w:rFonts w:hint="default"/>
        <w:color w:val="000000"/>
      </w:rPr>
    </w:lvl>
    <w:lvl w:ilvl="1" w:tentative="0">
      <w:start w:val="1"/>
      <w:numFmt w:val="lowerLetter"/>
      <w:lvlText w:val="%2)"/>
      <w:lvlJc w:val="left"/>
      <w:pPr>
        <w:tabs>
          <w:tab w:val="left" w:pos="1402"/>
        </w:tabs>
        <w:ind w:left="1402" w:hanging="420"/>
      </w:pPr>
    </w:lvl>
    <w:lvl w:ilvl="2" w:tentative="0">
      <w:start w:val="1"/>
      <w:numFmt w:val="lowerRoman"/>
      <w:lvlText w:val="%3."/>
      <w:lvlJc w:val="right"/>
      <w:pPr>
        <w:tabs>
          <w:tab w:val="left" w:pos="1822"/>
        </w:tabs>
        <w:ind w:left="1822" w:hanging="420"/>
      </w:pPr>
    </w:lvl>
    <w:lvl w:ilvl="3" w:tentative="0">
      <w:start w:val="1"/>
      <w:numFmt w:val="decimal"/>
      <w:lvlText w:val="%4."/>
      <w:lvlJc w:val="left"/>
      <w:pPr>
        <w:tabs>
          <w:tab w:val="left" w:pos="2242"/>
        </w:tabs>
        <w:ind w:left="2242" w:hanging="420"/>
      </w:pPr>
    </w:lvl>
    <w:lvl w:ilvl="4" w:tentative="0">
      <w:start w:val="1"/>
      <w:numFmt w:val="lowerLetter"/>
      <w:lvlText w:val="%5)"/>
      <w:lvlJc w:val="left"/>
      <w:pPr>
        <w:tabs>
          <w:tab w:val="left" w:pos="2662"/>
        </w:tabs>
        <w:ind w:left="2662" w:hanging="420"/>
      </w:pPr>
    </w:lvl>
    <w:lvl w:ilvl="5" w:tentative="0">
      <w:start w:val="1"/>
      <w:numFmt w:val="lowerRoman"/>
      <w:lvlText w:val="%6."/>
      <w:lvlJc w:val="right"/>
      <w:pPr>
        <w:tabs>
          <w:tab w:val="left" w:pos="3082"/>
        </w:tabs>
        <w:ind w:left="3082" w:hanging="420"/>
      </w:pPr>
    </w:lvl>
    <w:lvl w:ilvl="6" w:tentative="0">
      <w:start w:val="1"/>
      <w:numFmt w:val="decimal"/>
      <w:lvlText w:val="%7."/>
      <w:lvlJc w:val="left"/>
      <w:pPr>
        <w:tabs>
          <w:tab w:val="left" w:pos="3502"/>
        </w:tabs>
        <w:ind w:left="3502" w:hanging="420"/>
      </w:pPr>
    </w:lvl>
    <w:lvl w:ilvl="7" w:tentative="0">
      <w:start w:val="1"/>
      <w:numFmt w:val="lowerLetter"/>
      <w:lvlText w:val="%8)"/>
      <w:lvlJc w:val="left"/>
      <w:pPr>
        <w:tabs>
          <w:tab w:val="left" w:pos="3922"/>
        </w:tabs>
        <w:ind w:left="3922" w:hanging="420"/>
      </w:pPr>
    </w:lvl>
    <w:lvl w:ilvl="8" w:tentative="0">
      <w:start w:val="1"/>
      <w:numFmt w:val="lowerRoman"/>
      <w:lvlText w:val="%9."/>
      <w:lvlJc w:val="right"/>
      <w:pPr>
        <w:tabs>
          <w:tab w:val="left" w:pos="4342"/>
        </w:tabs>
        <w:ind w:left="4342" w:hanging="420"/>
      </w:pPr>
    </w:lvl>
  </w:abstractNum>
  <w:abstractNum w:abstractNumId="1">
    <w:nsid w:val="00000002"/>
    <w:multiLevelType w:val="multilevel"/>
    <w:tmpl w:val="00000002"/>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88"/>
      <w:suff w:val="nothing"/>
      <w:lvlText w:val="%1%2.%3.%4　"/>
      <w:lvlJc w:val="left"/>
      <w:pPr>
        <w:ind w:left="0" w:firstLine="0"/>
      </w:pPr>
      <w:rPr>
        <w:rFonts w:hint="eastAsia" w:ascii="黑体" w:hAnsi="Times New Roman" w:eastAsia="黑体"/>
        <w:b w:val="0"/>
        <w:i w:val="0"/>
        <w:sz w:val="21"/>
      </w:rPr>
    </w:lvl>
    <w:lvl w:ilvl="4" w:tentative="0">
      <w:start w:val="1"/>
      <w:numFmt w:val="decimal"/>
      <w:pStyle w:val="187"/>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2">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pStyle w:val="220"/>
      <w:lvlText w:val="%3."/>
      <w:lvlJc w:val="right"/>
      <w:pPr>
        <w:tabs>
          <w:tab w:val="left" w:pos="1809"/>
        </w:tabs>
        <w:ind w:left="1809" w:hanging="420"/>
      </w:pPr>
    </w:lvl>
    <w:lvl w:ilvl="3" w:tentative="0">
      <w:start w:val="1"/>
      <w:numFmt w:val="decimal"/>
      <w:pStyle w:val="223"/>
      <w:lvlText w:val="%4."/>
      <w:lvlJc w:val="left"/>
      <w:pPr>
        <w:tabs>
          <w:tab w:val="left" w:pos="2229"/>
        </w:tabs>
        <w:ind w:left="2229" w:hanging="420"/>
      </w:pPr>
    </w:lvl>
    <w:lvl w:ilvl="4" w:tentative="0">
      <w:start w:val="1"/>
      <w:numFmt w:val="lowerLetter"/>
      <w:pStyle w:val="6"/>
      <w:lvlText w:val="%5)"/>
      <w:lvlJc w:val="left"/>
      <w:pPr>
        <w:tabs>
          <w:tab w:val="left" w:pos="2649"/>
        </w:tabs>
        <w:ind w:left="2649" w:hanging="420"/>
      </w:pPr>
    </w:lvl>
    <w:lvl w:ilvl="5" w:tentative="0">
      <w:start w:val="1"/>
      <w:numFmt w:val="lowerRoman"/>
      <w:pStyle w:val="7"/>
      <w:lvlText w:val="%6."/>
      <w:lvlJc w:val="right"/>
      <w:pPr>
        <w:tabs>
          <w:tab w:val="left" w:pos="3069"/>
        </w:tabs>
        <w:ind w:left="3069" w:hanging="420"/>
      </w:pPr>
    </w:lvl>
    <w:lvl w:ilvl="6" w:tentative="0">
      <w:start w:val="1"/>
      <w:numFmt w:val="decimal"/>
      <w:pStyle w:val="8"/>
      <w:lvlText w:val="%7."/>
      <w:lvlJc w:val="left"/>
      <w:pPr>
        <w:tabs>
          <w:tab w:val="left" w:pos="3489"/>
        </w:tabs>
        <w:ind w:left="3489" w:hanging="420"/>
      </w:pPr>
    </w:lvl>
    <w:lvl w:ilvl="7" w:tentative="0">
      <w:start w:val="1"/>
      <w:numFmt w:val="lowerLetter"/>
      <w:pStyle w:val="9"/>
      <w:lvlText w:val="%8)"/>
      <w:lvlJc w:val="left"/>
      <w:pPr>
        <w:tabs>
          <w:tab w:val="left" w:pos="3909"/>
        </w:tabs>
        <w:ind w:left="3909" w:hanging="420"/>
      </w:pPr>
    </w:lvl>
    <w:lvl w:ilvl="8" w:tentative="0">
      <w:start w:val="1"/>
      <w:numFmt w:val="lowerRoman"/>
      <w:pStyle w:val="10"/>
      <w:lvlText w:val="%9."/>
      <w:lvlJc w:val="right"/>
      <w:pPr>
        <w:tabs>
          <w:tab w:val="left" w:pos="4329"/>
        </w:tabs>
        <w:ind w:left="4329" w:hanging="420"/>
      </w:pPr>
    </w:lvl>
  </w:abstractNum>
  <w:abstractNum w:abstractNumId="3">
    <w:nsid w:val="0000000E"/>
    <w:multiLevelType w:val="multilevel"/>
    <w:tmpl w:val="0000000E"/>
    <w:lvl w:ilvl="0" w:tentative="0">
      <w:start w:val="1"/>
      <w:numFmt w:val="bullet"/>
      <w:pStyle w:val="94"/>
      <w:lvlText w:val=""/>
      <w:lvlJc w:val="left"/>
      <w:pPr>
        <w:tabs>
          <w:tab w:val="left" w:pos="840"/>
        </w:tabs>
        <w:ind w:left="840" w:hanging="420"/>
      </w:pPr>
      <w:rPr>
        <w:rFonts w:hint="default" w:ascii="Wingdings" w:hAnsi="Wingdings"/>
        <w:color w:val="auto"/>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60B55DC2"/>
    <w:multiLevelType w:val="multilevel"/>
    <w:tmpl w:val="60B55DC2"/>
    <w:lvl w:ilvl="0" w:tentative="0">
      <w:start w:val="1"/>
      <w:numFmt w:val="upperLetter"/>
      <w:pStyle w:val="221"/>
      <w:lvlText w:val="%1"/>
      <w:lvlJc w:val="left"/>
      <w:pPr>
        <w:tabs>
          <w:tab w:val="left" w:pos="0"/>
        </w:tabs>
        <w:ind w:left="0" w:hanging="425"/>
      </w:pPr>
    </w:lvl>
    <w:lvl w:ilvl="1" w:tentative="0">
      <w:start w:val="1"/>
      <w:numFmt w:val="decimal"/>
      <w:pStyle w:val="222"/>
      <w:suff w:val="nothing"/>
      <w:lvlText w:val="表%1.%2　"/>
      <w:lvlJc w:val="left"/>
      <w:pPr>
        <w:ind w:left="3545" w:hanging="567"/>
      </w:pPr>
    </w:lvl>
    <w:lvl w:ilvl="2" w:tentative="0">
      <w:start w:val="1"/>
      <w:numFmt w:val="decimal"/>
      <w:lvlText w:val="%1.%2.%3"/>
      <w:lvlJc w:val="left"/>
      <w:pPr>
        <w:tabs>
          <w:tab w:val="left" w:pos="993"/>
        </w:tabs>
        <w:ind w:left="993" w:hanging="567"/>
      </w:pPr>
    </w:lvl>
    <w:lvl w:ilvl="3" w:tentative="0">
      <w:start w:val="1"/>
      <w:numFmt w:val="decimal"/>
      <w:lvlText w:val="%1.%2.%3.%4"/>
      <w:lvlJc w:val="left"/>
      <w:pPr>
        <w:tabs>
          <w:tab w:val="left" w:pos="2291"/>
        </w:tabs>
        <w:ind w:left="1559" w:hanging="708"/>
      </w:pPr>
    </w:lvl>
    <w:lvl w:ilvl="4" w:tentative="0">
      <w:start w:val="1"/>
      <w:numFmt w:val="decimal"/>
      <w:lvlText w:val="%1.%2.%3.%4.%5"/>
      <w:lvlJc w:val="left"/>
      <w:pPr>
        <w:tabs>
          <w:tab w:val="left" w:pos="3076"/>
        </w:tabs>
        <w:ind w:left="2126" w:hanging="850"/>
      </w:pPr>
    </w:lvl>
    <w:lvl w:ilvl="5" w:tentative="0">
      <w:start w:val="1"/>
      <w:numFmt w:val="decimal"/>
      <w:lvlText w:val="%1.%2.%3.%4.%5.%6"/>
      <w:lvlJc w:val="left"/>
      <w:pPr>
        <w:tabs>
          <w:tab w:val="left" w:pos="3861"/>
        </w:tabs>
        <w:ind w:left="2835" w:hanging="1134"/>
      </w:pPr>
    </w:lvl>
    <w:lvl w:ilvl="6" w:tentative="0">
      <w:start w:val="1"/>
      <w:numFmt w:val="decimal"/>
      <w:lvlText w:val="%1.%2.%3.%4.%5.%6.%7"/>
      <w:lvlJc w:val="left"/>
      <w:pPr>
        <w:tabs>
          <w:tab w:val="left" w:pos="4646"/>
        </w:tabs>
        <w:ind w:left="3402" w:hanging="1276"/>
      </w:pPr>
    </w:lvl>
    <w:lvl w:ilvl="7" w:tentative="0">
      <w:start w:val="1"/>
      <w:numFmt w:val="decimal"/>
      <w:lvlText w:val="%1.%2.%3.%4.%5.%6.%7.%8"/>
      <w:lvlJc w:val="left"/>
      <w:pPr>
        <w:tabs>
          <w:tab w:val="left" w:pos="5431"/>
        </w:tabs>
        <w:ind w:left="3969" w:hanging="1418"/>
      </w:pPr>
    </w:lvl>
    <w:lvl w:ilvl="8" w:tentative="0">
      <w:start w:val="1"/>
      <w:numFmt w:val="decimal"/>
      <w:lvlText w:val="%1.%2.%3.%4.%5.%6.%7.%8.%9"/>
      <w:lvlJc w:val="left"/>
      <w:pPr>
        <w:tabs>
          <w:tab w:val="left" w:pos="6217"/>
        </w:tabs>
        <w:ind w:left="4677" w:hanging="1700"/>
      </w:pPr>
    </w:lvl>
  </w:abstractNum>
  <w:num w:numId="1">
    <w:abstractNumId w:val="2"/>
  </w:num>
  <w:num w:numId="2">
    <w:abstractNumId w:val="3"/>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85"/>
    <w:rsid w:val="000019B5"/>
    <w:rsid w:val="00001E33"/>
    <w:rsid w:val="000037F2"/>
    <w:rsid w:val="00005FCE"/>
    <w:rsid w:val="000064F9"/>
    <w:rsid w:val="000124B7"/>
    <w:rsid w:val="00015A02"/>
    <w:rsid w:val="00015B44"/>
    <w:rsid w:val="00021C1D"/>
    <w:rsid w:val="00024348"/>
    <w:rsid w:val="000275BE"/>
    <w:rsid w:val="00030745"/>
    <w:rsid w:val="0003153C"/>
    <w:rsid w:val="00032217"/>
    <w:rsid w:val="00032340"/>
    <w:rsid w:val="00032A72"/>
    <w:rsid w:val="00032C24"/>
    <w:rsid w:val="00035AB0"/>
    <w:rsid w:val="00040454"/>
    <w:rsid w:val="0004101F"/>
    <w:rsid w:val="00041414"/>
    <w:rsid w:val="0004149A"/>
    <w:rsid w:val="00042767"/>
    <w:rsid w:val="0004317D"/>
    <w:rsid w:val="00043181"/>
    <w:rsid w:val="00044995"/>
    <w:rsid w:val="00044B0F"/>
    <w:rsid w:val="000521B0"/>
    <w:rsid w:val="0005504F"/>
    <w:rsid w:val="000554EC"/>
    <w:rsid w:val="000558A5"/>
    <w:rsid w:val="00060357"/>
    <w:rsid w:val="000629DD"/>
    <w:rsid w:val="00063168"/>
    <w:rsid w:val="0006359A"/>
    <w:rsid w:val="00071A78"/>
    <w:rsid w:val="00073FAA"/>
    <w:rsid w:val="000750A4"/>
    <w:rsid w:val="000750E1"/>
    <w:rsid w:val="00075906"/>
    <w:rsid w:val="00076D91"/>
    <w:rsid w:val="00077EEC"/>
    <w:rsid w:val="00080598"/>
    <w:rsid w:val="00082D2C"/>
    <w:rsid w:val="0008436C"/>
    <w:rsid w:val="00086144"/>
    <w:rsid w:val="0008633D"/>
    <w:rsid w:val="00086FD7"/>
    <w:rsid w:val="00087037"/>
    <w:rsid w:val="0008773A"/>
    <w:rsid w:val="000900FC"/>
    <w:rsid w:val="00090186"/>
    <w:rsid w:val="00090F39"/>
    <w:rsid w:val="00091D78"/>
    <w:rsid w:val="0009262E"/>
    <w:rsid w:val="00096C31"/>
    <w:rsid w:val="000971DF"/>
    <w:rsid w:val="0009744B"/>
    <w:rsid w:val="000A0964"/>
    <w:rsid w:val="000A0F1D"/>
    <w:rsid w:val="000A132A"/>
    <w:rsid w:val="000A1428"/>
    <w:rsid w:val="000A3313"/>
    <w:rsid w:val="000A3541"/>
    <w:rsid w:val="000A5AB3"/>
    <w:rsid w:val="000B2D92"/>
    <w:rsid w:val="000B4FD6"/>
    <w:rsid w:val="000B5545"/>
    <w:rsid w:val="000B5551"/>
    <w:rsid w:val="000B63B3"/>
    <w:rsid w:val="000B7161"/>
    <w:rsid w:val="000B7365"/>
    <w:rsid w:val="000C2322"/>
    <w:rsid w:val="000C5C82"/>
    <w:rsid w:val="000C612E"/>
    <w:rsid w:val="000C6D84"/>
    <w:rsid w:val="000D02AA"/>
    <w:rsid w:val="000D0A17"/>
    <w:rsid w:val="000D17C6"/>
    <w:rsid w:val="000D515C"/>
    <w:rsid w:val="000D5C01"/>
    <w:rsid w:val="000E15BD"/>
    <w:rsid w:val="000E550B"/>
    <w:rsid w:val="000E6319"/>
    <w:rsid w:val="000F0698"/>
    <w:rsid w:val="000F082D"/>
    <w:rsid w:val="000F333E"/>
    <w:rsid w:val="000F422E"/>
    <w:rsid w:val="000F6D0F"/>
    <w:rsid w:val="001016F2"/>
    <w:rsid w:val="00103E0C"/>
    <w:rsid w:val="00104530"/>
    <w:rsid w:val="00104570"/>
    <w:rsid w:val="00105203"/>
    <w:rsid w:val="001066A5"/>
    <w:rsid w:val="0010792E"/>
    <w:rsid w:val="001117FE"/>
    <w:rsid w:val="00111FA5"/>
    <w:rsid w:val="00117038"/>
    <w:rsid w:val="00117F1A"/>
    <w:rsid w:val="00120A63"/>
    <w:rsid w:val="001246B6"/>
    <w:rsid w:val="001247E2"/>
    <w:rsid w:val="00127E2F"/>
    <w:rsid w:val="00130354"/>
    <w:rsid w:val="00132AC3"/>
    <w:rsid w:val="00134349"/>
    <w:rsid w:val="00135CFE"/>
    <w:rsid w:val="00141011"/>
    <w:rsid w:val="00141C9F"/>
    <w:rsid w:val="00142373"/>
    <w:rsid w:val="00143F98"/>
    <w:rsid w:val="0014459C"/>
    <w:rsid w:val="00146DBB"/>
    <w:rsid w:val="00147FB1"/>
    <w:rsid w:val="00154774"/>
    <w:rsid w:val="00155388"/>
    <w:rsid w:val="0015557E"/>
    <w:rsid w:val="00156723"/>
    <w:rsid w:val="00156A89"/>
    <w:rsid w:val="00156AC8"/>
    <w:rsid w:val="00157C1F"/>
    <w:rsid w:val="00160171"/>
    <w:rsid w:val="00160C4C"/>
    <w:rsid w:val="00161123"/>
    <w:rsid w:val="001611B8"/>
    <w:rsid w:val="00161331"/>
    <w:rsid w:val="00162B44"/>
    <w:rsid w:val="00165EB9"/>
    <w:rsid w:val="00166437"/>
    <w:rsid w:val="00170333"/>
    <w:rsid w:val="00171AA8"/>
    <w:rsid w:val="00176355"/>
    <w:rsid w:val="00177528"/>
    <w:rsid w:val="00180D8E"/>
    <w:rsid w:val="0018304A"/>
    <w:rsid w:val="00183F40"/>
    <w:rsid w:val="00186AFA"/>
    <w:rsid w:val="00190BA3"/>
    <w:rsid w:val="001A0B92"/>
    <w:rsid w:val="001A22C1"/>
    <w:rsid w:val="001A3186"/>
    <w:rsid w:val="001A3257"/>
    <w:rsid w:val="001A4ADD"/>
    <w:rsid w:val="001A5910"/>
    <w:rsid w:val="001A6850"/>
    <w:rsid w:val="001B2547"/>
    <w:rsid w:val="001B4ECB"/>
    <w:rsid w:val="001B561C"/>
    <w:rsid w:val="001B631D"/>
    <w:rsid w:val="001C2945"/>
    <w:rsid w:val="001C4C6E"/>
    <w:rsid w:val="001C66C5"/>
    <w:rsid w:val="001C7085"/>
    <w:rsid w:val="001C780A"/>
    <w:rsid w:val="001C7988"/>
    <w:rsid w:val="001D1224"/>
    <w:rsid w:val="001D128E"/>
    <w:rsid w:val="001D3E3C"/>
    <w:rsid w:val="001D44B5"/>
    <w:rsid w:val="001D470F"/>
    <w:rsid w:val="001D4D24"/>
    <w:rsid w:val="001D7C35"/>
    <w:rsid w:val="001E146C"/>
    <w:rsid w:val="001E2F8C"/>
    <w:rsid w:val="001E6B2B"/>
    <w:rsid w:val="001F3324"/>
    <w:rsid w:val="001F38E6"/>
    <w:rsid w:val="001F46E4"/>
    <w:rsid w:val="001F50D5"/>
    <w:rsid w:val="001F7064"/>
    <w:rsid w:val="00200C69"/>
    <w:rsid w:val="002024F8"/>
    <w:rsid w:val="00203A97"/>
    <w:rsid w:val="00203C57"/>
    <w:rsid w:val="00204D35"/>
    <w:rsid w:val="00205A07"/>
    <w:rsid w:val="002138E0"/>
    <w:rsid w:val="002141C4"/>
    <w:rsid w:val="0021704B"/>
    <w:rsid w:val="00217885"/>
    <w:rsid w:val="00217F36"/>
    <w:rsid w:val="002216D2"/>
    <w:rsid w:val="002309C7"/>
    <w:rsid w:val="002349C2"/>
    <w:rsid w:val="002359DD"/>
    <w:rsid w:val="00236BF6"/>
    <w:rsid w:val="00236FE0"/>
    <w:rsid w:val="00246923"/>
    <w:rsid w:val="00247981"/>
    <w:rsid w:val="00247D3C"/>
    <w:rsid w:val="00252A85"/>
    <w:rsid w:val="00252E75"/>
    <w:rsid w:val="002531F7"/>
    <w:rsid w:val="002618B9"/>
    <w:rsid w:val="00262286"/>
    <w:rsid w:val="00267255"/>
    <w:rsid w:val="002677C5"/>
    <w:rsid w:val="0026789F"/>
    <w:rsid w:val="0027098A"/>
    <w:rsid w:val="00274A75"/>
    <w:rsid w:val="002758D1"/>
    <w:rsid w:val="00275B60"/>
    <w:rsid w:val="00276325"/>
    <w:rsid w:val="00276D08"/>
    <w:rsid w:val="00277A59"/>
    <w:rsid w:val="00280DF6"/>
    <w:rsid w:val="002813D5"/>
    <w:rsid w:val="002833E4"/>
    <w:rsid w:val="002847EC"/>
    <w:rsid w:val="00285C3F"/>
    <w:rsid w:val="00285F7D"/>
    <w:rsid w:val="00286176"/>
    <w:rsid w:val="002900C6"/>
    <w:rsid w:val="00290210"/>
    <w:rsid w:val="00290AF1"/>
    <w:rsid w:val="00290EA5"/>
    <w:rsid w:val="0029262E"/>
    <w:rsid w:val="00292903"/>
    <w:rsid w:val="00293351"/>
    <w:rsid w:val="00294C80"/>
    <w:rsid w:val="002954F1"/>
    <w:rsid w:val="00297645"/>
    <w:rsid w:val="002A1E57"/>
    <w:rsid w:val="002A2412"/>
    <w:rsid w:val="002A3538"/>
    <w:rsid w:val="002A5FA3"/>
    <w:rsid w:val="002A7A89"/>
    <w:rsid w:val="002B07D2"/>
    <w:rsid w:val="002B086D"/>
    <w:rsid w:val="002B46C2"/>
    <w:rsid w:val="002B6555"/>
    <w:rsid w:val="002B6ACB"/>
    <w:rsid w:val="002C0752"/>
    <w:rsid w:val="002C1118"/>
    <w:rsid w:val="002C1AB6"/>
    <w:rsid w:val="002C2541"/>
    <w:rsid w:val="002C5CB7"/>
    <w:rsid w:val="002C5EBE"/>
    <w:rsid w:val="002C7284"/>
    <w:rsid w:val="002D274A"/>
    <w:rsid w:val="002D2ABF"/>
    <w:rsid w:val="002D3A79"/>
    <w:rsid w:val="002D3B81"/>
    <w:rsid w:val="002D565D"/>
    <w:rsid w:val="002D5A33"/>
    <w:rsid w:val="002D5B54"/>
    <w:rsid w:val="002E08E7"/>
    <w:rsid w:val="002E335C"/>
    <w:rsid w:val="002E3D50"/>
    <w:rsid w:val="002E5B7A"/>
    <w:rsid w:val="002E5EAB"/>
    <w:rsid w:val="002E5EDD"/>
    <w:rsid w:val="002E6E32"/>
    <w:rsid w:val="002E7AC9"/>
    <w:rsid w:val="002F14A2"/>
    <w:rsid w:val="002F4D72"/>
    <w:rsid w:val="002F4ECE"/>
    <w:rsid w:val="002F5386"/>
    <w:rsid w:val="002F5648"/>
    <w:rsid w:val="002F7057"/>
    <w:rsid w:val="002F7ADE"/>
    <w:rsid w:val="003028A1"/>
    <w:rsid w:val="00305086"/>
    <w:rsid w:val="0030511C"/>
    <w:rsid w:val="00305EF3"/>
    <w:rsid w:val="00307C6D"/>
    <w:rsid w:val="0031146F"/>
    <w:rsid w:val="00313BDC"/>
    <w:rsid w:val="003166E1"/>
    <w:rsid w:val="003175DD"/>
    <w:rsid w:val="00317A60"/>
    <w:rsid w:val="0032346F"/>
    <w:rsid w:val="003252DF"/>
    <w:rsid w:val="00330FBC"/>
    <w:rsid w:val="00331EF4"/>
    <w:rsid w:val="0033413C"/>
    <w:rsid w:val="0034009B"/>
    <w:rsid w:val="00340152"/>
    <w:rsid w:val="0034045A"/>
    <w:rsid w:val="00343DE1"/>
    <w:rsid w:val="003453A3"/>
    <w:rsid w:val="003456D5"/>
    <w:rsid w:val="00346797"/>
    <w:rsid w:val="00350415"/>
    <w:rsid w:val="00351A42"/>
    <w:rsid w:val="00354113"/>
    <w:rsid w:val="00354D79"/>
    <w:rsid w:val="0035512E"/>
    <w:rsid w:val="00355D59"/>
    <w:rsid w:val="003562A9"/>
    <w:rsid w:val="0035724C"/>
    <w:rsid w:val="00357BB1"/>
    <w:rsid w:val="003601BC"/>
    <w:rsid w:val="003605DA"/>
    <w:rsid w:val="00361E13"/>
    <w:rsid w:val="00361E84"/>
    <w:rsid w:val="003620B6"/>
    <w:rsid w:val="00363A25"/>
    <w:rsid w:val="00363FBE"/>
    <w:rsid w:val="0036589D"/>
    <w:rsid w:val="00366DF7"/>
    <w:rsid w:val="00366FF7"/>
    <w:rsid w:val="00367583"/>
    <w:rsid w:val="00367DC0"/>
    <w:rsid w:val="00372CDD"/>
    <w:rsid w:val="00374800"/>
    <w:rsid w:val="0037604A"/>
    <w:rsid w:val="0037796F"/>
    <w:rsid w:val="003850C1"/>
    <w:rsid w:val="00386C41"/>
    <w:rsid w:val="00386F2E"/>
    <w:rsid w:val="00387C9F"/>
    <w:rsid w:val="00391691"/>
    <w:rsid w:val="0039586D"/>
    <w:rsid w:val="00396255"/>
    <w:rsid w:val="0039754F"/>
    <w:rsid w:val="003978E6"/>
    <w:rsid w:val="003A0038"/>
    <w:rsid w:val="003A059F"/>
    <w:rsid w:val="003A231E"/>
    <w:rsid w:val="003A585F"/>
    <w:rsid w:val="003A60CE"/>
    <w:rsid w:val="003A6F40"/>
    <w:rsid w:val="003A7970"/>
    <w:rsid w:val="003A79ED"/>
    <w:rsid w:val="003A7DC4"/>
    <w:rsid w:val="003A7FDC"/>
    <w:rsid w:val="003B5C3F"/>
    <w:rsid w:val="003C4C9F"/>
    <w:rsid w:val="003C57A9"/>
    <w:rsid w:val="003C62D0"/>
    <w:rsid w:val="003D1807"/>
    <w:rsid w:val="003D198A"/>
    <w:rsid w:val="003D305F"/>
    <w:rsid w:val="003D3113"/>
    <w:rsid w:val="003D3190"/>
    <w:rsid w:val="003D31B7"/>
    <w:rsid w:val="003D4292"/>
    <w:rsid w:val="003D4833"/>
    <w:rsid w:val="003D7194"/>
    <w:rsid w:val="003D73A0"/>
    <w:rsid w:val="003E0287"/>
    <w:rsid w:val="003E303A"/>
    <w:rsid w:val="003E309A"/>
    <w:rsid w:val="003E4CA7"/>
    <w:rsid w:val="003E53CD"/>
    <w:rsid w:val="003E61FE"/>
    <w:rsid w:val="003E6776"/>
    <w:rsid w:val="003E6B9C"/>
    <w:rsid w:val="003E7A65"/>
    <w:rsid w:val="003F1BED"/>
    <w:rsid w:val="003F4180"/>
    <w:rsid w:val="003F43DD"/>
    <w:rsid w:val="003F6293"/>
    <w:rsid w:val="003F68FC"/>
    <w:rsid w:val="0040058C"/>
    <w:rsid w:val="004010B1"/>
    <w:rsid w:val="0040126E"/>
    <w:rsid w:val="004023C0"/>
    <w:rsid w:val="00404152"/>
    <w:rsid w:val="00406E46"/>
    <w:rsid w:val="0040743F"/>
    <w:rsid w:val="00411079"/>
    <w:rsid w:val="004115E2"/>
    <w:rsid w:val="004117C1"/>
    <w:rsid w:val="00411877"/>
    <w:rsid w:val="004127CA"/>
    <w:rsid w:val="00414241"/>
    <w:rsid w:val="00414662"/>
    <w:rsid w:val="00417D84"/>
    <w:rsid w:val="00420B58"/>
    <w:rsid w:val="00420E78"/>
    <w:rsid w:val="004223BB"/>
    <w:rsid w:val="00425C9D"/>
    <w:rsid w:val="00425DB7"/>
    <w:rsid w:val="004261E5"/>
    <w:rsid w:val="00431F27"/>
    <w:rsid w:val="00432AB7"/>
    <w:rsid w:val="00433011"/>
    <w:rsid w:val="004352F5"/>
    <w:rsid w:val="00435D31"/>
    <w:rsid w:val="00435D5B"/>
    <w:rsid w:val="004374BE"/>
    <w:rsid w:val="00440E33"/>
    <w:rsid w:val="00441CA8"/>
    <w:rsid w:val="004431F8"/>
    <w:rsid w:val="00443247"/>
    <w:rsid w:val="00445BD5"/>
    <w:rsid w:val="00447B3B"/>
    <w:rsid w:val="00452F0B"/>
    <w:rsid w:val="00456764"/>
    <w:rsid w:val="004575B1"/>
    <w:rsid w:val="00457780"/>
    <w:rsid w:val="0046293D"/>
    <w:rsid w:val="0046308F"/>
    <w:rsid w:val="00465FFD"/>
    <w:rsid w:val="00473067"/>
    <w:rsid w:val="004755C8"/>
    <w:rsid w:val="004771B0"/>
    <w:rsid w:val="00481182"/>
    <w:rsid w:val="00481B1C"/>
    <w:rsid w:val="004825C2"/>
    <w:rsid w:val="004827A6"/>
    <w:rsid w:val="00482AEC"/>
    <w:rsid w:val="00482DE0"/>
    <w:rsid w:val="00483816"/>
    <w:rsid w:val="00486BCF"/>
    <w:rsid w:val="0049094E"/>
    <w:rsid w:val="00491598"/>
    <w:rsid w:val="00493B4C"/>
    <w:rsid w:val="00493C31"/>
    <w:rsid w:val="0049481A"/>
    <w:rsid w:val="004A17D2"/>
    <w:rsid w:val="004A2023"/>
    <w:rsid w:val="004A2179"/>
    <w:rsid w:val="004A32E9"/>
    <w:rsid w:val="004A6F4D"/>
    <w:rsid w:val="004A7401"/>
    <w:rsid w:val="004B1CE0"/>
    <w:rsid w:val="004B22B2"/>
    <w:rsid w:val="004B565B"/>
    <w:rsid w:val="004B6BB2"/>
    <w:rsid w:val="004C362D"/>
    <w:rsid w:val="004C4D09"/>
    <w:rsid w:val="004C4F15"/>
    <w:rsid w:val="004C6544"/>
    <w:rsid w:val="004C658C"/>
    <w:rsid w:val="004C6E43"/>
    <w:rsid w:val="004C759F"/>
    <w:rsid w:val="004C76F9"/>
    <w:rsid w:val="004D011C"/>
    <w:rsid w:val="004D01A9"/>
    <w:rsid w:val="004D1A36"/>
    <w:rsid w:val="004D2924"/>
    <w:rsid w:val="004D2C93"/>
    <w:rsid w:val="004D3DB3"/>
    <w:rsid w:val="004D57AF"/>
    <w:rsid w:val="004D5A44"/>
    <w:rsid w:val="004D6BA9"/>
    <w:rsid w:val="004E0D0E"/>
    <w:rsid w:val="004E19E1"/>
    <w:rsid w:val="004E35E8"/>
    <w:rsid w:val="004E37D1"/>
    <w:rsid w:val="004E3BE0"/>
    <w:rsid w:val="004F1447"/>
    <w:rsid w:val="004F16A9"/>
    <w:rsid w:val="00500436"/>
    <w:rsid w:val="00500D74"/>
    <w:rsid w:val="0050117C"/>
    <w:rsid w:val="005032DD"/>
    <w:rsid w:val="005049B8"/>
    <w:rsid w:val="005055B0"/>
    <w:rsid w:val="005109E3"/>
    <w:rsid w:val="00510CE7"/>
    <w:rsid w:val="00511267"/>
    <w:rsid w:val="00511FC6"/>
    <w:rsid w:val="00517A47"/>
    <w:rsid w:val="00517F41"/>
    <w:rsid w:val="0052071C"/>
    <w:rsid w:val="00520A53"/>
    <w:rsid w:val="005214EC"/>
    <w:rsid w:val="0052378F"/>
    <w:rsid w:val="00523827"/>
    <w:rsid w:val="00523AF4"/>
    <w:rsid w:val="0052688C"/>
    <w:rsid w:val="005269E2"/>
    <w:rsid w:val="005275B1"/>
    <w:rsid w:val="00531038"/>
    <w:rsid w:val="005323F9"/>
    <w:rsid w:val="00532CEC"/>
    <w:rsid w:val="005351EA"/>
    <w:rsid w:val="0053557A"/>
    <w:rsid w:val="00535BD1"/>
    <w:rsid w:val="00536ACA"/>
    <w:rsid w:val="00536CC2"/>
    <w:rsid w:val="0053771F"/>
    <w:rsid w:val="00540583"/>
    <w:rsid w:val="00542B4D"/>
    <w:rsid w:val="00544F6C"/>
    <w:rsid w:val="00545552"/>
    <w:rsid w:val="00547B46"/>
    <w:rsid w:val="00552AF4"/>
    <w:rsid w:val="00552C27"/>
    <w:rsid w:val="005541D2"/>
    <w:rsid w:val="00556CAB"/>
    <w:rsid w:val="00557212"/>
    <w:rsid w:val="005611C9"/>
    <w:rsid w:val="005655C3"/>
    <w:rsid w:val="0056676F"/>
    <w:rsid w:val="00570104"/>
    <w:rsid w:val="00570A65"/>
    <w:rsid w:val="00571223"/>
    <w:rsid w:val="0057590C"/>
    <w:rsid w:val="00575C09"/>
    <w:rsid w:val="005771EF"/>
    <w:rsid w:val="00577D22"/>
    <w:rsid w:val="00584B37"/>
    <w:rsid w:val="00585EC9"/>
    <w:rsid w:val="00586746"/>
    <w:rsid w:val="00587E08"/>
    <w:rsid w:val="00594ECC"/>
    <w:rsid w:val="00595358"/>
    <w:rsid w:val="00595AC9"/>
    <w:rsid w:val="0059662E"/>
    <w:rsid w:val="00596711"/>
    <w:rsid w:val="0059698F"/>
    <w:rsid w:val="00597732"/>
    <w:rsid w:val="005A238D"/>
    <w:rsid w:val="005A30D6"/>
    <w:rsid w:val="005A45E1"/>
    <w:rsid w:val="005A5BF4"/>
    <w:rsid w:val="005A63BF"/>
    <w:rsid w:val="005A75B9"/>
    <w:rsid w:val="005A75C8"/>
    <w:rsid w:val="005B0065"/>
    <w:rsid w:val="005B275E"/>
    <w:rsid w:val="005B37A7"/>
    <w:rsid w:val="005B71D9"/>
    <w:rsid w:val="005B72CA"/>
    <w:rsid w:val="005C0AAB"/>
    <w:rsid w:val="005C24D1"/>
    <w:rsid w:val="005C2E67"/>
    <w:rsid w:val="005C393D"/>
    <w:rsid w:val="005C46EF"/>
    <w:rsid w:val="005C7788"/>
    <w:rsid w:val="005D0F26"/>
    <w:rsid w:val="005D1575"/>
    <w:rsid w:val="005D18E5"/>
    <w:rsid w:val="005D20F2"/>
    <w:rsid w:val="005D450D"/>
    <w:rsid w:val="005D49D6"/>
    <w:rsid w:val="005D7B0E"/>
    <w:rsid w:val="005E0C34"/>
    <w:rsid w:val="005E0C67"/>
    <w:rsid w:val="005E1613"/>
    <w:rsid w:val="005E1B00"/>
    <w:rsid w:val="005E1E22"/>
    <w:rsid w:val="005E28DB"/>
    <w:rsid w:val="005E31CC"/>
    <w:rsid w:val="005E3207"/>
    <w:rsid w:val="005E3EC1"/>
    <w:rsid w:val="005E4F1E"/>
    <w:rsid w:val="005E7B84"/>
    <w:rsid w:val="005F01D8"/>
    <w:rsid w:val="005F04AE"/>
    <w:rsid w:val="005F1AFD"/>
    <w:rsid w:val="005F221E"/>
    <w:rsid w:val="005F461F"/>
    <w:rsid w:val="005F4751"/>
    <w:rsid w:val="005F5051"/>
    <w:rsid w:val="005F62DF"/>
    <w:rsid w:val="005F639F"/>
    <w:rsid w:val="005F6C1D"/>
    <w:rsid w:val="005F6C97"/>
    <w:rsid w:val="005F72B5"/>
    <w:rsid w:val="006033B9"/>
    <w:rsid w:val="00603405"/>
    <w:rsid w:val="00604E2D"/>
    <w:rsid w:val="0061529A"/>
    <w:rsid w:val="00615A8D"/>
    <w:rsid w:val="00616A52"/>
    <w:rsid w:val="00620B2E"/>
    <w:rsid w:val="00624825"/>
    <w:rsid w:val="00624BAD"/>
    <w:rsid w:val="0062530A"/>
    <w:rsid w:val="00625939"/>
    <w:rsid w:val="00634375"/>
    <w:rsid w:val="006370B3"/>
    <w:rsid w:val="006378FD"/>
    <w:rsid w:val="00637903"/>
    <w:rsid w:val="00637E93"/>
    <w:rsid w:val="00637F2E"/>
    <w:rsid w:val="00641217"/>
    <w:rsid w:val="00643AFE"/>
    <w:rsid w:val="0064532B"/>
    <w:rsid w:val="0064782F"/>
    <w:rsid w:val="00650FB0"/>
    <w:rsid w:val="0065161B"/>
    <w:rsid w:val="00651831"/>
    <w:rsid w:val="006530CE"/>
    <w:rsid w:val="0065785E"/>
    <w:rsid w:val="00657D10"/>
    <w:rsid w:val="006604AC"/>
    <w:rsid w:val="00661376"/>
    <w:rsid w:val="006615E5"/>
    <w:rsid w:val="00663483"/>
    <w:rsid w:val="00663B6F"/>
    <w:rsid w:val="00663DD3"/>
    <w:rsid w:val="0066477C"/>
    <w:rsid w:val="00666A3E"/>
    <w:rsid w:val="00670FAA"/>
    <w:rsid w:val="006718B0"/>
    <w:rsid w:val="006719FE"/>
    <w:rsid w:val="0067569A"/>
    <w:rsid w:val="006820F4"/>
    <w:rsid w:val="00685872"/>
    <w:rsid w:val="006869C4"/>
    <w:rsid w:val="0068719C"/>
    <w:rsid w:val="00687D18"/>
    <w:rsid w:val="0069019B"/>
    <w:rsid w:val="00691D72"/>
    <w:rsid w:val="006974C8"/>
    <w:rsid w:val="00697B24"/>
    <w:rsid w:val="00697EA9"/>
    <w:rsid w:val="006A06EE"/>
    <w:rsid w:val="006A25CE"/>
    <w:rsid w:val="006A3281"/>
    <w:rsid w:val="006A4BA2"/>
    <w:rsid w:val="006A7FBB"/>
    <w:rsid w:val="006B0D3C"/>
    <w:rsid w:val="006B0E96"/>
    <w:rsid w:val="006B1ADB"/>
    <w:rsid w:val="006B3C71"/>
    <w:rsid w:val="006B4351"/>
    <w:rsid w:val="006B6D1C"/>
    <w:rsid w:val="006C227A"/>
    <w:rsid w:val="006C287A"/>
    <w:rsid w:val="006C344B"/>
    <w:rsid w:val="006C3D88"/>
    <w:rsid w:val="006D30BE"/>
    <w:rsid w:val="006D567A"/>
    <w:rsid w:val="006D58D2"/>
    <w:rsid w:val="006D5943"/>
    <w:rsid w:val="006E010B"/>
    <w:rsid w:val="006E16A8"/>
    <w:rsid w:val="006E382F"/>
    <w:rsid w:val="006E3EC4"/>
    <w:rsid w:val="006E6765"/>
    <w:rsid w:val="006E6953"/>
    <w:rsid w:val="006F1AAC"/>
    <w:rsid w:val="006F2097"/>
    <w:rsid w:val="006F344D"/>
    <w:rsid w:val="006F5052"/>
    <w:rsid w:val="006F63B1"/>
    <w:rsid w:val="00700CD9"/>
    <w:rsid w:val="00701BA9"/>
    <w:rsid w:val="007020B5"/>
    <w:rsid w:val="007029E6"/>
    <w:rsid w:val="00703008"/>
    <w:rsid w:val="007055F3"/>
    <w:rsid w:val="00706DA6"/>
    <w:rsid w:val="007071EB"/>
    <w:rsid w:val="00710463"/>
    <w:rsid w:val="00710837"/>
    <w:rsid w:val="00710B71"/>
    <w:rsid w:val="00714859"/>
    <w:rsid w:val="00714F92"/>
    <w:rsid w:val="0071524A"/>
    <w:rsid w:val="00716EEF"/>
    <w:rsid w:val="00717FD3"/>
    <w:rsid w:val="00720C41"/>
    <w:rsid w:val="00722FBA"/>
    <w:rsid w:val="0072313F"/>
    <w:rsid w:val="00727F36"/>
    <w:rsid w:val="0073012D"/>
    <w:rsid w:val="00732742"/>
    <w:rsid w:val="0073370C"/>
    <w:rsid w:val="00733A3B"/>
    <w:rsid w:val="00744479"/>
    <w:rsid w:val="00744FCC"/>
    <w:rsid w:val="00747D32"/>
    <w:rsid w:val="0075190A"/>
    <w:rsid w:val="00752753"/>
    <w:rsid w:val="00752854"/>
    <w:rsid w:val="00754E54"/>
    <w:rsid w:val="00755E9B"/>
    <w:rsid w:val="00757E08"/>
    <w:rsid w:val="00766ADF"/>
    <w:rsid w:val="00772676"/>
    <w:rsid w:val="007726C3"/>
    <w:rsid w:val="00773D9F"/>
    <w:rsid w:val="00774571"/>
    <w:rsid w:val="00780E8E"/>
    <w:rsid w:val="007812FA"/>
    <w:rsid w:val="0078207C"/>
    <w:rsid w:val="00782676"/>
    <w:rsid w:val="007830D7"/>
    <w:rsid w:val="0078499E"/>
    <w:rsid w:val="0078591F"/>
    <w:rsid w:val="0078611D"/>
    <w:rsid w:val="0078682A"/>
    <w:rsid w:val="00786E7B"/>
    <w:rsid w:val="00787879"/>
    <w:rsid w:val="00791867"/>
    <w:rsid w:val="007919E4"/>
    <w:rsid w:val="0079216A"/>
    <w:rsid w:val="00792D96"/>
    <w:rsid w:val="00793656"/>
    <w:rsid w:val="0079581E"/>
    <w:rsid w:val="007969EF"/>
    <w:rsid w:val="007A0737"/>
    <w:rsid w:val="007A1182"/>
    <w:rsid w:val="007A341B"/>
    <w:rsid w:val="007A5951"/>
    <w:rsid w:val="007A6419"/>
    <w:rsid w:val="007A6A02"/>
    <w:rsid w:val="007A7335"/>
    <w:rsid w:val="007B06C6"/>
    <w:rsid w:val="007B16B5"/>
    <w:rsid w:val="007B4372"/>
    <w:rsid w:val="007B4578"/>
    <w:rsid w:val="007B50EE"/>
    <w:rsid w:val="007B6C05"/>
    <w:rsid w:val="007B79A8"/>
    <w:rsid w:val="007C0FB3"/>
    <w:rsid w:val="007C17CD"/>
    <w:rsid w:val="007C17F7"/>
    <w:rsid w:val="007C1873"/>
    <w:rsid w:val="007C1EAB"/>
    <w:rsid w:val="007C3673"/>
    <w:rsid w:val="007C3E96"/>
    <w:rsid w:val="007C4F12"/>
    <w:rsid w:val="007C6D29"/>
    <w:rsid w:val="007C6DE3"/>
    <w:rsid w:val="007D0240"/>
    <w:rsid w:val="007D06D2"/>
    <w:rsid w:val="007D1ACE"/>
    <w:rsid w:val="007D2830"/>
    <w:rsid w:val="007D4FF0"/>
    <w:rsid w:val="007D6050"/>
    <w:rsid w:val="007E1654"/>
    <w:rsid w:val="007E1922"/>
    <w:rsid w:val="007E4109"/>
    <w:rsid w:val="007E6083"/>
    <w:rsid w:val="007E7F1E"/>
    <w:rsid w:val="007F425A"/>
    <w:rsid w:val="007F5E84"/>
    <w:rsid w:val="007F5F08"/>
    <w:rsid w:val="007F5FD5"/>
    <w:rsid w:val="007F6127"/>
    <w:rsid w:val="007F6812"/>
    <w:rsid w:val="007F7A75"/>
    <w:rsid w:val="00803208"/>
    <w:rsid w:val="00807358"/>
    <w:rsid w:val="00810769"/>
    <w:rsid w:val="00810B6E"/>
    <w:rsid w:val="008151FE"/>
    <w:rsid w:val="008160B8"/>
    <w:rsid w:val="008209C0"/>
    <w:rsid w:val="0082268F"/>
    <w:rsid w:val="008237E0"/>
    <w:rsid w:val="00823D48"/>
    <w:rsid w:val="008244AF"/>
    <w:rsid w:val="00825E02"/>
    <w:rsid w:val="008261CD"/>
    <w:rsid w:val="00827211"/>
    <w:rsid w:val="00827C96"/>
    <w:rsid w:val="008314C9"/>
    <w:rsid w:val="008314D1"/>
    <w:rsid w:val="00831F79"/>
    <w:rsid w:val="008342B6"/>
    <w:rsid w:val="0083503B"/>
    <w:rsid w:val="0083719D"/>
    <w:rsid w:val="008372F3"/>
    <w:rsid w:val="00837C3F"/>
    <w:rsid w:val="00840E26"/>
    <w:rsid w:val="00841F9C"/>
    <w:rsid w:val="00842A8E"/>
    <w:rsid w:val="00845391"/>
    <w:rsid w:val="00846755"/>
    <w:rsid w:val="00847B72"/>
    <w:rsid w:val="00852B2F"/>
    <w:rsid w:val="00853159"/>
    <w:rsid w:val="0085576F"/>
    <w:rsid w:val="00857D31"/>
    <w:rsid w:val="00860870"/>
    <w:rsid w:val="0086264D"/>
    <w:rsid w:val="00863661"/>
    <w:rsid w:val="00863D3F"/>
    <w:rsid w:val="008640A9"/>
    <w:rsid w:val="00865130"/>
    <w:rsid w:val="0086561A"/>
    <w:rsid w:val="00866326"/>
    <w:rsid w:val="00867A66"/>
    <w:rsid w:val="00867D40"/>
    <w:rsid w:val="0087042D"/>
    <w:rsid w:val="00871360"/>
    <w:rsid w:val="008714CE"/>
    <w:rsid w:val="00872F54"/>
    <w:rsid w:val="00874F1E"/>
    <w:rsid w:val="00874F94"/>
    <w:rsid w:val="008759F2"/>
    <w:rsid w:val="00875C20"/>
    <w:rsid w:val="00876D6E"/>
    <w:rsid w:val="00881C7A"/>
    <w:rsid w:val="00881CC4"/>
    <w:rsid w:val="008820EB"/>
    <w:rsid w:val="0088395D"/>
    <w:rsid w:val="0088652E"/>
    <w:rsid w:val="00887695"/>
    <w:rsid w:val="00887B1A"/>
    <w:rsid w:val="008920CE"/>
    <w:rsid w:val="00896BE8"/>
    <w:rsid w:val="0089756D"/>
    <w:rsid w:val="008A090F"/>
    <w:rsid w:val="008A3F3D"/>
    <w:rsid w:val="008B2560"/>
    <w:rsid w:val="008B4F77"/>
    <w:rsid w:val="008B58CB"/>
    <w:rsid w:val="008B6131"/>
    <w:rsid w:val="008B773A"/>
    <w:rsid w:val="008B7C2B"/>
    <w:rsid w:val="008C0BB8"/>
    <w:rsid w:val="008C141C"/>
    <w:rsid w:val="008C2460"/>
    <w:rsid w:val="008C61E1"/>
    <w:rsid w:val="008D03BD"/>
    <w:rsid w:val="008D0497"/>
    <w:rsid w:val="008D1CB0"/>
    <w:rsid w:val="008D4B46"/>
    <w:rsid w:val="008D51C7"/>
    <w:rsid w:val="008D6598"/>
    <w:rsid w:val="008D6D39"/>
    <w:rsid w:val="008D6E21"/>
    <w:rsid w:val="008D7F22"/>
    <w:rsid w:val="008E3AA7"/>
    <w:rsid w:val="008E5FD0"/>
    <w:rsid w:val="008E64B5"/>
    <w:rsid w:val="008F1E56"/>
    <w:rsid w:val="008F6418"/>
    <w:rsid w:val="008F7C65"/>
    <w:rsid w:val="00900237"/>
    <w:rsid w:val="00900C9C"/>
    <w:rsid w:val="009023CD"/>
    <w:rsid w:val="00903251"/>
    <w:rsid w:val="009035CB"/>
    <w:rsid w:val="00904F9C"/>
    <w:rsid w:val="00907078"/>
    <w:rsid w:val="00907B49"/>
    <w:rsid w:val="009101B9"/>
    <w:rsid w:val="0091105D"/>
    <w:rsid w:val="009132A8"/>
    <w:rsid w:val="00913F0D"/>
    <w:rsid w:val="009149DE"/>
    <w:rsid w:val="0091581B"/>
    <w:rsid w:val="009169B4"/>
    <w:rsid w:val="0091754C"/>
    <w:rsid w:val="009175DE"/>
    <w:rsid w:val="00920046"/>
    <w:rsid w:val="00920A46"/>
    <w:rsid w:val="0092378E"/>
    <w:rsid w:val="00924D6A"/>
    <w:rsid w:val="00925EC5"/>
    <w:rsid w:val="0092772C"/>
    <w:rsid w:val="009306F8"/>
    <w:rsid w:val="0093237F"/>
    <w:rsid w:val="00934288"/>
    <w:rsid w:val="0093717B"/>
    <w:rsid w:val="00937855"/>
    <w:rsid w:val="00945EC2"/>
    <w:rsid w:val="009464E6"/>
    <w:rsid w:val="00950A42"/>
    <w:rsid w:val="009510CA"/>
    <w:rsid w:val="00954B1F"/>
    <w:rsid w:val="00957FDA"/>
    <w:rsid w:val="009633B2"/>
    <w:rsid w:val="00964157"/>
    <w:rsid w:val="009654D6"/>
    <w:rsid w:val="0097254D"/>
    <w:rsid w:val="00972E53"/>
    <w:rsid w:val="00974D6B"/>
    <w:rsid w:val="00975CFC"/>
    <w:rsid w:val="00977590"/>
    <w:rsid w:val="00977707"/>
    <w:rsid w:val="00977A5E"/>
    <w:rsid w:val="0098116C"/>
    <w:rsid w:val="009836C4"/>
    <w:rsid w:val="009854E2"/>
    <w:rsid w:val="00986A6C"/>
    <w:rsid w:val="00991D87"/>
    <w:rsid w:val="009939F1"/>
    <w:rsid w:val="00994A54"/>
    <w:rsid w:val="00996755"/>
    <w:rsid w:val="00997359"/>
    <w:rsid w:val="009A0BCB"/>
    <w:rsid w:val="009A53E3"/>
    <w:rsid w:val="009B028A"/>
    <w:rsid w:val="009B5201"/>
    <w:rsid w:val="009C2E57"/>
    <w:rsid w:val="009C401C"/>
    <w:rsid w:val="009D1A5A"/>
    <w:rsid w:val="009D37AC"/>
    <w:rsid w:val="009D3EA9"/>
    <w:rsid w:val="009D54CB"/>
    <w:rsid w:val="009D799E"/>
    <w:rsid w:val="009E0628"/>
    <w:rsid w:val="009E1506"/>
    <w:rsid w:val="009E391F"/>
    <w:rsid w:val="009E4F61"/>
    <w:rsid w:val="009E55D8"/>
    <w:rsid w:val="009E60EB"/>
    <w:rsid w:val="009E69C0"/>
    <w:rsid w:val="009F074C"/>
    <w:rsid w:val="009F204C"/>
    <w:rsid w:val="009F31F8"/>
    <w:rsid w:val="009F354C"/>
    <w:rsid w:val="009F4F17"/>
    <w:rsid w:val="00A02889"/>
    <w:rsid w:val="00A031CD"/>
    <w:rsid w:val="00A03B8F"/>
    <w:rsid w:val="00A04F9A"/>
    <w:rsid w:val="00A05DF3"/>
    <w:rsid w:val="00A10757"/>
    <w:rsid w:val="00A10B3D"/>
    <w:rsid w:val="00A13C8B"/>
    <w:rsid w:val="00A153E9"/>
    <w:rsid w:val="00A17462"/>
    <w:rsid w:val="00A177BC"/>
    <w:rsid w:val="00A17933"/>
    <w:rsid w:val="00A2176D"/>
    <w:rsid w:val="00A21819"/>
    <w:rsid w:val="00A22C5E"/>
    <w:rsid w:val="00A277B8"/>
    <w:rsid w:val="00A27998"/>
    <w:rsid w:val="00A32952"/>
    <w:rsid w:val="00A342F7"/>
    <w:rsid w:val="00A34CA2"/>
    <w:rsid w:val="00A3579C"/>
    <w:rsid w:val="00A35E73"/>
    <w:rsid w:val="00A3653F"/>
    <w:rsid w:val="00A36877"/>
    <w:rsid w:val="00A41B11"/>
    <w:rsid w:val="00A4479C"/>
    <w:rsid w:val="00A463C5"/>
    <w:rsid w:val="00A46519"/>
    <w:rsid w:val="00A467CB"/>
    <w:rsid w:val="00A472B6"/>
    <w:rsid w:val="00A47C5C"/>
    <w:rsid w:val="00A50443"/>
    <w:rsid w:val="00A524BA"/>
    <w:rsid w:val="00A5438D"/>
    <w:rsid w:val="00A553D4"/>
    <w:rsid w:val="00A55693"/>
    <w:rsid w:val="00A5679A"/>
    <w:rsid w:val="00A57517"/>
    <w:rsid w:val="00A579B0"/>
    <w:rsid w:val="00A57FBF"/>
    <w:rsid w:val="00A6030F"/>
    <w:rsid w:val="00A612E4"/>
    <w:rsid w:val="00A6233D"/>
    <w:rsid w:val="00A635C1"/>
    <w:rsid w:val="00A639B9"/>
    <w:rsid w:val="00A70302"/>
    <w:rsid w:val="00A70F46"/>
    <w:rsid w:val="00A7112C"/>
    <w:rsid w:val="00A71C5A"/>
    <w:rsid w:val="00A71CF9"/>
    <w:rsid w:val="00A744A6"/>
    <w:rsid w:val="00A74670"/>
    <w:rsid w:val="00A75A4D"/>
    <w:rsid w:val="00A770AD"/>
    <w:rsid w:val="00A80FAB"/>
    <w:rsid w:val="00A847DE"/>
    <w:rsid w:val="00A84B75"/>
    <w:rsid w:val="00A8522A"/>
    <w:rsid w:val="00A85806"/>
    <w:rsid w:val="00A90680"/>
    <w:rsid w:val="00A90976"/>
    <w:rsid w:val="00A90D02"/>
    <w:rsid w:val="00A93EE5"/>
    <w:rsid w:val="00AA02D4"/>
    <w:rsid w:val="00AA1B71"/>
    <w:rsid w:val="00AA2404"/>
    <w:rsid w:val="00AA31B0"/>
    <w:rsid w:val="00AA4062"/>
    <w:rsid w:val="00AA44A2"/>
    <w:rsid w:val="00AA56A4"/>
    <w:rsid w:val="00AB6FD5"/>
    <w:rsid w:val="00AC08EC"/>
    <w:rsid w:val="00AC0FF8"/>
    <w:rsid w:val="00AC1C33"/>
    <w:rsid w:val="00AC445C"/>
    <w:rsid w:val="00AC5CD4"/>
    <w:rsid w:val="00AD2B93"/>
    <w:rsid w:val="00AD3D67"/>
    <w:rsid w:val="00AD5BBB"/>
    <w:rsid w:val="00AD6104"/>
    <w:rsid w:val="00AD7033"/>
    <w:rsid w:val="00AD7399"/>
    <w:rsid w:val="00AE4E5E"/>
    <w:rsid w:val="00AE731A"/>
    <w:rsid w:val="00AE7FD2"/>
    <w:rsid w:val="00AF0EC5"/>
    <w:rsid w:val="00AF15E2"/>
    <w:rsid w:val="00AF1E0E"/>
    <w:rsid w:val="00AF23DE"/>
    <w:rsid w:val="00AF3A3E"/>
    <w:rsid w:val="00AF45AC"/>
    <w:rsid w:val="00AF594A"/>
    <w:rsid w:val="00B035D1"/>
    <w:rsid w:val="00B06E77"/>
    <w:rsid w:val="00B07498"/>
    <w:rsid w:val="00B075FF"/>
    <w:rsid w:val="00B10A94"/>
    <w:rsid w:val="00B1130E"/>
    <w:rsid w:val="00B1143D"/>
    <w:rsid w:val="00B11984"/>
    <w:rsid w:val="00B11D81"/>
    <w:rsid w:val="00B1296E"/>
    <w:rsid w:val="00B12A12"/>
    <w:rsid w:val="00B1362E"/>
    <w:rsid w:val="00B14086"/>
    <w:rsid w:val="00B15F39"/>
    <w:rsid w:val="00B16ACB"/>
    <w:rsid w:val="00B1742A"/>
    <w:rsid w:val="00B204A1"/>
    <w:rsid w:val="00B219AE"/>
    <w:rsid w:val="00B23B8C"/>
    <w:rsid w:val="00B26A4B"/>
    <w:rsid w:val="00B2713A"/>
    <w:rsid w:val="00B27C5F"/>
    <w:rsid w:val="00B30D85"/>
    <w:rsid w:val="00B31F5D"/>
    <w:rsid w:val="00B32CDD"/>
    <w:rsid w:val="00B33034"/>
    <w:rsid w:val="00B33BD3"/>
    <w:rsid w:val="00B34C82"/>
    <w:rsid w:val="00B34FEA"/>
    <w:rsid w:val="00B353D5"/>
    <w:rsid w:val="00B401C4"/>
    <w:rsid w:val="00B401E8"/>
    <w:rsid w:val="00B402A9"/>
    <w:rsid w:val="00B40E60"/>
    <w:rsid w:val="00B41184"/>
    <w:rsid w:val="00B4234F"/>
    <w:rsid w:val="00B423FA"/>
    <w:rsid w:val="00B4289E"/>
    <w:rsid w:val="00B434A7"/>
    <w:rsid w:val="00B437A0"/>
    <w:rsid w:val="00B44434"/>
    <w:rsid w:val="00B452D0"/>
    <w:rsid w:val="00B46FB3"/>
    <w:rsid w:val="00B50744"/>
    <w:rsid w:val="00B51355"/>
    <w:rsid w:val="00B5191F"/>
    <w:rsid w:val="00B51D74"/>
    <w:rsid w:val="00B54ADE"/>
    <w:rsid w:val="00B55C34"/>
    <w:rsid w:val="00B57F03"/>
    <w:rsid w:val="00B57F04"/>
    <w:rsid w:val="00B63244"/>
    <w:rsid w:val="00B636AC"/>
    <w:rsid w:val="00B65A95"/>
    <w:rsid w:val="00B66062"/>
    <w:rsid w:val="00B66D42"/>
    <w:rsid w:val="00B66E41"/>
    <w:rsid w:val="00B712A6"/>
    <w:rsid w:val="00B721FD"/>
    <w:rsid w:val="00B7294E"/>
    <w:rsid w:val="00B72BAF"/>
    <w:rsid w:val="00B73AB7"/>
    <w:rsid w:val="00B74AEE"/>
    <w:rsid w:val="00B75235"/>
    <w:rsid w:val="00B75348"/>
    <w:rsid w:val="00B762DB"/>
    <w:rsid w:val="00B76FD5"/>
    <w:rsid w:val="00B81725"/>
    <w:rsid w:val="00B82DAE"/>
    <w:rsid w:val="00B83520"/>
    <w:rsid w:val="00B8697F"/>
    <w:rsid w:val="00B86BC8"/>
    <w:rsid w:val="00B941A6"/>
    <w:rsid w:val="00B95A1E"/>
    <w:rsid w:val="00B97AC6"/>
    <w:rsid w:val="00BA4166"/>
    <w:rsid w:val="00BA6AF0"/>
    <w:rsid w:val="00BA74C6"/>
    <w:rsid w:val="00BB1479"/>
    <w:rsid w:val="00BB1844"/>
    <w:rsid w:val="00BB1D5E"/>
    <w:rsid w:val="00BB3DB9"/>
    <w:rsid w:val="00BB407C"/>
    <w:rsid w:val="00BB4686"/>
    <w:rsid w:val="00BB4B11"/>
    <w:rsid w:val="00BB7E3F"/>
    <w:rsid w:val="00BC1390"/>
    <w:rsid w:val="00BC1EC4"/>
    <w:rsid w:val="00BC356E"/>
    <w:rsid w:val="00BC362E"/>
    <w:rsid w:val="00BC671A"/>
    <w:rsid w:val="00BC7718"/>
    <w:rsid w:val="00BC7CB0"/>
    <w:rsid w:val="00BD404C"/>
    <w:rsid w:val="00BD4981"/>
    <w:rsid w:val="00BD5066"/>
    <w:rsid w:val="00BD7D7A"/>
    <w:rsid w:val="00BE2A8C"/>
    <w:rsid w:val="00BE328A"/>
    <w:rsid w:val="00BE3FD8"/>
    <w:rsid w:val="00BE64FC"/>
    <w:rsid w:val="00BE7999"/>
    <w:rsid w:val="00BF2325"/>
    <w:rsid w:val="00BF31CC"/>
    <w:rsid w:val="00BF379A"/>
    <w:rsid w:val="00BF5599"/>
    <w:rsid w:val="00BF7B2E"/>
    <w:rsid w:val="00C025F2"/>
    <w:rsid w:val="00C06133"/>
    <w:rsid w:val="00C06595"/>
    <w:rsid w:val="00C10324"/>
    <w:rsid w:val="00C1035C"/>
    <w:rsid w:val="00C105D7"/>
    <w:rsid w:val="00C107EE"/>
    <w:rsid w:val="00C11493"/>
    <w:rsid w:val="00C11B33"/>
    <w:rsid w:val="00C14B78"/>
    <w:rsid w:val="00C17E80"/>
    <w:rsid w:val="00C20838"/>
    <w:rsid w:val="00C23E02"/>
    <w:rsid w:val="00C24386"/>
    <w:rsid w:val="00C25776"/>
    <w:rsid w:val="00C27AE9"/>
    <w:rsid w:val="00C27E3E"/>
    <w:rsid w:val="00C3556B"/>
    <w:rsid w:val="00C3609F"/>
    <w:rsid w:val="00C36118"/>
    <w:rsid w:val="00C36337"/>
    <w:rsid w:val="00C3696F"/>
    <w:rsid w:val="00C37D9B"/>
    <w:rsid w:val="00C413E4"/>
    <w:rsid w:val="00C41917"/>
    <w:rsid w:val="00C426E9"/>
    <w:rsid w:val="00C43A67"/>
    <w:rsid w:val="00C441CE"/>
    <w:rsid w:val="00C445A9"/>
    <w:rsid w:val="00C4548B"/>
    <w:rsid w:val="00C51ABB"/>
    <w:rsid w:val="00C53BB6"/>
    <w:rsid w:val="00C57BDD"/>
    <w:rsid w:val="00C57DD5"/>
    <w:rsid w:val="00C60605"/>
    <w:rsid w:val="00C60D33"/>
    <w:rsid w:val="00C61E6E"/>
    <w:rsid w:val="00C64F93"/>
    <w:rsid w:val="00C65E47"/>
    <w:rsid w:val="00C66124"/>
    <w:rsid w:val="00C667AE"/>
    <w:rsid w:val="00C70C7A"/>
    <w:rsid w:val="00C7235A"/>
    <w:rsid w:val="00C73054"/>
    <w:rsid w:val="00C733D3"/>
    <w:rsid w:val="00C7527E"/>
    <w:rsid w:val="00C7685A"/>
    <w:rsid w:val="00C76C70"/>
    <w:rsid w:val="00C80D9D"/>
    <w:rsid w:val="00C854C5"/>
    <w:rsid w:val="00C90015"/>
    <w:rsid w:val="00C90685"/>
    <w:rsid w:val="00C90A41"/>
    <w:rsid w:val="00C93B88"/>
    <w:rsid w:val="00C94EE5"/>
    <w:rsid w:val="00CA08FD"/>
    <w:rsid w:val="00CA11E5"/>
    <w:rsid w:val="00CA172D"/>
    <w:rsid w:val="00CA335D"/>
    <w:rsid w:val="00CA58E1"/>
    <w:rsid w:val="00CA5ADB"/>
    <w:rsid w:val="00CA68E7"/>
    <w:rsid w:val="00CB0B3F"/>
    <w:rsid w:val="00CB11BC"/>
    <w:rsid w:val="00CB513A"/>
    <w:rsid w:val="00CB53F8"/>
    <w:rsid w:val="00CB6561"/>
    <w:rsid w:val="00CB6C02"/>
    <w:rsid w:val="00CC1280"/>
    <w:rsid w:val="00CC3A13"/>
    <w:rsid w:val="00CC3A49"/>
    <w:rsid w:val="00CC4D5E"/>
    <w:rsid w:val="00CC5132"/>
    <w:rsid w:val="00CC6071"/>
    <w:rsid w:val="00CD0605"/>
    <w:rsid w:val="00CD22F9"/>
    <w:rsid w:val="00CD2825"/>
    <w:rsid w:val="00CD343A"/>
    <w:rsid w:val="00CD462C"/>
    <w:rsid w:val="00CD48EE"/>
    <w:rsid w:val="00CD5687"/>
    <w:rsid w:val="00CD6EC2"/>
    <w:rsid w:val="00CD75C7"/>
    <w:rsid w:val="00CE19FA"/>
    <w:rsid w:val="00CE1B16"/>
    <w:rsid w:val="00CE1E0A"/>
    <w:rsid w:val="00CE24FB"/>
    <w:rsid w:val="00CE75AC"/>
    <w:rsid w:val="00CF0668"/>
    <w:rsid w:val="00CF1ABC"/>
    <w:rsid w:val="00CF21D8"/>
    <w:rsid w:val="00CF3AA6"/>
    <w:rsid w:val="00CF3B7F"/>
    <w:rsid w:val="00CF4FC4"/>
    <w:rsid w:val="00CF5117"/>
    <w:rsid w:val="00CF5ECB"/>
    <w:rsid w:val="00CF653E"/>
    <w:rsid w:val="00CF6F9E"/>
    <w:rsid w:val="00CF7BE0"/>
    <w:rsid w:val="00D01D7D"/>
    <w:rsid w:val="00D02BE8"/>
    <w:rsid w:val="00D04195"/>
    <w:rsid w:val="00D05CEF"/>
    <w:rsid w:val="00D07405"/>
    <w:rsid w:val="00D10303"/>
    <w:rsid w:val="00D12282"/>
    <w:rsid w:val="00D13446"/>
    <w:rsid w:val="00D13817"/>
    <w:rsid w:val="00D13A24"/>
    <w:rsid w:val="00D15A4A"/>
    <w:rsid w:val="00D201DA"/>
    <w:rsid w:val="00D215CB"/>
    <w:rsid w:val="00D22056"/>
    <w:rsid w:val="00D222A1"/>
    <w:rsid w:val="00D243A5"/>
    <w:rsid w:val="00D2526B"/>
    <w:rsid w:val="00D264BE"/>
    <w:rsid w:val="00D2726D"/>
    <w:rsid w:val="00D274DC"/>
    <w:rsid w:val="00D27F14"/>
    <w:rsid w:val="00D30BF3"/>
    <w:rsid w:val="00D31203"/>
    <w:rsid w:val="00D31B6C"/>
    <w:rsid w:val="00D33F5B"/>
    <w:rsid w:val="00D3768D"/>
    <w:rsid w:val="00D37A5C"/>
    <w:rsid w:val="00D4093A"/>
    <w:rsid w:val="00D426BF"/>
    <w:rsid w:val="00D4281E"/>
    <w:rsid w:val="00D4489A"/>
    <w:rsid w:val="00D4525A"/>
    <w:rsid w:val="00D506E9"/>
    <w:rsid w:val="00D519D1"/>
    <w:rsid w:val="00D5774E"/>
    <w:rsid w:val="00D62D47"/>
    <w:rsid w:val="00D64FD0"/>
    <w:rsid w:val="00D66013"/>
    <w:rsid w:val="00D67284"/>
    <w:rsid w:val="00D67679"/>
    <w:rsid w:val="00D67C8B"/>
    <w:rsid w:val="00D70AA6"/>
    <w:rsid w:val="00D7189B"/>
    <w:rsid w:val="00D72E41"/>
    <w:rsid w:val="00D740A7"/>
    <w:rsid w:val="00D7423C"/>
    <w:rsid w:val="00D74E38"/>
    <w:rsid w:val="00D758EC"/>
    <w:rsid w:val="00D773D8"/>
    <w:rsid w:val="00D77699"/>
    <w:rsid w:val="00D77A17"/>
    <w:rsid w:val="00D77B3F"/>
    <w:rsid w:val="00D80224"/>
    <w:rsid w:val="00D82A8B"/>
    <w:rsid w:val="00D83AF5"/>
    <w:rsid w:val="00D84F53"/>
    <w:rsid w:val="00D85D82"/>
    <w:rsid w:val="00D865BB"/>
    <w:rsid w:val="00D87CBD"/>
    <w:rsid w:val="00D9048A"/>
    <w:rsid w:val="00D92142"/>
    <w:rsid w:val="00D95D5D"/>
    <w:rsid w:val="00DA1FCB"/>
    <w:rsid w:val="00DA397E"/>
    <w:rsid w:val="00DA4E92"/>
    <w:rsid w:val="00DB5509"/>
    <w:rsid w:val="00DC1103"/>
    <w:rsid w:val="00DC46B8"/>
    <w:rsid w:val="00DC53EC"/>
    <w:rsid w:val="00DC5610"/>
    <w:rsid w:val="00DC6D9D"/>
    <w:rsid w:val="00DC7CF8"/>
    <w:rsid w:val="00DD0764"/>
    <w:rsid w:val="00DD0CD7"/>
    <w:rsid w:val="00DD3477"/>
    <w:rsid w:val="00DD3D93"/>
    <w:rsid w:val="00DD40F5"/>
    <w:rsid w:val="00DD5AAA"/>
    <w:rsid w:val="00DD6928"/>
    <w:rsid w:val="00DE0BE2"/>
    <w:rsid w:val="00DE1C66"/>
    <w:rsid w:val="00DE1CF8"/>
    <w:rsid w:val="00DE2DEA"/>
    <w:rsid w:val="00DE5B7E"/>
    <w:rsid w:val="00DE61A4"/>
    <w:rsid w:val="00DE6E2C"/>
    <w:rsid w:val="00DE74E0"/>
    <w:rsid w:val="00DF0DB5"/>
    <w:rsid w:val="00DF42DE"/>
    <w:rsid w:val="00DF47E7"/>
    <w:rsid w:val="00DF49C8"/>
    <w:rsid w:val="00DF53E5"/>
    <w:rsid w:val="00E00781"/>
    <w:rsid w:val="00E01BC1"/>
    <w:rsid w:val="00E01BE5"/>
    <w:rsid w:val="00E01BEC"/>
    <w:rsid w:val="00E026DC"/>
    <w:rsid w:val="00E02E0C"/>
    <w:rsid w:val="00E032F1"/>
    <w:rsid w:val="00E036B1"/>
    <w:rsid w:val="00E04FDA"/>
    <w:rsid w:val="00E06326"/>
    <w:rsid w:val="00E06C1A"/>
    <w:rsid w:val="00E06F24"/>
    <w:rsid w:val="00E07FD6"/>
    <w:rsid w:val="00E13B0E"/>
    <w:rsid w:val="00E15C59"/>
    <w:rsid w:val="00E16261"/>
    <w:rsid w:val="00E20312"/>
    <w:rsid w:val="00E20403"/>
    <w:rsid w:val="00E209B5"/>
    <w:rsid w:val="00E20DB7"/>
    <w:rsid w:val="00E2232F"/>
    <w:rsid w:val="00E25AB5"/>
    <w:rsid w:val="00E302BE"/>
    <w:rsid w:val="00E3075F"/>
    <w:rsid w:val="00E31F3F"/>
    <w:rsid w:val="00E321C8"/>
    <w:rsid w:val="00E32815"/>
    <w:rsid w:val="00E40203"/>
    <w:rsid w:val="00E41A31"/>
    <w:rsid w:val="00E443DE"/>
    <w:rsid w:val="00E46A38"/>
    <w:rsid w:val="00E52314"/>
    <w:rsid w:val="00E52942"/>
    <w:rsid w:val="00E52AE4"/>
    <w:rsid w:val="00E56761"/>
    <w:rsid w:val="00E638CF"/>
    <w:rsid w:val="00E64DBF"/>
    <w:rsid w:val="00E663ED"/>
    <w:rsid w:val="00E66D37"/>
    <w:rsid w:val="00E71663"/>
    <w:rsid w:val="00E72050"/>
    <w:rsid w:val="00E7366F"/>
    <w:rsid w:val="00E74A9C"/>
    <w:rsid w:val="00E74CD6"/>
    <w:rsid w:val="00E751D0"/>
    <w:rsid w:val="00E8218C"/>
    <w:rsid w:val="00E8244F"/>
    <w:rsid w:val="00E8295B"/>
    <w:rsid w:val="00E83A0B"/>
    <w:rsid w:val="00E83B6C"/>
    <w:rsid w:val="00E83C20"/>
    <w:rsid w:val="00E87BF0"/>
    <w:rsid w:val="00E902F4"/>
    <w:rsid w:val="00E919AB"/>
    <w:rsid w:val="00E91FB2"/>
    <w:rsid w:val="00E9217E"/>
    <w:rsid w:val="00E93B3E"/>
    <w:rsid w:val="00E93C4D"/>
    <w:rsid w:val="00E93F42"/>
    <w:rsid w:val="00E9604D"/>
    <w:rsid w:val="00E966AC"/>
    <w:rsid w:val="00E96B0E"/>
    <w:rsid w:val="00E96F9A"/>
    <w:rsid w:val="00E97B7D"/>
    <w:rsid w:val="00EA076E"/>
    <w:rsid w:val="00EA16B2"/>
    <w:rsid w:val="00EA3CB8"/>
    <w:rsid w:val="00EA4914"/>
    <w:rsid w:val="00EA7E87"/>
    <w:rsid w:val="00EB0871"/>
    <w:rsid w:val="00EB0B22"/>
    <w:rsid w:val="00EB1045"/>
    <w:rsid w:val="00EB18D5"/>
    <w:rsid w:val="00EB1ADC"/>
    <w:rsid w:val="00EB1DD1"/>
    <w:rsid w:val="00EB36C9"/>
    <w:rsid w:val="00EB49E6"/>
    <w:rsid w:val="00EB5684"/>
    <w:rsid w:val="00EB6A35"/>
    <w:rsid w:val="00EC30C5"/>
    <w:rsid w:val="00EC47C9"/>
    <w:rsid w:val="00EC6461"/>
    <w:rsid w:val="00EC6A69"/>
    <w:rsid w:val="00ED0367"/>
    <w:rsid w:val="00ED1E24"/>
    <w:rsid w:val="00ED2A12"/>
    <w:rsid w:val="00ED3ACC"/>
    <w:rsid w:val="00ED4CDC"/>
    <w:rsid w:val="00ED67BD"/>
    <w:rsid w:val="00EE10D5"/>
    <w:rsid w:val="00EE1CC5"/>
    <w:rsid w:val="00EE22EE"/>
    <w:rsid w:val="00EE2FF5"/>
    <w:rsid w:val="00EE337A"/>
    <w:rsid w:val="00EE6B97"/>
    <w:rsid w:val="00EE7EB4"/>
    <w:rsid w:val="00EF149F"/>
    <w:rsid w:val="00EF1D9D"/>
    <w:rsid w:val="00EF52FD"/>
    <w:rsid w:val="00EF731B"/>
    <w:rsid w:val="00EF7E88"/>
    <w:rsid w:val="00F023B2"/>
    <w:rsid w:val="00F025D4"/>
    <w:rsid w:val="00F037F8"/>
    <w:rsid w:val="00F03E93"/>
    <w:rsid w:val="00F05B2F"/>
    <w:rsid w:val="00F05F49"/>
    <w:rsid w:val="00F07397"/>
    <w:rsid w:val="00F12D43"/>
    <w:rsid w:val="00F13062"/>
    <w:rsid w:val="00F14EC6"/>
    <w:rsid w:val="00F1665D"/>
    <w:rsid w:val="00F17582"/>
    <w:rsid w:val="00F20CD4"/>
    <w:rsid w:val="00F21890"/>
    <w:rsid w:val="00F26503"/>
    <w:rsid w:val="00F26B75"/>
    <w:rsid w:val="00F278D2"/>
    <w:rsid w:val="00F31131"/>
    <w:rsid w:val="00F313D5"/>
    <w:rsid w:val="00F31E1E"/>
    <w:rsid w:val="00F348AE"/>
    <w:rsid w:val="00F34992"/>
    <w:rsid w:val="00F3543A"/>
    <w:rsid w:val="00F35761"/>
    <w:rsid w:val="00F44352"/>
    <w:rsid w:val="00F44AF7"/>
    <w:rsid w:val="00F44E60"/>
    <w:rsid w:val="00F46A1D"/>
    <w:rsid w:val="00F47873"/>
    <w:rsid w:val="00F511C1"/>
    <w:rsid w:val="00F52576"/>
    <w:rsid w:val="00F52D81"/>
    <w:rsid w:val="00F54D93"/>
    <w:rsid w:val="00F55DF0"/>
    <w:rsid w:val="00F56BC9"/>
    <w:rsid w:val="00F56C79"/>
    <w:rsid w:val="00F57C43"/>
    <w:rsid w:val="00F61401"/>
    <w:rsid w:val="00F618D9"/>
    <w:rsid w:val="00F6248E"/>
    <w:rsid w:val="00F63C2E"/>
    <w:rsid w:val="00F63C33"/>
    <w:rsid w:val="00F63F80"/>
    <w:rsid w:val="00F64178"/>
    <w:rsid w:val="00F64437"/>
    <w:rsid w:val="00F64578"/>
    <w:rsid w:val="00F64AF9"/>
    <w:rsid w:val="00F64B41"/>
    <w:rsid w:val="00F64E90"/>
    <w:rsid w:val="00F64FA6"/>
    <w:rsid w:val="00F65EEF"/>
    <w:rsid w:val="00F664EB"/>
    <w:rsid w:val="00F665F5"/>
    <w:rsid w:val="00F70136"/>
    <w:rsid w:val="00F703A6"/>
    <w:rsid w:val="00F70E7C"/>
    <w:rsid w:val="00F71348"/>
    <w:rsid w:val="00F724A8"/>
    <w:rsid w:val="00F73151"/>
    <w:rsid w:val="00F734E3"/>
    <w:rsid w:val="00F737D0"/>
    <w:rsid w:val="00F74501"/>
    <w:rsid w:val="00F74504"/>
    <w:rsid w:val="00F765FE"/>
    <w:rsid w:val="00F76F26"/>
    <w:rsid w:val="00F77442"/>
    <w:rsid w:val="00F77737"/>
    <w:rsid w:val="00F82BC4"/>
    <w:rsid w:val="00F85BC6"/>
    <w:rsid w:val="00F8666A"/>
    <w:rsid w:val="00F86E63"/>
    <w:rsid w:val="00F90A2B"/>
    <w:rsid w:val="00F93CC9"/>
    <w:rsid w:val="00F95208"/>
    <w:rsid w:val="00F964B8"/>
    <w:rsid w:val="00FA0B1C"/>
    <w:rsid w:val="00FA2730"/>
    <w:rsid w:val="00FA477A"/>
    <w:rsid w:val="00FA4E3B"/>
    <w:rsid w:val="00FA6128"/>
    <w:rsid w:val="00FA691C"/>
    <w:rsid w:val="00FA7683"/>
    <w:rsid w:val="00FB380D"/>
    <w:rsid w:val="00FB3965"/>
    <w:rsid w:val="00FC08BE"/>
    <w:rsid w:val="00FC375D"/>
    <w:rsid w:val="00FC5551"/>
    <w:rsid w:val="00FC5D48"/>
    <w:rsid w:val="00FC751A"/>
    <w:rsid w:val="00FD0A07"/>
    <w:rsid w:val="00FD0F69"/>
    <w:rsid w:val="00FD1490"/>
    <w:rsid w:val="00FD6052"/>
    <w:rsid w:val="00FD71B1"/>
    <w:rsid w:val="00FE04C4"/>
    <w:rsid w:val="00FE0938"/>
    <w:rsid w:val="00FE164F"/>
    <w:rsid w:val="00FE22B0"/>
    <w:rsid w:val="00FE2B9B"/>
    <w:rsid w:val="00FE6E59"/>
    <w:rsid w:val="00FE6E67"/>
    <w:rsid w:val="00FF1D02"/>
    <w:rsid w:val="00FF1FE4"/>
    <w:rsid w:val="00FF2A96"/>
    <w:rsid w:val="00FF306B"/>
    <w:rsid w:val="00FF4262"/>
    <w:rsid w:val="00FF64D3"/>
    <w:rsid w:val="00FF6919"/>
    <w:rsid w:val="00FF71FD"/>
    <w:rsid w:val="05CB46B0"/>
    <w:rsid w:val="097148B7"/>
    <w:rsid w:val="0FE62D8B"/>
    <w:rsid w:val="14D00370"/>
    <w:rsid w:val="19330FCD"/>
    <w:rsid w:val="19A325C0"/>
    <w:rsid w:val="1C2E4B3E"/>
    <w:rsid w:val="26EF1153"/>
    <w:rsid w:val="29FD76BC"/>
    <w:rsid w:val="33775E3E"/>
    <w:rsid w:val="37212040"/>
    <w:rsid w:val="38533FF4"/>
    <w:rsid w:val="398A53ED"/>
    <w:rsid w:val="3BC6282C"/>
    <w:rsid w:val="3F746402"/>
    <w:rsid w:val="422017C6"/>
    <w:rsid w:val="455D0CB0"/>
    <w:rsid w:val="46EE6F5B"/>
    <w:rsid w:val="48AC1409"/>
    <w:rsid w:val="4F29161D"/>
    <w:rsid w:val="54CF3298"/>
    <w:rsid w:val="54EC3F3C"/>
    <w:rsid w:val="64BC6847"/>
    <w:rsid w:val="64E10A17"/>
    <w:rsid w:val="677B1B79"/>
    <w:rsid w:val="6CAD4ECB"/>
    <w:rsid w:val="734307E1"/>
    <w:rsid w:val="74307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53"/>
    <w:qFormat/>
    <w:uiPriority w:val="0"/>
    <w:pPr>
      <w:keepNext/>
      <w:keepLines/>
      <w:spacing w:before="340" w:after="330" w:line="576" w:lineRule="auto"/>
      <w:jc w:val="center"/>
      <w:outlineLvl w:val="0"/>
    </w:pPr>
    <w:rPr>
      <w:b/>
      <w:bCs/>
      <w:kern w:val="44"/>
      <w:sz w:val="36"/>
      <w:szCs w:val="44"/>
      <w:lang w:val="zh-CN" w:eastAsia="zh-CN"/>
    </w:rPr>
  </w:style>
  <w:style w:type="paragraph" w:styleId="3">
    <w:name w:val="heading 2"/>
    <w:basedOn w:val="1"/>
    <w:next w:val="1"/>
    <w:link w:val="54"/>
    <w:qFormat/>
    <w:uiPriority w:val="0"/>
    <w:pPr>
      <w:keepNext/>
      <w:keepLines/>
      <w:spacing w:before="260" w:after="260" w:line="413" w:lineRule="auto"/>
      <w:outlineLvl w:val="1"/>
    </w:pPr>
    <w:rPr>
      <w:rFonts w:ascii="Arial" w:hAnsi="Arial" w:eastAsia="黑体"/>
      <w:b/>
      <w:bCs/>
      <w:kern w:val="0"/>
      <w:sz w:val="32"/>
      <w:szCs w:val="32"/>
      <w:lang w:val="zh-CN" w:eastAsia="zh-CN"/>
    </w:rPr>
  </w:style>
  <w:style w:type="paragraph" w:styleId="4">
    <w:name w:val="heading 3"/>
    <w:basedOn w:val="1"/>
    <w:next w:val="1"/>
    <w:link w:val="55"/>
    <w:qFormat/>
    <w:uiPriority w:val="0"/>
    <w:pPr>
      <w:keepNext/>
      <w:keepLines/>
      <w:spacing w:before="260" w:after="260" w:line="413" w:lineRule="auto"/>
      <w:outlineLvl w:val="2"/>
    </w:pPr>
    <w:rPr>
      <w:b/>
      <w:bCs/>
      <w:kern w:val="0"/>
      <w:sz w:val="32"/>
      <w:szCs w:val="32"/>
    </w:rPr>
  </w:style>
  <w:style w:type="paragraph" w:styleId="5">
    <w:name w:val="heading 4"/>
    <w:basedOn w:val="1"/>
    <w:next w:val="1"/>
    <w:link w:val="226"/>
    <w:qFormat/>
    <w:uiPriority w:val="0"/>
    <w:pPr>
      <w:keepNext/>
      <w:spacing w:line="440" w:lineRule="exact"/>
      <w:jc w:val="center"/>
      <w:outlineLvl w:val="3"/>
    </w:pPr>
    <w:rPr>
      <w:rFonts w:ascii="仿宋_GB2312" w:eastAsia="仿宋_GB2312"/>
      <w:kern w:val="0"/>
      <w:szCs w:val="24"/>
    </w:rPr>
  </w:style>
  <w:style w:type="paragraph" w:styleId="6">
    <w:name w:val="heading 5"/>
    <w:basedOn w:val="1"/>
    <w:next w:val="1"/>
    <w:link w:val="57"/>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7">
    <w:name w:val="heading 6"/>
    <w:basedOn w:val="1"/>
    <w:next w:val="1"/>
    <w:link w:val="58"/>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8">
    <w:name w:val="heading 7"/>
    <w:basedOn w:val="1"/>
    <w:next w:val="1"/>
    <w:link w:val="59"/>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9">
    <w:name w:val="heading 8"/>
    <w:basedOn w:val="1"/>
    <w:next w:val="1"/>
    <w:link w:val="60"/>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0">
    <w:name w:val="heading 9"/>
    <w:basedOn w:val="1"/>
    <w:next w:val="1"/>
    <w:link w:val="61"/>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2"/>
    <w:next w:val="1"/>
    <w:qFormat/>
    <w:uiPriority w:val="39"/>
    <w:pPr>
      <w:suppressLineNumbers w:val="0"/>
      <w:ind w:left="1260"/>
      <w:jc w:val="left"/>
    </w:pPr>
    <w:rPr>
      <w:rFonts w:ascii="Times New Roman" w:hAnsi="Times New Roman"/>
      <w:sz w:val="18"/>
    </w:rPr>
  </w:style>
  <w:style w:type="paragraph" w:customStyle="1" w:styleId="12">
    <w:name w:val="目录"/>
    <w:basedOn w:val="1"/>
    <w:qFormat/>
    <w:uiPriority w:val="0"/>
    <w:pPr>
      <w:suppressLineNumbers/>
      <w:suppressAutoHyphens/>
    </w:pPr>
    <w:rPr>
      <w:rFonts w:ascii="宋体" w:hAnsi="宋体"/>
      <w:kern w:val="21"/>
      <w:lang w:eastAsia="ar-SA"/>
    </w:rPr>
  </w:style>
  <w:style w:type="paragraph" w:styleId="13">
    <w:name w:val="Normal Indent"/>
    <w:basedOn w:val="1"/>
    <w:qFormat/>
    <w:uiPriority w:val="0"/>
    <w:pPr>
      <w:ind w:firstLine="420"/>
    </w:pPr>
  </w:style>
  <w:style w:type="paragraph" w:styleId="14">
    <w:name w:val="Document Map"/>
    <w:basedOn w:val="1"/>
    <w:link w:val="204"/>
    <w:qFormat/>
    <w:uiPriority w:val="0"/>
    <w:pPr>
      <w:shd w:val="clear" w:color="auto" w:fill="000080"/>
      <w:suppressAutoHyphens/>
    </w:pPr>
    <w:rPr>
      <w:rFonts w:ascii="宋体" w:hAnsi="宋体"/>
      <w:kern w:val="21"/>
      <w:lang w:eastAsia="ar-SA"/>
    </w:rPr>
  </w:style>
  <w:style w:type="paragraph" w:styleId="15">
    <w:name w:val="toa heading"/>
    <w:basedOn w:val="1"/>
    <w:next w:val="1"/>
    <w:unhideWhenUsed/>
    <w:qFormat/>
    <w:uiPriority w:val="99"/>
    <w:pPr>
      <w:widowControl/>
      <w:tabs>
        <w:tab w:val="left" w:pos="9000"/>
        <w:tab w:val="right" w:pos="9360"/>
      </w:tabs>
      <w:suppressAutoHyphens/>
      <w:jc w:val="left"/>
    </w:pPr>
    <w:rPr>
      <w:rFonts w:ascii="Courier" w:hAnsi="Courier"/>
      <w:kern w:val="0"/>
      <w:sz w:val="20"/>
      <w:lang w:eastAsia="en-US"/>
    </w:rPr>
  </w:style>
  <w:style w:type="paragraph" w:styleId="16">
    <w:name w:val="annotation text"/>
    <w:basedOn w:val="1"/>
    <w:link w:val="191"/>
    <w:qFormat/>
    <w:uiPriority w:val="0"/>
    <w:pPr>
      <w:jc w:val="left"/>
    </w:pPr>
  </w:style>
  <w:style w:type="paragraph" w:styleId="17">
    <w:name w:val="Body Text 3"/>
    <w:basedOn w:val="1"/>
    <w:link w:val="123"/>
    <w:qFormat/>
    <w:uiPriority w:val="0"/>
    <w:rPr>
      <w:rFonts w:ascii="黑体" w:hAnsi="Arial" w:eastAsia="黑体"/>
      <w:b/>
      <w:kern w:val="0"/>
    </w:rPr>
  </w:style>
  <w:style w:type="paragraph" w:styleId="18">
    <w:name w:val="Body Text"/>
    <w:basedOn w:val="1"/>
    <w:link w:val="81"/>
    <w:qFormat/>
    <w:uiPriority w:val="0"/>
    <w:pPr>
      <w:spacing w:after="120"/>
    </w:pPr>
    <w:rPr>
      <w:kern w:val="0"/>
      <w:sz w:val="20"/>
      <w:szCs w:val="24"/>
    </w:rPr>
  </w:style>
  <w:style w:type="paragraph" w:styleId="19">
    <w:name w:val="Body Text Indent"/>
    <w:basedOn w:val="1"/>
    <w:link w:val="114"/>
    <w:qFormat/>
    <w:uiPriority w:val="0"/>
    <w:pPr>
      <w:ind w:firstLine="830" w:firstLineChars="352"/>
    </w:pPr>
    <w:rPr>
      <w:rFonts w:ascii="仿宋_GB2312" w:eastAsia="仿宋_GB2312"/>
      <w:kern w:val="0"/>
      <w:sz w:val="32"/>
    </w:rPr>
  </w:style>
  <w:style w:type="paragraph" w:styleId="20">
    <w:name w:val="Block Text"/>
    <w:basedOn w:val="1"/>
    <w:qFormat/>
    <w:uiPriority w:val="0"/>
    <w:pPr>
      <w:autoSpaceDE w:val="0"/>
      <w:autoSpaceDN w:val="0"/>
      <w:adjustRightInd w:val="0"/>
      <w:spacing w:line="500" w:lineRule="exact"/>
      <w:ind w:left="391" w:right="246"/>
    </w:pPr>
    <w:rPr>
      <w:rFonts w:ascii="仿宋_GB2312" w:eastAsia="仿宋_GB2312"/>
      <w:kern w:val="0"/>
      <w:sz w:val="24"/>
      <w:szCs w:val="24"/>
    </w:rPr>
  </w:style>
  <w:style w:type="paragraph" w:styleId="21">
    <w:name w:val="toc 5"/>
    <w:basedOn w:val="12"/>
    <w:next w:val="1"/>
    <w:qFormat/>
    <w:uiPriority w:val="39"/>
    <w:pPr>
      <w:suppressLineNumbers w:val="0"/>
      <w:ind w:left="840"/>
      <w:jc w:val="left"/>
    </w:pPr>
    <w:rPr>
      <w:rFonts w:ascii="Times New Roman" w:hAnsi="Times New Roman"/>
      <w:sz w:val="18"/>
    </w:rPr>
  </w:style>
  <w:style w:type="paragraph" w:styleId="22">
    <w:name w:val="toc 3"/>
    <w:basedOn w:val="1"/>
    <w:next w:val="1"/>
    <w:qFormat/>
    <w:uiPriority w:val="39"/>
    <w:pPr>
      <w:ind w:left="840" w:leftChars="400"/>
    </w:pPr>
  </w:style>
  <w:style w:type="paragraph" w:styleId="23">
    <w:name w:val="Plain Text"/>
    <w:basedOn w:val="1"/>
    <w:link w:val="64"/>
    <w:qFormat/>
    <w:uiPriority w:val="0"/>
    <w:rPr>
      <w:rFonts w:ascii="宋体" w:hAnsi="Courier New" w:cs="Courier New"/>
      <w:kern w:val="0"/>
      <w:sz w:val="20"/>
      <w:szCs w:val="21"/>
    </w:rPr>
  </w:style>
  <w:style w:type="paragraph" w:styleId="24">
    <w:name w:val="toc 8"/>
    <w:basedOn w:val="12"/>
    <w:next w:val="1"/>
    <w:qFormat/>
    <w:uiPriority w:val="39"/>
    <w:pPr>
      <w:suppressLineNumbers w:val="0"/>
      <w:ind w:left="1470"/>
      <w:jc w:val="left"/>
    </w:pPr>
    <w:rPr>
      <w:rFonts w:ascii="Times New Roman" w:hAnsi="Times New Roman"/>
      <w:sz w:val="18"/>
    </w:rPr>
  </w:style>
  <w:style w:type="paragraph" w:styleId="25">
    <w:name w:val="Date"/>
    <w:basedOn w:val="1"/>
    <w:next w:val="1"/>
    <w:link w:val="116"/>
    <w:qFormat/>
    <w:uiPriority w:val="0"/>
    <w:pPr>
      <w:ind w:left="100" w:leftChars="2500"/>
    </w:pPr>
    <w:rPr>
      <w:rFonts w:ascii="宋体" w:hAnsi="Courier New" w:cs="Courier New"/>
      <w:kern w:val="0"/>
      <w:sz w:val="20"/>
      <w:szCs w:val="21"/>
    </w:rPr>
  </w:style>
  <w:style w:type="paragraph" w:styleId="26">
    <w:name w:val="Body Text Indent 2"/>
    <w:basedOn w:val="1"/>
    <w:link w:val="109"/>
    <w:qFormat/>
    <w:uiPriority w:val="0"/>
    <w:pPr>
      <w:spacing w:after="120" w:line="480" w:lineRule="auto"/>
      <w:ind w:left="420" w:leftChars="200"/>
    </w:pPr>
    <w:rPr>
      <w:kern w:val="0"/>
      <w:sz w:val="20"/>
      <w:szCs w:val="24"/>
    </w:rPr>
  </w:style>
  <w:style w:type="paragraph" w:styleId="27">
    <w:name w:val="Balloon Text"/>
    <w:basedOn w:val="1"/>
    <w:link w:val="105"/>
    <w:qFormat/>
    <w:uiPriority w:val="0"/>
    <w:rPr>
      <w:kern w:val="0"/>
      <w:sz w:val="18"/>
      <w:szCs w:val="18"/>
    </w:rPr>
  </w:style>
  <w:style w:type="paragraph" w:styleId="28">
    <w:name w:val="footer"/>
    <w:basedOn w:val="1"/>
    <w:link w:val="128"/>
    <w:qFormat/>
    <w:uiPriority w:val="0"/>
    <w:pPr>
      <w:tabs>
        <w:tab w:val="center" w:pos="4153"/>
        <w:tab w:val="right" w:pos="8306"/>
      </w:tabs>
      <w:snapToGrid w:val="0"/>
      <w:jc w:val="left"/>
    </w:pPr>
    <w:rPr>
      <w:kern w:val="0"/>
      <w:sz w:val="18"/>
      <w:szCs w:val="18"/>
    </w:rPr>
  </w:style>
  <w:style w:type="paragraph" w:styleId="29">
    <w:name w:val="header"/>
    <w:basedOn w:val="1"/>
    <w:link w:val="70"/>
    <w:qFormat/>
    <w:uiPriority w:val="0"/>
    <w:pPr>
      <w:pBdr>
        <w:bottom w:val="single" w:color="auto" w:sz="6" w:space="1"/>
      </w:pBdr>
      <w:tabs>
        <w:tab w:val="center" w:pos="4153"/>
        <w:tab w:val="right" w:pos="8306"/>
      </w:tabs>
      <w:snapToGrid w:val="0"/>
      <w:jc w:val="center"/>
    </w:pPr>
    <w:rPr>
      <w:kern w:val="0"/>
      <w:sz w:val="18"/>
      <w:szCs w:val="18"/>
    </w:rPr>
  </w:style>
  <w:style w:type="paragraph" w:styleId="30">
    <w:name w:val="toc 1"/>
    <w:basedOn w:val="1"/>
    <w:next w:val="1"/>
    <w:qFormat/>
    <w:uiPriority w:val="39"/>
    <w:pPr>
      <w:spacing w:before="120" w:after="120"/>
      <w:jc w:val="left"/>
    </w:pPr>
    <w:rPr>
      <w:b/>
      <w:bCs/>
      <w:caps/>
    </w:rPr>
  </w:style>
  <w:style w:type="paragraph" w:styleId="31">
    <w:name w:val="toc 4"/>
    <w:basedOn w:val="1"/>
    <w:next w:val="1"/>
    <w:qFormat/>
    <w:uiPriority w:val="39"/>
    <w:pPr>
      <w:ind w:left="1260" w:leftChars="600"/>
    </w:pPr>
    <w:rPr>
      <w:szCs w:val="24"/>
    </w:rPr>
  </w:style>
  <w:style w:type="paragraph" w:styleId="32">
    <w:name w:val="Subtitle"/>
    <w:basedOn w:val="1"/>
    <w:next w:val="1"/>
    <w:link w:val="63"/>
    <w:qFormat/>
    <w:uiPriority w:val="0"/>
    <w:pPr>
      <w:spacing w:before="240" w:after="60" w:line="312" w:lineRule="auto"/>
      <w:jc w:val="center"/>
      <w:outlineLvl w:val="1"/>
    </w:pPr>
    <w:rPr>
      <w:rFonts w:ascii="Cambria" w:hAnsi="Cambria" w:eastAsia="方正楷体简体"/>
      <w:bCs/>
      <w:kern w:val="28"/>
      <w:sz w:val="20"/>
      <w:szCs w:val="32"/>
    </w:rPr>
  </w:style>
  <w:style w:type="paragraph" w:styleId="33">
    <w:name w:val="List"/>
    <w:basedOn w:val="18"/>
    <w:qFormat/>
    <w:uiPriority w:val="0"/>
    <w:pPr>
      <w:suppressAutoHyphens/>
    </w:pPr>
    <w:rPr>
      <w:rFonts w:hint="eastAsia" w:ascii="方正大黑简体" w:hAnsi="宋体"/>
      <w:kern w:val="44"/>
      <w:position w:val="6"/>
      <w:sz w:val="30"/>
      <w:szCs w:val="20"/>
    </w:rPr>
  </w:style>
  <w:style w:type="paragraph" w:styleId="34">
    <w:name w:val="toc 6"/>
    <w:basedOn w:val="12"/>
    <w:next w:val="1"/>
    <w:qFormat/>
    <w:uiPriority w:val="39"/>
    <w:pPr>
      <w:suppressLineNumbers w:val="0"/>
      <w:ind w:left="1050"/>
      <w:jc w:val="left"/>
    </w:pPr>
    <w:rPr>
      <w:rFonts w:ascii="Times New Roman" w:hAnsi="Times New Roman"/>
      <w:sz w:val="18"/>
    </w:rPr>
  </w:style>
  <w:style w:type="paragraph" w:styleId="35">
    <w:name w:val="Body Text Indent 3"/>
    <w:basedOn w:val="1"/>
    <w:link w:val="92"/>
    <w:qFormat/>
    <w:uiPriority w:val="0"/>
    <w:pPr>
      <w:spacing w:after="120"/>
      <w:ind w:left="420" w:leftChars="200"/>
    </w:pPr>
    <w:rPr>
      <w:kern w:val="0"/>
      <w:sz w:val="16"/>
      <w:szCs w:val="16"/>
    </w:rPr>
  </w:style>
  <w:style w:type="paragraph" w:styleId="36">
    <w:name w:val="toc 2"/>
    <w:basedOn w:val="1"/>
    <w:next w:val="1"/>
    <w:qFormat/>
    <w:uiPriority w:val="39"/>
    <w:pPr>
      <w:ind w:left="420" w:leftChars="200"/>
    </w:pPr>
    <w:rPr>
      <w:sz w:val="24"/>
    </w:rPr>
  </w:style>
  <w:style w:type="paragraph" w:styleId="37">
    <w:name w:val="toc 9"/>
    <w:basedOn w:val="12"/>
    <w:next w:val="1"/>
    <w:qFormat/>
    <w:uiPriority w:val="39"/>
    <w:pPr>
      <w:suppressLineNumbers w:val="0"/>
      <w:ind w:left="1680"/>
      <w:jc w:val="left"/>
    </w:pPr>
    <w:rPr>
      <w:rFonts w:ascii="Times New Roman" w:hAnsi="Times New Roman"/>
      <w:sz w:val="18"/>
    </w:rPr>
  </w:style>
  <w:style w:type="paragraph" w:styleId="38">
    <w:name w:val="HTML Preformatted"/>
    <w:basedOn w:val="1"/>
    <w:link w:val="19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9">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40">
    <w:name w:val="Title"/>
    <w:basedOn w:val="1"/>
    <w:next w:val="1"/>
    <w:link w:val="62"/>
    <w:qFormat/>
    <w:uiPriority w:val="99"/>
    <w:pPr>
      <w:spacing w:before="240" w:after="60"/>
      <w:jc w:val="center"/>
      <w:outlineLvl w:val="0"/>
    </w:pPr>
    <w:rPr>
      <w:rFonts w:ascii="Cambria" w:hAnsi="Cambria" w:eastAsia="方正小标宋简体"/>
      <w:b/>
      <w:bCs/>
      <w:kern w:val="0"/>
      <w:sz w:val="44"/>
      <w:szCs w:val="32"/>
    </w:rPr>
  </w:style>
  <w:style w:type="paragraph" w:styleId="41">
    <w:name w:val="annotation subject"/>
    <w:basedOn w:val="16"/>
    <w:next w:val="16"/>
    <w:link w:val="192"/>
    <w:qFormat/>
    <w:uiPriority w:val="0"/>
    <w:pPr>
      <w:suppressAutoHyphens/>
    </w:pPr>
    <w:rPr>
      <w:rFonts w:ascii="宋体" w:hAnsi="宋体"/>
      <w:b/>
      <w:kern w:val="21"/>
      <w:lang w:eastAsia="ar-SA"/>
    </w:rPr>
  </w:style>
  <w:style w:type="paragraph" w:styleId="42">
    <w:name w:val="Body Text First Indent"/>
    <w:basedOn w:val="18"/>
    <w:link w:val="213"/>
    <w:qFormat/>
    <w:uiPriority w:val="0"/>
    <w:pPr>
      <w:ind w:firstLine="420" w:firstLineChars="100"/>
    </w:pPr>
    <w:rPr>
      <w:kern w:val="2"/>
      <w:sz w:val="28"/>
    </w:rPr>
  </w:style>
  <w:style w:type="table" w:styleId="44">
    <w:name w:val="Table Grid"/>
    <w:basedOn w:val="4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6">
    <w:name w:val="Strong"/>
    <w:qFormat/>
    <w:uiPriority w:val="99"/>
    <w:rPr>
      <w:b/>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Emphasis"/>
    <w:qFormat/>
    <w:uiPriority w:val="0"/>
    <w:rPr>
      <w:rFonts w:hint="default" w:ascii="Times New Roman" w:hAnsi="Times New Roman" w:cs="Times New Roman"/>
    </w:rPr>
  </w:style>
  <w:style w:type="character" w:styleId="50">
    <w:name w:val="Hyperlink"/>
    <w:basedOn w:val="45"/>
    <w:qFormat/>
    <w:uiPriority w:val="99"/>
    <w:rPr>
      <w:color w:val="0000FF"/>
      <w:u w:val="single"/>
    </w:rPr>
  </w:style>
  <w:style w:type="character" w:styleId="51">
    <w:name w:val="annotation reference"/>
    <w:qFormat/>
    <w:uiPriority w:val="0"/>
    <w:rPr>
      <w:sz w:val="21"/>
    </w:rPr>
  </w:style>
  <w:style w:type="paragraph" w:customStyle="1" w:styleId="52">
    <w:name w:val="列出段落1"/>
    <w:basedOn w:val="1"/>
    <w:qFormat/>
    <w:uiPriority w:val="34"/>
    <w:pPr>
      <w:ind w:firstLine="420" w:firstLineChars="200"/>
    </w:pPr>
    <w:rPr>
      <w:rFonts w:ascii="Calibri" w:hAnsi="Calibri"/>
      <w:szCs w:val="22"/>
    </w:rPr>
  </w:style>
  <w:style w:type="character" w:customStyle="1" w:styleId="53">
    <w:name w:val="标题 1 Char"/>
    <w:link w:val="2"/>
    <w:qFormat/>
    <w:uiPriority w:val="0"/>
    <w:rPr>
      <w:rFonts w:ascii="Times New Roman" w:hAnsi="Times New Roman"/>
      <w:b/>
      <w:bCs/>
      <w:kern w:val="44"/>
      <w:sz w:val="36"/>
      <w:szCs w:val="44"/>
      <w:lang w:val="zh-CN" w:eastAsia="zh-CN"/>
    </w:rPr>
  </w:style>
  <w:style w:type="character" w:customStyle="1" w:styleId="54">
    <w:name w:val="标题 2 Char"/>
    <w:link w:val="3"/>
    <w:qFormat/>
    <w:uiPriority w:val="0"/>
    <w:rPr>
      <w:rFonts w:ascii="Arial" w:hAnsi="Arial" w:eastAsia="黑体"/>
      <w:b/>
      <w:bCs/>
      <w:sz w:val="32"/>
      <w:szCs w:val="32"/>
      <w:lang w:val="zh-CN" w:eastAsia="zh-CN"/>
    </w:rPr>
  </w:style>
  <w:style w:type="character" w:customStyle="1" w:styleId="55">
    <w:name w:val="标题 3 Char"/>
    <w:link w:val="4"/>
    <w:qFormat/>
    <w:uiPriority w:val="0"/>
    <w:rPr>
      <w:rFonts w:ascii="Times New Roman" w:hAnsi="Times New Roman"/>
      <w:b/>
      <w:bCs/>
      <w:sz w:val="32"/>
      <w:szCs w:val="32"/>
    </w:rPr>
  </w:style>
  <w:style w:type="character" w:customStyle="1" w:styleId="56">
    <w:name w:val="标题 4 Char"/>
    <w:link w:val="5"/>
    <w:qFormat/>
    <w:uiPriority w:val="0"/>
    <w:rPr>
      <w:rFonts w:ascii="仿宋_GB2312" w:hAnsi="Times New Roman" w:eastAsia="仿宋_GB2312"/>
      <w:sz w:val="28"/>
      <w:szCs w:val="24"/>
    </w:rPr>
  </w:style>
  <w:style w:type="character" w:customStyle="1" w:styleId="57">
    <w:name w:val="标题 5 Char"/>
    <w:link w:val="6"/>
    <w:qFormat/>
    <w:uiPriority w:val="0"/>
    <w:rPr>
      <w:rFonts w:ascii="宋体" w:hAnsi="宋体"/>
      <w:b/>
      <w:kern w:val="21"/>
      <w:sz w:val="28"/>
      <w:lang w:eastAsia="ar-SA"/>
    </w:rPr>
  </w:style>
  <w:style w:type="character" w:customStyle="1" w:styleId="58">
    <w:name w:val="标题 6 Char"/>
    <w:link w:val="7"/>
    <w:qFormat/>
    <w:uiPriority w:val="0"/>
    <w:rPr>
      <w:rFonts w:ascii="Arial" w:hAnsi="Arial" w:eastAsia="黑体"/>
      <w:b/>
      <w:kern w:val="21"/>
      <w:sz w:val="24"/>
      <w:lang w:eastAsia="ar-SA"/>
    </w:rPr>
  </w:style>
  <w:style w:type="character" w:customStyle="1" w:styleId="59">
    <w:name w:val="标题 7 Char"/>
    <w:link w:val="8"/>
    <w:qFormat/>
    <w:uiPriority w:val="0"/>
    <w:rPr>
      <w:rFonts w:ascii="宋体" w:hAnsi="宋体"/>
      <w:b/>
      <w:kern w:val="21"/>
      <w:sz w:val="24"/>
      <w:lang w:eastAsia="ar-SA"/>
    </w:rPr>
  </w:style>
  <w:style w:type="character" w:customStyle="1" w:styleId="60">
    <w:name w:val="标题 8 Char"/>
    <w:link w:val="9"/>
    <w:qFormat/>
    <w:uiPriority w:val="0"/>
    <w:rPr>
      <w:rFonts w:ascii="Arial" w:hAnsi="Arial" w:eastAsia="黑体"/>
      <w:kern w:val="21"/>
      <w:sz w:val="24"/>
      <w:lang w:eastAsia="ar-SA"/>
    </w:rPr>
  </w:style>
  <w:style w:type="character" w:customStyle="1" w:styleId="61">
    <w:name w:val="标题 9 Char"/>
    <w:link w:val="10"/>
    <w:qFormat/>
    <w:uiPriority w:val="0"/>
    <w:rPr>
      <w:rFonts w:ascii="Arial" w:hAnsi="Arial" w:eastAsia="黑体"/>
      <w:kern w:val="21"/>
      <w:sz w:val="21"/>
      <w:lang w:eastAsia="ar-SA"/>
    </w:rPr>
  </w:style>
  <w:style w:type="character" w:customStyle="1" w:styleId="62">
    <w:name w:val="标题 Char"/>
    <w:link w:val="40"/>
    <w:qFormat/>
    <w:uiPriority w:val="99"/>
    <w:rPr>
      <w:rFonts w:ascii="Cambria" w:hAnsi="Cambria" w:eastAsia="方正小标宋简体"/>
      <w:b/>
      <w:bCs/>
      <w:sz w:val="44"/>
      <w:szCs w:val="32"/>
    </w:rPr>
  </w:style>
  <w:style w:type="character" w:customStyle="1" w:styleId="63">
    <w:name w:val="副标题 Char"/>
    <w:link w:val="32"/>
    <w:qFormat/>
    <w:uiPriority w:val="0"/>
    <w:rPr>
      <w:rFonts w:ascii="Cambria" w:hAnsi="Cambria" w:eastAsia="方正楷体简体"/>
      <w:bCs/>
      <w:kern w:val="28"/>
      <w:szCs w:val="32"/>
    </w:rPr>
  </w:style>
  <w:style w:type="character" w:customStyle="1" w:styleId="64">
    <w:name w:val="纯文本 Char"/>
    <w:link w:val="23"/>
    <w:qFormat/>
    <w:uiPriority w:val="0"/>
    <w:rPr>
      <w:rFonts w:ascii="宋体" w:hAnsi="Courier New" w:cs="Courier New"/>
      <w:szCs w:val="21"/>
    </w:rPr>
  </w:style>
  <w:style w:type="paragraph" w:styleId="65">
    <w:name w:val="No Spacing"/>
    <w:link w:val="66"/>
    <w:qFormat/>
    <w:uiPriority w:val="0"/>
    <w:rPr>
      <w:rFonts w:ascii="Calibri" w:hAnsi="Calibri" w:eastAsia="宋体" w:cs="Times New Roman"/>
      <w:sz w:val="22"/>
      <w:lang w:val="en-US" w:eastAsia="zh-CN" w:bidi="ar-SA"/>
    </w:rPr>
  </w:style>
  <w:style w:type="character" w:customStyle="1" w:styleId="66">
    <w:name w:val="无间隔 Char"/>
    <w:link w:val="65"/>
    <w:qFormat/>
    <w:uiPriority w:val="0"/>
    <w:rPr>
      <w:sz w:val="22"/>
    </w:rPr>
  </w:style>
  <w:style w:type="paragraph" w:styleId="67">
    <w:name w:val="List Paragraph"/>
    <w:basedOn w:val="1"/>
    <w:qFormat/>
    <w:uiPriority w:val="34"/>
    <w:pPr>
      <w:ind w:firstLine="420" w:firstLineChars="200"/>
    </w:pPr>
    <w:rPr>
      <w:szCs w:val="21"/>
    </w:rPr>
  </w:style>
  <w:style w:type="paragraph" w:customStyle="1" w:styleId="68">
    <w:name w:val="TOC Heading"/>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69">
    <w:name w:val="fontheight2"/>
    <w:qFormat/>
    <w:uiPriority w:val="0"/>
    <w:rPr>
      <w:sz w:val="20"/>
      <w:szCs w:val="20"/>
      <w:u w:val="none"/>
    </w:rPr>
  </w:style>
  <w:style w:type="character" w:customStyle="1" w:styleId="70">
    <w:name w:val="页眉 Char"/>
    <w:link w:val="29"/>
    <w:qFormat/>
    <w:uiPriority w:val="0"/>
    <w:rPr>
      <w:rFonts w:ascii="Times New Roman" w:hAnsi="Times New Roman"/>
      <w:sz w:val="18"/>
      <w:szCs w:val="18"/>
    </w:rPr>
  </w:style>
  <w:style w:type="character" w:customStyle="1" w:styleId="71">
    <w:name w:val="WW8Num1z3"/>
    <w:qFormat/>
    <w:uiPriority w:val="0"/>
    <w:rPr>
      <w:rFonts w:ascii="Arial" w:hAnsi="Arial"/>
      <w:color w:val="auto"/>
      <w:position w:val="0"/>
      <w:sz w:val="21"/>
      <w:vertAlign w:val="baseline"/>
    </w:rPr>
  </w:style>
  <w:style w:type="character" w:customStyle="1" w:styleId="72">
    <w:name w:val="WW8Num1z2"/>
    <w:qFormat/>
    <w:uiPriority w:val="0"/>
    <w:rPr>
      <w:b/>
      <w:sz w:val="28"/>
    </w:rPr>
  </w:style>
  <w:style w:type="character" w:customStyle="1" w:styleId="73">
    <w:name w:val="H3 Char"/>
    <w:qFormat/>
    <w:uiPriority w:val="0"/>
    <w:rPr>
      <w:rFonts w:eastAsia="宋体"/>
      <w:b/>
      <w:bCs/>
      <w:sz w:val="32"/>
      <w:szCs w:val="32"/>
      <w:lang w:val="en-US" w:eastAsia="zh-CN" w:bidi="ar-SA"/>
    </w:rPr>
  </w:style>
  <w:style w:type="character" w:customStyle="1" w:styleId="74">
    <w:name w:val="text91"/>
    <w:qFormat/>
    <w:uiPriority w:val="0"/>
    <w:rPr>
      <w:sz w:val="18"/>
      <w:u w:val="none"/>
    </w:rPr>
  </w:style>
  <w:style w:type="character" w:customStyle="1" w:styleId="75">
    <w:name w:val="ca-6"/>
    <w:basedOn w:val="45"/>
    <w:qFormat/>
    <w:uiPriority w:val="0"/>
  </w:style>
  <w:style w:type="character" w:customStyle="1" w:styleId="76">
    <w:name w:val="Char Char10"/>
    <w:qFormat/>
    <w:uiPriority w:val="0"/>
    <w:rPr>
      <w:rFonts w:hint="eastAsia" w:ascii="宋体" w:hAnsi="Courier New" w:eastAsia="宋体" w:cs="Times New Roman"/>
      <w:sz w:val="18"/>
      <w:szCs w:val="20"/>
    </w:rPr>
  </w:style>
  <w:style w:type="character" w:customStyle="1" w:styleId="77">
    <w:name w:val="faq"/>
    <w:basedOn w:val="45"/>
    <w:qFormat/>
    <w:uiPriority w:val="0"/>
  </w:style>
  <w:style w:type="character" w:customStyle="1" w:styleId="78">
    <w:name w:val="WW8Num15z6"/>
    <w:qFormat/>
    <w:uiPriority w:val="0"/>
    <w:rPr>
      <w:rFonts w:ascii="Times New Roman" w:hAnsi="Times New Roman"/>
    </w:rPr>
  </w:style>
  <w:style w:type="character" w:customStyle="1" w:styleId="79">
    <w:name w:val="Char Char"/>
    <w:qFormat/>
    <w:uiPriority w:val="0"/>
    <w:rPr>
      <w:rFonts w:ascii="Times New Roman" w:hAnsi="Times New Roman"/>
      <w:sz w:val="21"/>
      <w:szCs w:val="24"/>
    </w:rPr>
  </w:style>
  <w:style w:type="character" w:customStyle="1" w:styleId="80">
    <w:name w:val="WW8Num1z0"/>
    <w:qFormat/>
    <w:uiPriority w:val="0"/>
    <w:rPr>
      <w:rFonts w:ascii="Arial" w:hAnsi="Arial"/>
      <w:b/>
      <w:color w:val="000000"/>
      <w:position w:val="0"/>
      <w:sz w:val="36"/>
      <w:vertAlign w:val="baseline"/>
    </w:rPr>
  </w:style>
  <w:style w:type="character" w:customStyle="1" w:styleId="81">
    <w:name w:val="正文文本 Char"/>
    <w:link w:val="18"/>
    <w:qFormat/>
    <w:uiPriority w:val="0"/>
    <w:rPr>
      <w:rFonts w:ascii="Times New Roman" w:hAnsi="Times New Roman"/>
      <w:szCs w:val="24"/>
    </w:rPr>
  </w:style>
  <w:style w:type="character" w:customStyle="1" w:styleId="82">
    <w:name w:val="首行缩进:  0.85 厘米 Char Char"/>
    <w:link w:val="83"/>
    <w:qFormat/>
    <w:uiPriority w:val="0"/>
    <w:rPr>
      <w:rFonts w:eastAsia="昆仑黑体" w:cs="Arial Unicode MS"/>
      <w:sz w:val="28"/>
      <w:lang w:eastAsia="en-US" w:bidi="en-US"/>
    </w:rPr>
  </w:style>
  <w:style w:type="paragraph" w:customStyle="1" w:styleId="83">
    <w:name w:val="首行缩进:  0.85 厘米"/>
    <w:basedOn w:val="1"/>
    <w:link w:val="82"/>
    <w:qFormat/>
    <w:uiPriority w:val="0"/>
    <w:pPr>
      <w:spacing w:line="360" w:lineRule="auto"/>
      <w:ind w:firstLine="482"/>
      <w:jc w:val="left"/>
    </w:pPr>
    <w:rPr>
      <w:rFonts w:ascii="Calibri" w:hAnsi="Calibri" w:eastAsia="昆仑黑体" w:cs="Arial Unicode MS"/>
      <w:kern w:val="0"/>
      <w:lang w:eastAsia="en-US" w:bidi="en-US"/>
    </w:rPr>
  </w:style>
  <w:style w:type="character" w:customStyle="1" w:styleId="84">
    <w:name w:val="0921 Char"/>
    <w:qFormat/>
    <w:uiPriority w:val="0"/>
    <w:rPr>
      <w:rFonts w:ascii="宋体" w:hAnsi="Courier New" w:cs="宋体"/>
      <w:kern w:val="2"/>
      <w:sz w:val="21"/>
      <w:szCs w:val="21"/>
    </w:rPr>
  </w:style>
  <w:style w:type="character" w:customStyle="1" w:styleId="85">
    <w:name w:val="paramname2"/>
    <w:qFormat/>
    <w:uiPriority w:val="0"/>
    <w:rPr>
      <w:color w:val="999999"/>
    </w:rPr>
  </w:style>
  <w:style w:type="character" w:customStyle="1" w:styleId="86">
    <w:name w:val="WW8Num2z3"/>
    <w:qFormat/>
    <w:uiPriority w:val="0"/>
    <w:rPr>
      <w:rFonts w:ascii="Arial" w:hAnsi="Arial"/>
      <w:color w:val="auto"/>
      <w:position w:val="0"/>
      <w:sz w:val="21"/>
      <w:vertAlign w:val="baseline"/>
    </w:rPr>
  </w:style>
  <w:style w:type="character" w:customStyle="1" w:styleId="87">
    <w:name w:val="默认段落字体1"/>
    <w:qFormat/>
    <w:uiPriority w:val="0"/>
  </w:style>
  <w:style w:type="character" w:customStyle="1" w:styleId="88">
    <w:name w:val="WW8Num17z0"/>
    <w:qFormat/>
    <w:uiPriority w:val="0"/>
    <w:rPr>
      <w:rFonts w:ascii="Wingdings" w:hAnsi="Wingdings"/>
    </w:rPr>
  </w:style>
  <w:style w:type="character" w:customStyle="1" w:styleId="89">
    <w:name w:val="WW-Absatz-Standardschriftart"/>
    <w:qFormat/>
    <w:uiPriority w:val="0"/>
  </w:style>
  <w:style w:type="character" w:customStyle="1" w:styleId="90">
    <w:name w:val="WW8Num22z1"/>
    <w:qFormat/>
    <w:uiPriority w:val="0"/>
    <w:rPr>
      <w:rFonts w:ascii="Wingdings" w:hAnsi="Wingdings"/>
    </w:rPr>
  </w:style>
  <w:style w:type="character" w:customStyle="1" w:styleId="91">
    <w:name w:val="WW8Num2z2"/>
    <w:qFormat/>
    <w:uiPriority w:val="0"/>
    <w:rPr>
      <w:rFonts w:ascii="Arial" w:hAnsi="Arial"/>
      <w:color w:val="000000"/>
      <w:position w:val="0"/>
      <w:sz w:val="24"/>
      <w:vertAlign w:val="baseline"/>
    </w:rPr>
  </w:style>
  <w:style w:type="character" w:customStyle="1" w:styleId="92">
    <w:name w:val="正文文本缩进 3 Char"/>
    <w:link w:val="35"/>
    <w:qFormat/>
    <w:uiPriority w:val="0"/>
    <w:rPr>
      <w:rFonts w:ascii="Times New Roman" w:hAnsi="Times New Roman"/>
      <w:sz w:val="16"/>
      <w:szCs w:val="16"/>
    </w:rPr>
  </w:style>
  <w:style w:type="character" w:customStyle="1" w:styleId="93">
    <w:name w:val="正文要点 Char Char"/>
    <w:link w:val="94"/>
    <w:qFormat/>
    <w:uiPriority w:val="0"/>
    <w:rPr>
      <w:kern w:val="2"/>
      <w:sz w:val="21"/>
      <w:szCs w:val="24"/>
    </w:rPr>
  </w:style>
  <w:style w:type="paragraph" w:customStyle="1" w:styleId="94">
    <w:name w:val="正文要点"/>
    <w:basedOn w:val="1"/>
    <w:next w:val="95"/>
    <w:link w:val="93"/>
    <w:qFormat/>
    <w:uiPriority w:val="0"/>
    <w:pPr>
      <w:numPr>
        <w:ilvl w:val="0"/>
        <w:numId w:val="2"/>
      </w:numPr>
      <w:tabs>
        <w:tab w:val="left" w:pos="420"/>
        <w:tab w:val="clear" w:pos="840"/>
      </w:tabs>
      <w:spacing w:line="360" w:lineRule="auto"/>
    </w:pPr>
    <w:rPr>
      <w:rFonts w:ascii="Calibri" w:hAnsi="Calibri"/>
      <w:sz w:val="21"/>
      <w:szCs w:val="24"/>
    </w:rPr>
  </w:style>
  <w:style w:type="paragraph" w:customStyle="1" w:styleId="95">
    <w:name w:val="正文要点内容"/>
    <w:basedOn w:val="94"/>
    <w:link w:val="115"/>
    <w:qFormat/>
    <w:uiPriority w:val="0"/>
    <w:pPr>
      <w:numPr>
        <w:numId w:val="0"/>
      </w:numPr>
      <w:ind w:left="400" w:leftChars="400" w:firstLine="200" w:firstLineChars="200"/>
    </w:pPr>
    <w:rPr>
      <w:rFonts w:ascii="Times New Roman" w:hAnsi="Times New Roman"/>
      <w:kern w:val="0"/>
      <w:sz w:val="20"/>
    </w:rPr>
  </w:style>
  <w:style w:type="character" w:customStyle="1" w:styleId="96">
    <w:name w:val="WW8Num19z0"/>
    <w:qFormat/>
    <w:uiPriority w:val="0"/>
    <w:rPr>
      <w:rFonts w:ascii="Wingdings" w:hAnsi="Wingdings"/>
    </w:rPr>
  </w:style>
  <w:style w:type="character" w:customStyle="1" w:styleId="97">
    <w:name w:val="case31"/>
    <w:qFormat/>
    <w:uiPriority w:val="0"/>
    <w:rPr>
      <w:rFonts w:hint="default"/>
      <w:spacing w:val="390"/>
      <w:sz w:val="21"/>
      <w:szCs w:val="21"/>
    </w:rPr>
  </w:style>
  <w:style w:type="character" w:customStyle="1" w:styleId="98">
    <w:name w:val="mark4"/>
    <w:qFormat/>
    <w:uiPriority w:val="0"/>
  </w:style>
  <w:style w:type="character" w:customStyle="1" w:styleId="99">
    <w:name w:val="WW8Num9z0"/>
    <w:qFormat/>
    <w:uiPriority w:val="0"/>
    <w:rPr>
      <w:b/>
    </w:rPr>
  </w:style>
  <w:style w:type="character" w:customStyle="1" w:styleId="100">
    <w:name w:val="apple-style-span"/>
    <w:basedOn w:val="45"/>
    <w:qFormat/>
    <w:uiPriority w:val="0"/>
  </w:style>
  <w:style w:type="character" w:customStyle="1" w:styleId="101">
    <w:name w:val="WW8Num31z1"/>
    <w:qFormat/>
    <w:uiPriority w:val="0"/>
    <w:rPr>
      <w:b/>
      <w:color w:val="000000"/>
    </w:rPr>
  </w:style>
  <w:style w:type="character" w:customStyle="1" w:styleId="102">
    <w:name w:val="Char Char4"/>
    <w:qFormat/>
    <w:uiPriority w:val="0"/>
    <w:rPr>
      <w:rFonts w:eastAsia="宋体"/>
      <w:b/>
      <w:bCs/>
      <w:kern w:val="44"/>
      <w:sz w:val="44"/>
      <w:szCs w:val="44"/>
      <w:lang w:val="en-US" w:eastAsia="zh-CN" w:bidi="ar-SA"/>
    </w:rPr>
  </w:style>
  <w:style w:type="character" w:customStyle="1" w:styleId="103">
    <w:name w:val="WW8Num2z0"/>
    <w:qFormat/>
    <w:uiPriority w:val="0"/>
    <w:rPr>
      <w:rFonts w:ascii="Arial" w:hAnsi="Arial"/>
      <w:b/>
      <w:color w:val="000000"/>
      <w:position w:val="0"/>
      <w:sz w:val="36"/>
      <w:vertAlign w:val="baseline"/>
    </w:rPr>
  </w:style>
  <w:style w:type="character" w:customStyle="1" w:styleId="104">
    <w:name w:val="WW8Num27z0"/>
    <w:qFormat/>
    <w:uiPriority w:val="0"/>
    <w:rPr>
      <w:b/>
    </w:rPr>
  </w:style>
  <w:style w:type="character" w:customStyle="1" w:styleId="105">
    <w:name w:val="批注框文本 Char"/>
    <w:link w:val="27"/>
    <w:qFormat/>
    <w:uiPriority w:val="0"/>
    <w:rPr>
      <w:rFonts w:ascii="Times New Roman" w:hAnsi="Times New Roman"/>
      <w:sz w:val="18"/>
      <w:szCs w:val="18"/>
    </w:rPr>
  </w:style>
  <w:style w:type="character" w:customStyle="1" w:styleId="106">
    <w:name w:val="WW-Absatz-Standardschriftart1"/>
    <w:qFormat/>
    <w:uiPriority w:val="0"/>
  </w:style>
  <w:style w:type="character" w:customStyle="1" w:styleId="107">
    <w:name w:val="WW8Num8z0"/>
    <w:qFormat/>
    <w:uiPriority w:val="0"/>
    <w:rPr>
      <w:b/>
    </w:rPr>
  </w:style>
  <w:style w:type="character" w:customStyle="1" w:styleId="108">
    <w:name w:val="jk"/>
    <w:qFormat/>
    <w:uiPriority w:val="0"/>
  </w:style>
  <w:style w:type="character" w:customStyle="1" w:styleId="109">
    <w:name w:val="正文文本缩进 2 Char"/>
    <w:link w:val="26"/>
    <w:qFormat/>
    <w:uiPriority w:val="0"/>
    <w:rPr>
      <w:rFonts w:ascii="Times New Roman" w:hAnsi="Times New Roman"/>
      <w:szCs w:val="24"/>
    </w:rPr>
  </w:style>
  <w:style w:type="character" w:customStyle="1" w:styleId="110">
    <w:name w:val="font131"/>
    <w:qFormat/>
    <w:uiPriority w:val="0"/>
    <w:rPr>
      <w:sz w:val="20"/>
      <w:szCs w:val="20"/>
    </w:rPr>
  </w:style>
  <w:style w:type="character" w:customStyle="1" w:styleId="111">
    <w:name w:val="Absatz-Standardschriftart"/>
    <w:qFormat/>
    <w:uiPriority w:val="0"/>
  </w:style>
  <w:style w:type="character" w:customStyle="1" w:styleId="112">
    <w:name w:val="WW8Num1z1"/>
    <w:qFormat/>
    <w:uiPriority w:val="0"/>
    <w:rPr>
      <w:b/>
      <w:sz w:val="28"/>
    </w:rPr>
  </w:style>
  <w:style w:type="character" w:customStyle="1" w:styleId="113">
    <w:name w:val="ca-2"/>
    <w:basedOn w:val="45"/>
    <w:qFormat/>
    <w:uiPriority w:val="0"/>
  </w:style>
  <w:style w:type="character" w:customStyle="1" w:styleId="114">
    <w:name w:val="正文文本缩进 Char"/>
    <w:link w:val="19"/>
    <w:qFormat/>
    <w:uiPriority w:val="0"/>
    <w:rPr>
      <w:rFonts w:ascii="仿宋_GB2312" w:hAnsi="Times New Roman" w:eastAsia="仿宋_GB2312"/>
      <w:sz w:val="32"/>
    </w:rPr>
  </w:style>
  <w:style w:type="character" w:customStyle="1" w:styleId="115">
    <w:name w:val="正文要点内容 Char Char"/>
    <w:link w:val="95"/>
    <w:qFormat/>
    <w:uiPriority w:val="0"/>
    <w:rPr>
      <w:rFonts w:ascii="Times New Roman" w:hAnsi="Times New Roman"/>
      <w:szCs w:val="24"/>
    </w:rPr>
  </w:style>
  <w:style w:type="character" w:customStyle="1" w:styleId="116">
    <w:name w:val="日期 Char"/>
    <w:link w:val="25"/>
    <w:qFormat/>
    <w:uiPriority w:val="0"/>
    <w:rPr>
      <w:rFonts w:ascii="宋体" w:hAnsi="Courier New" w:cs="Courier New"/>
      <w:szCs w:val="21"/>
    </w:rPr>
  </w:style>
  <w:style w:type="character" w:customStyle="1" w:styleId="117">
    <w:name w:val="a14_red_bold1"/>
    <w:qFormat/>
    <w:uiPriority w:val="0"/>
    <w:rPr>
      <w:rFonts w:ascii="Arial" w:hAnsi="Arial" w:cs="Arial"/>
      <w:b/>
      <w:bCs/>
      <w:color w:val="auto"/>
      <w:sz w:val="21"/>
      <w:szCs w:val="21"/>
      <w:u w:val="none"/>
    </w:rPr>
  </w:style>
  <w:style w:type="character" w:customStyle="1" w:styleId="118">
    <w:name w:val="样式 标题 2第一层条论文标题 1正文二级标题heading 2 + Indent: Left 0.25 inh2h...1 Char Char"/>
    <w:link w:val="119"/>
    <w:qFormat/>
    <w:uiPriority w:val="0"/>
    <w:rPr>
      <w:rFonts w:ascii="新宋体" w:hAnsi="新宋体" w:eastAsia="新宋体" w:cs="宋体"/>
      <w:b/>
      <w:bCs/>
      <w:kern w:val="2"/>
      <w:sz w:val="28"/>
    </w:rPr>
  </w:style>
  <w:style w:type="paragraph" w:customStyle="1" w:styleId="119">
    <w:name w:val="样式 标题 2第一层条论文标题 1正文二级标题heading 2 + Indent: Left 0.25 inh2h...1"/>
    <w:basedOn w:val="3"/>
    <w:link w:val="118"/>
    <w:qFormat/>
    <w:uiPriority w:val="0"/>
    <w:pPr>
      <w:keepNext w:val="0"/>
      <w:keepLines w:val="0"/>
      <w:spacing w:before="0" w:after="156" w:line="360" w:lineRule="auto"/>
    </w:pPr>
    <w:rPr>
      <w:rFonts w:ascii="新宋体" w:hAnsi="新宋体" w:eastAsia="新宋体" w:cs="宋体"/>
      <w:kern w:val="2"/>
      <w:sz w:val="28"/>
      <w:szCs w:val="20"/>
      <w:lang w:val="en-US" w:eastAsia="zh-CN"/>
    </w:rPr>
  </w:style>
  <w:style w:type="character" w:customStyle="1" w:styleId="120">
    <w:name w:val="WW8Num2z1"/>
    <w:qFormat/>
    <w:uiPriority w:val="0"/>
    <w:rPr>
      <w:rFonts w:ascii="Arial" w:hAnsi="Arial"/>
      <w:color w:val="000000"/>
      <w:position w:val="0"/>
      <w:sz w:val="30"/>
      <w:vertAlign w:val="baseline"/>
    </w:rPr>
  </w:style>
  <w:style w:type="character" w:customStyle="1" w:styleId="121">
    <w:name w:val="WW8Num13z0"/>
    <w:qFormat/>
    <w:uiPriority w:val="0"/>
    <w:rPr>
      <w:rFonts w:ascii="Wingdings" w:hAnsi="Wingdings"/>
    </w:rPr>
  </w:style>
  <w:style w:type="character" w:customStyle="1" w:styleId="122">
    <w:name w:val="huei12b1"/>
    <w:qFormat/>
    <w:uiPriority w:val="0"/>
    <w:rPr>
      <w:b/>
      <w:color w:val="333333"/>
      <w:sz w:val="18"/>
    </w:rPr>
  </w:style>
  <w:style w:type="character" w:customStyle="1" w:styleId="123">
    <w:name w:val="正文文本 3 Char"/>
    <w:link w:val="17"/>
    <w:qFormat/>
    <w:uiPriority w:val="0"/>
    <w:rPr>
      <w:rFonts w:ascii="黑体" w:hAnsi="Arial" w:eastAsia="黑体"/>
      <w:b/>
      <w:sz w:val="28"/>
    </w:rPr>
  </w:style>
  <w:style w:type="character" w:customStyle="1" w:styleId="124">
    <w:name w:val="h4 Char"/>
    <w:qFormat/>
    <w:uiPriority w:val="0"/>
    <w:rPr>
      <w:rFonts w:ascii="Arial" w:hAnsi="Arial" w:eastAsia="黑体" w:cs="Arial"/>
      <w:b/>
      <w:bCs/>
      <w:sz w:val="28"/>
      <w:szCs w:val="28"/>
      <w:lang w:val="en-US" w:eastAsia="zh-CN" w:bidi="ar-SA"/>
    </w:rPr>
  </w:style>
  <w:style w:type="character" w:customStyle="1" w:styleId="125">
    <w:name w:val="WW8Num12z6"/>
    <w:qFormat/>
    <w:uiPriority w:val="0"/>
    <w:rPr>
      <w:rFonts w:ascii="Times New Roman" w:hAnsi="Times New Roman"/>
    </w:rPr>
  </w:style>
  <w:style w:type="character" w:customStyle="1" w:styleId="126">
    <w:name w:val="ca-3"/>
    <w:basedOn w:val="45"/>
    <w:qFormat/>
    <w:uiPriority w:val="0"/>
  </w:style>
  <w:style w:type="character" w:customStyle="1" w:styleId="127">
    <w:name w:val="WW8Num18z0"/>
    <w:qFormat/>
    <w:uiPriority w:val="0"/>
    <w:rPr>
      <w:b/>
    </w:rPr>
  </w:style>
  <w:style w:type="character" w:customStyle="1" w:styleId="128">
    <w:name w:val="页脚 Char"/>
    <w:link w:val="28"/>
    <w:qFormat/>
    <w:uiPriority w:val="0"/>
    <w:rPr>
      <w:rFonts w:ascii="Times New Roman" w:hAnsi="Times New Roman"/>
      <w:sz w:val="18"/>
      <w:szCs w:val="18"/>
    </w:rPr>
  </w:style>
  <w:style w:type="character" w:customStyle="1" w:styleId="129">
    <w:name w:val="WW8Num31z2"/>
    <w:qFormat/>
    <w:uiPriority w:val="0"/>
    <w:rPr>
      <w:b/>
    </w:rPr>
  </w:style>
  <w:style w:type="character" w:customStyle="1" w:styleId="130">
    <w:name w:val="WW8Num14z0"/>
    <w:qFormat/>
    <w:uiPriority w:val="0"/>
    <w:rPr>
      <w:b/>
    </w:rPr>
  </w:style>
  <w:style w:type="character" w:customStyle="1" w:styleId="131">
    <w:name w:val="WW8Num16z0"/>
    <w:qFormat/>
    <w:uiPriority w:val="0"/>
    <w:rPr>
      <w:b/>
    </w:rPr>
  </w:style>
  <w:style w:type="character" w:customStyle="1" w:styleId="132">
    <w:name w:val="WW8Num16z1"/>
    <w:qFormat/>
    <w:uiPriority w:val="0"/>
    <w:rPr>
      <w:rFonts w:ascii="Wingdings" w:hAnsi="Wingdings"/>
    </w:rPr>
  </w:style>
  <w:style w:type="character" w:customStyle="1" w:styleId="133">
    <w:name w:val="WW8Num23z0"/>
    <w:qFormat/>
    <w:uiPriority w:val="0"/>
    <w:rPr>
      <w:rFonts w:ascii="Wingdings" w:hAnsi="Wingdings"/>
    </w:rPr>
  </w:style>
  <w:style w:type="character" w:customStyle="1" w:styleId="134">
    <w:name w:val="正文段落 Char Char"/>
    <w:link w:val="135"/>
    <w:qFormat/>
    <w:uiPriority w:val="0"/>
    <w:rPr>
      <w:rFonts w:ascii="宋体" w:hAnsi="宋体"/>
      <w:kern w:val="2"/>
      <w:sz w:val="28"/>
      <w:szCs w:val="22"/>
    </w:rPr>
  </w:style>
  <w:style w:type="paragraph" w:customStyle="1" w:styleId="135">
    <w:name w:val="正文段落"/>
    <w:basedOn w:val="1"/>
    <w:link w:val="134"/>
    <w:qFormat/>
    <w:uiPriority w:val="0"/>
    <w:pPr>
      <w:ind w:firstLine="560" w:firstLineChars="200"/>
    </w:pPr>
    <w:rPr>
      <w:rFonts w:ascii="宋体" w:hAnsi="宋体"/>
      <w:szCs w:val="22"/>
    </w:rPr>
  </w:style>
  <w:style w:type="paragraph" w:customStyle="1" w:styleId="136">
    <w:name w:val="List1"/>
    <w:basedOn w:val="1"/>
    <w:qFormat/>
    <w:uiPriority w:val="0"/>
    <w:pPr>
      <w:widowControl/>
      <w:tabs>
        <w:tab w:val="left" w:pos="1145"/>
      </w:tabs>
      <w:spacing w:after="120" w:line="360" w:lineRule="auto"/>
      <w:ind w:left="425"/>
    </w:pPr>
    <w:rPr>
      <w:rFonts w:hint="eastAsia" w:ascii="楷体_GB2312" w:eastAsia="楷体_GB2312"/>
      <w:kern w:val="0"/>
      <w:sz w:val="24"/>
      <w:szCs w:val="24"/>
    </w:rPr>
  </w:style>
  <w:style w:type="paragraph" w:customStyle="1" w:styleId="137">
    <w:name w:val="font7"/>
    <w:basedOn w:val="1"/>
    <w:qFormat/>
    <w:uiPriority w:val="0"/>
    <w:pPr>
      <w:widowControl/>
      <w:spacing w:before="100" w:beforeAutospacing="1" w:after="100" w:afterAutospacing="1"/>
      <w:jc w:val="left"/>
    </w:pPr>
    <w:rPr>
      <w:rFonts w:ascii="楷体_GB2312" w:hAnsi="宋体" w:eastAsia="楷体_GB2312" w:cs="楷体_GB2312"/>
      <w:b/>
      <w:bCs/>
      <w:kern w:val="0"/>
      <w:sz w:val="22"/>
      <w:szCs w:val="22"/>
    </w:rPr>
  </w:style>
  <w:style w:type="paragraph" w:customStyle="1" w:styleId="138">
    <w:name w:val="标签"/>
    <w:basedOn w:val="1"/>
    <w:qFormat/>
    <w:uiPriority w:val="0"/>
    <w:pPr>
      <w:suppressLineNumbers/>
      <w:suppressAutoHyphens/>
      <w:spacing w:before="120" w:after="120"/>
    </w:pPr>
    <w:rPr>
      <w:rFonts w:ascii="宋体" w:hAnsi="宋体"/>
      <w:i/>
      <w:kern w:val="1"/>
      <w:sz w:val="24"/>
      <w:lang w:eastAsia="ar-SA"/>
    </w:rPr>
  </w:style>
  <w:style w:type="paragraph" w:customStyle="1" w:styleId="139">
    <w:name w:val="xl26"/>
    <w:basedOn w:val="1"/>
    <w:qFormat/>
    <w:uiPriority w:val="0"/>
    <w:pPr>
      <w:widowControl/>
      <w:spacing w:before="100" w:beforeAutospacing="1" w:after="100" w:afterAutospacing="1"/>
      <w:jc w:val="left"/>
    </w:pPr>
    <w:rPr>
      <w:rFonts w:ascii="楷体_GB2312" w:hAnsi="宋体" w:eastAsia="楷体_GB2312" w:cs="楷体_GB2312"/>
      <w:b/>
      <w:bCs/>
      <w:kern w:val="0"/>
      <w:sz w:val="24"/>
      <w:szCs w:val="24"/>
    </w:rPr>
  </w:style>
  <w:style w:type="paragraph" w:customStyle="1" w:styleId="14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xl65"/>
    <w:basedOn w:val="1"/>
    <w:qFormat/>
    <w:uiPriority w:val="0"/>
    <w:pPr>
      <w:widowControl/>
      <w:spacing w:before="100" w:beforeAutospacing="1" w:after="100" w:afterAutospacing="1"/>
      <w:jc w:val="center"/>
    </w:pPr>
    <w:rPr>
      <w:rFonts w:ascii="宋体" w:hAnsi="宋体" w:cs="宋体"/>
      <w:color w:val="000000"/>
      <w:kern w:val="0"/>
      <w:sz w:val="20"/>
    </w:rPr>
  </w:style>
  <w:style w:type="paragraph" w:customStyle="1" w:styleId="142">
    <w:name w:val="内容目录 10"/>
    <w:basedOn w:val="12"/>
    <w:qFormat/>
    <w:uiPriority w:val="0"/>
    <w:pPr>
      <w:tabs>
        <w:tab w:val="right" w:leader="dot" w:pos="9637"/>
      </w:tabs>
      <w:ind w:left="2547"/>
    </w:pPr>
  </w:style>
  <w:style w:type="paragraph" w:customStyle="1" w:styleId="143">
    <w:name w:val="font8"/>
    <w:basedOn w:val="1"/>
    <w:qFormat/>
    <w:uiPriority w:val="0"/>
    <w:pPr>
      <w:widowControl/>
      <w:spacing w:before="100" w:beforeAutospacing="1" w:after="100" w:afterAutospacing="1"/>
      <w:jc w:val="left"/>
    </w:pPr>
    <w:rPr>
      <w:rFonts w:hint="eastAsia" w:ascii="黑体" w:hAnsi="Arial Unicode MS" w:eastAsia="黑体" w:cs="Arial Unicode MS"/>
      <w:kern w:val="0"/>
      <w:sz w:val="22"/>
      <w:szCs w:val="22"/>
    </w:rPr>
  </w:style>
  <w:style w:type="paragraph" w:customStyle="1" w:styleId="144">
    <w:name w:val="首行缩进"/>
    <w:basedOn w:val="1"/>
    <w:qFormat/>
    <w:uiPriority w:val="0"/>
    <w:pPr>
      <w:autoSpaceDE w:val="0"/>
      <w:autoSpaceDN w:val="0"/>
      <w:adjustRightInd w:val="0"/>
      <w:spacing w:line="360" w:lineRule="auto"/>
      <w:ind w:firstLine="480" w:firstLineChars="200"/>
      <w:jc w:val="left"/>
    </w:pPr>
    <w:rPr>
      <w:sz w:val="24"/>
      <w:szCs w:val="21"/>
    </w:rPr>
  </w:style>
  <w:style w:type="paragraph" w:customStyle="1" w:styleId="145">
    <w:name w:val="框内容"/>
    <w:basedOn w:val="18"/>
    <w:qFormat/>
    <w:uiPriority w:val="0"/>
    <w:pPr>
      <w:suppressAutoHyphens/>
    </w:pPr>
    <w:rPr>
      <w:rFonts w:hint="eastAsia" w:ascii="方正大黑简体" w:hAnsi="宋体" w:eastAsia="方正大黑简体"/>
      <w:kern w:val="44"/>
      <w:position w:val="6"/>
      <w:sz w:val="30"/>
      <w:szCs w:val="20"/>
    </w:rPr>
  </w:style>
  <w:style w:type="paragraph" w:customStyle="1" w:styleId="146">
    <w:name w:val="pa-2"/>
    <w:basedOn w:val="1"/>
    <w:qFormat/>
    <w:uiPriority w:val="0"/>
    <w:pPr>
      <w:widowControl/>
      <w:spacing w:line="360" w:lineRule="atLeast"/>
      <w:ind w:firstLine="480"/>
    </w:pPr>
    <w:rPr>
      <w:rFonts w:ascii="宋体" w:hAnsi="宋体" w:cs="宋体"/>
      <w:kern w:val="0"/>
      <w:sz w:val="24"/>
      <w:szCs w:val="24"/>
    </w:rPr>
  </w:style>
  <w:style w:type="paragraph" w:customStyle="1" w:styleId="1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48">
    <w:name w:val="前言、引言标题"/>
    <w:next w:val="1"/>
    <w:qFormat/>
    <w:uiPriority w:val="0"/>
    <w:pPr>
      <w:shd w:val="clear" w:color="auto"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149">
    <w:name w:val="默认段落字体 Para Char"/>
    <w:basedOn w:val="1"/>
    <w:qFormat/>
    <w:uiPriority w:val="0"/>
    <w:rPr>
      <w:szCs w:val="21"/>
    </w:rPr>
  </w:style>
  <w:style w:type="paragraph" w:customStyle="1" w:styleId="150">
    <w:name w:val="表格标题"/>
    <w:basedOn w:val="151"/>
    <w:qFormat/>
    <w:uiPriority w:val="0"/>
    <w:pPr>
      <w:jc w:val="center"/>
    </w:pPr>
    <w:rPr>
      <w:b/>
    </w:rPr>
  </w:style>
  <w:style w:type="paragraph" w:customStyle="1" w:styleId="151">
    <w:name w:val="表格内容"/>
    <w:basedOn w:val="1"/>
    <w:qFormat/>
    <w:uiPriority w:val="0"/>
    <w:pPr>
      <w:suppressLineNumbers/>
      <w:suppressAutoHyphens/>
    </w:pPr>
    <w:rPr>
      <w:rFonts w:ascii="宋体" w:hAnsi="宋体"/>
      <w:kern w:val="1"/>
      <w:lang w:eastAsia="ar-SA"/>
    </w:rPr>
  </w:style>
  <w:style w:type="paragraph" w:customStyle="1" w:styleId="152">
    <w:name w:val="批注框文本 Char Char"/>
    <w:basedOn w:val="1"/>
    <w:qFormat/>
    <w:uiPriority w:val="0"/>
    <w:rPr>
      <w:sz w:val="18"/>
      <w:szCs w:val="18"/>
    </w:rPr>
  </w:style>
  <w:style w:type="paragraph" w:customStyle="1" w:styleId="153">
    <w:name w:val="Char Char Char"/>
    <w:basedOn w:val="1"/>
    <w:qFormat/>
    <w:uiPriority w:val="0"/>
    <w:pPr>
      <w:widowControl/>
      <w:suppressAutoHyphens/>
      <w:spacing w:after="160" w:line="240" w:lineRule="exact"/>
      <w:jc w:val="left"/>
    </w:pPr>
    <w:rPr>
      <w:rFonts w:ascii="Verdana" w:hAnsi="Verdana"/>
      <w:kern w:val="1"/>
      <w:sz w:val="20"/>
      <w:lang w:eastAsia="ar-SA"/>
    </w:rPr>
  </w:style>
  <w:style w:type="paragraph" w:customStyle="1" w:styleId="154">
    <w:name w:val="CSS1级正文"/>
    <w:basedOn w:val="18"/>
    <w:qFormat/>
    <w:uiPriority w:val="0"/>
    <w:pPr>
      <w:adjustRightInd w:val="0"/>
      <w:snapToGrid w:val="0"/>
      <w:spacing w:after="0" w:line="360" w:lineRule="auto"/>
      <w:ind w:firstLine="480" w:firstLineChars="200"/>
    </w:pPr>
    <w:rPr>
      <w:rFonts w:ascii="黑体" w:hAnsi="Courier New"/>
      <w:sz w:val="24"/>
      <w:szCs w:val="20"/>
      <w:shd w:val="pct10" w:color="auto" w:fill="FFFFFF"/>
    </w:rPr>
  </w:style>
  <w:style w:type="paragraph" w:customStyle="1" w:styleId="155">
    <w:name w:val="标题二样式"/>
    <w:basedOn w:val="3"/>
    <w:qFormat/>
    <w:uiPriority w:val="0"/>
    <w:pPr>
      <w:suppressAutoHyphens/>
      <w:spacing w:before="0" w:after="0" w:line="240" w:lineRule="auto"/>
      <w:jc w:val="left"/>
    </w:pPr>
    <w:rPr>
      <w:bCs w:val="0"/>
      <w:kern w:val="1"/>
      <w:szCs w:val="20"/>
      <w:lang w:eastAsia="ar-SA"/>
    </w:rPr>
  </w:style>
  <w:style w:type="paragraph" w:customStyle="1" w:styleId="156">
    <w:name w:val="D&amp;L"/>
    <w:basedOn w:val="29"/>
    <w:qFormat/>
    <w:uiPriority w:val="0"/>
    <w:pPr>
      <w:pBdr>
        <w:bottom w:val="thinThickSmallGap" w:color="auto" w:sz="18" w:space="1"/>
      </w:pBdr>
      <w:adjustRightInd w:val="0"/>
      <w:snapToGrid/>
      <w:spacing w:line="240" w:lineRule="atLeast"/>
      <w:textAlignment w:val="baseline"/>
    </w:pPr>
    <w:rPr>
      <w:sz w:val="24"/>
      <w:szCs w:val="20"/>
    </w:rPr>
  </w:style>
  <w:style w:type="paragraph" w:customStyle="1" w:styleId="157">
    <w:name w:val="论文标题1"/>
    <w:basedOn w:val="2"/>
    <w:qFormat/>
    <w:uiPriority w:val="0"/>
    <w:pPr>
      <w:tabs>
        <w:tab w:val="left" w:pos="747"/>
      </w:tabs>
      <w:adjustRightInd w:val="0"/>
      <w:spacing w:line="240" w:lineRule="auto"/>
      <w:ind w:left="747" w:hanging="567"/>
      <w:textAlignment w:val="baseline"/>
    </w:pPr>
  </w:style>
  <w:style w:type="paragraph" w:customStyle="1" w:styleId="158">
    <w:name w:val="我的正文"/>
    <w:basedOn w:val="1"/>
    <w:qFormat/>
    <w:uiPriority w:val="0"/>
    <w:pPr>
      <w:ind w:firstLine="200" w:firstLineChars="200"/>
    </w:pPr>
    <w:rPr>
      <w:rFonts w:ascii="宋体" w:hAnsi="宋体"/>
      <w:sz w:val="24"/>
    </w:rPr>
  </w:style>
  <w:style w:type="paragraph" w:customStyle="1" w:styleId="159">
    <w:name w:val="表格"/>
    <w:basedOn w:val="160"/>
    <w:qFormat/>
    <w:uiPriority w:val="0"/>
    <w:pPr>
      <w:spacing w:line="240" w:lineRule="atLeast"/>
      <w:ind w:firstLine="0" w:firstLineChars="0"/>
      <w:jc w:val="center"/>
    </w:pPr>
    <w:rPr>
      <w:rFonts w:ascii="Arial" w:hAnsi="Arial" w:eastAsia="宋体"/>
      <w:sz w:val="21"/>
    </w:rPr>
  </w:style>
  <w:style w:type="paragraph" w:customStyle="1" w:styleId="160">
    <w:name w:val="正文部分"/>
    <w:basedOn w:val="1"/>
    <w:qFormat/>
    <w:uiPriority w:val="0"/>
    <w:pPr>
      <w:spacing w:line="500" w:lineRule="exact"/>
      <w:ind w:firstLine="480" w:firstLineChars="200"/>
      <w:textAlignment w:val="center"/>
    </w:pPr>
    <w:rPr>
      <w:rFonts w:ascii="华文细黑" w:hAnsi="华文细黑" w:eastAsia="楷体_GB2312"/>
      <w:sz w:val="24"/>
    </w:rPr>
  </w:style>
  <w:style w:type="paragraph" w:customStyle="1" w:styleId="161">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16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63">
    <w:name w:val="Char"/>
    <w:basedOn w:val="1"/>
    <w:qFormat/>
    <w:uiPriority w:val="0"/>
    <w:rPr>
      <w:szCs w:val="24"/>
    </w:rPr>
  </w:style>
  <w:style w:type="paragraph" w:customStyle="1" w:styleId="164">
    <w:name w:val="正文内容"/>
    <w:basedOn w:val="1"/>
    <w:qFormat/>
    <w:uiPriority w:val="0"/>
    <w:pPr>
      <w:suppressAutoHyphens/>
    </w:pPr>
    <w:rPr>
      <w:rFonts w:ascii="Arial" w:hAnsi="Arial"/>
      <w:spacing w:val="-12"/>
      <w:kern w:val="21"/>
      <w:lang w:eastAsia="ar-SA"/>
    </w:rPr>
  </w:style>
  <w:style w:type="paragraph" w:customStyle="1" w:styleId="165">
    <w:name w:val="Char1 Char Char Char Char Char Char"/>
    <w:basedOn w:val="1"/>
    <w:qFormat/>
    <w:uiPriority w:val="0"/>
    <w:rPr>
      <w:rFonts w:ascii="Tahoma" w:hAnsi="Tahoma"/>
      <w:sz w:val="24"/>
    </w:rPr>
  </w:style>
  <w:style w:type="paragraph" w:customStyle="1" w:styleId="166">
    <w:name w:val="标准正文"/>
    <w:basedOn w:val="1"/>
    <w:qFormat/>
    <w:uiPriority w:val="0"/>
    <w:pPr>
      <w:spacing w:line="360" w:lineRule="auto"/>
      <w:ind w:firstLine="420" w:firstLineChars="200"/>
    </w:pPr>
    <w:rPr>
      <w:rFonts w:ascii="Calibri" w:hAnsi="Calibri"/>
    </w:rPr>
  </w:style>
  <w:style w:type="paragraph" w:customStyle="1" w:styleId="167">
    <w:name w:val="xl33"/>
    <w:basedOn w:val="1"/>
    <w:qFormat/>
    <w:uiPriority w:val="0"/>
    <w:pPr>
      <w:widowControl/>
      <w:spacing w:before="100" w:beforeAutospacing="1" w:after="100" w:afterAutospacing="1"/>
      <w:jc w:val="center"/>
      <w:textAlignment w:val="center"/>
    </w:pPr>
    <w:rPr>
      <w:rFonts w:hint="eastAsia" w:ascii="黑体" w:hAnsi="Arial Unicode MS" w:eastAsia="黑体" w:cs="Arial Unicode MS"/>
      <w:kern w:val="0"/>
      <w:sz w:val="22"/>
      <w:szCs w:val="22"/>
    </w:rPr>
  </w:style>
  <w:style w:type="paragraph" w:customStyle="1" w:styleId="168">
    <w:name w:val="Normal1"/>
    <w:basedOn w:val="1"/>
    <w:qFormat/>
    <w:uiPriority w:val="0"/>
    <w:pPr>
      <w:suppressAutoHyphens/>
      <w:spacing w:line="360" w:lineRule="auto"/>
    </w:pPr>
    <w:rPr>
      <w:rFonts w:ascii="宋体" w:hAnsi="宋体"/>
      <w:kern w:val="1"/>
      <w:lang w:eastAsia="ar-SA"/>
    </w:rPr>
  </w:style>
  <w:style w:type="paragraph" w:customStyle="1" w:styleId="169">
    <w:name w:val="xl25"/>
    <w:basedOn w:val="1"/>
    <w:qFormat/>
    <w:uiPriority w:val="0"/>
    <w:pPr>
      <w:widowControl/>
      <w:spacing w:before="100" w:beforeAutospacing="1" w:after="100" w:afterAutospacing="1"/>
      <w:jc w:val="center"/>
    </w:pPr>
    <w:rPr>
      <w:rFonts w:ascii="楷体_GB2312" w:hAnsi="宋体" w:eastAsia="楷体_GB2312" w:cs="楷体_GB2312"/>
      <w:kern w:val="0"/>
      <w:sz w:val="24"/>
      <w:szCs w:val="24"/>
    </w:rPr>
  </w:style>
  <w:style w:type="paragraph" w:customStyle="1" w:styleId="17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paragraph" w:customStyle="1" w:styleId="171">
    <w:name w:val="默认段落字体 Para Char Char Char Char"/>
    <w:basedOn w:val="1"/>
    <w:qFormat/>
    <w:uiPriority w:val="0"/>
    <w:rPr>
      <w:szCs w:val="24"/>
    </w:rPr>
  </w:style>
  <w:style w:type="paragraph" w:customStyle="1" w:styleId="172">
    <w:name w:val="样式 标题 3h3Level 3 HeadH3Heading 3 - oldlevel_3PIM 3BOD 0s..."/>
    <w:basedOn w:val="4"/>
    <w:qFormat/>
    <w:uiPriority w:val="0"/>
    <w:pPr>
      <w:tabs>
        <w:tab w:val="left" w:pos="0"/>
      </w:tabs>
      <w:adjustRightInd w:val="0"/>
      <w:spacing w:before="0" w:after="0" w:line="500" w:lineRule="exact"/>
      <w:textAlignment w:val="baseline"/>
    </w:pPr>
    <w:rPr>
      <w:rFonts w:cs="宋体"/>
      <w:sz w:val="28"/>
      <w:szCs w:val="20"/>
      <w:lang w:val="zh-CN" w:eastAsia="zh-CN"/>
    </w:rPr>
  </w:style>
  <w:style w:type="paragraph" w:customStyle="1" w:styleId="173">
    <w:name w:val="样式1"/>
    <w:basedOn w:val="1"/>
    <w:qFormat/>
    <w:uiPriority w:val="0"/>
    <w:pPr>
      <w:tabs>
        <w:tab w:val="left" w:pos="1674"/>
      </w:tabs>
      <w:adjustRightInd w:val="0"/>
      <w:ind w:left="1674" w:hanging="1125"/>
      <w:textAlignment w:val="baseline"/>
    </w:pPr>
    <w:rPr>
      <w:rFonts w:ascii="宋体" w:hAnsi="宋体"/>
      <w:kern w:val="0"/>
      <w:szCs w:val="21"/>
    </w:rPr>
  </w:style>
  <w:style w:type="paragraph" w:customStyle="1" w:styleId="174">
    <w:name w:val="Table Description"/>
    <w:basedOn w:val="1"/>
    <w:qFormat/>
    <w:uiPriority w:val="0"/>
    <w:pPr>
      <w:suppressAutoHyphens/>
    </w:pPr>
    <w:rPr>
      <w:rFonts w:ascii="宋体" w:hAnsi="宋体"/>
      <w:kern w:val="1"/>
      <w:lang w:eastAsia="ar-SA"/>
    </w:rPr>
  </w:style>
  <w:style w:type="paragraph" w:customStyle="1" w:styleId="175">
    <w:name w:val="tableheading"/>
    <w:basedOn w:val="1"/>
    <w:qFormat/>
    <w:uiPriority w:val="0"/>
    <w:pPr>
      <w:widowControl/>
      <w:numPr>
        <w:ilvl w:val="0"/>
        <w:numId w:val="3"/>
      </w:numPr>
      <w:spacing w:before="100" w:beforeAutospacing="1" w:after="100" w:afterAutospacing="1" w:line="240" w:lineRule="atLeast"/>
      <w:ind w:left="0" w:firstLine="0"/>
      <w:jc w:val="left"/>
    </w:pPr>
    <w:rPr>
      <w:rFonts w:hint="eastAsia" w:ascii="宋体" w:hAnsi="宋体"/>
      <w:kern w:val="0"/>
      <w:sz w:val="18"/>
    </w:rPr>
  </w:style>
  <w:style w:type="paragraph" w:customStyle="1" w:styleId="176">
    <w:name w:val="Bullet"/>
    <w:basedOn w:val="1"/>
    <w:qFormat/>
    <w:uiPriority w:val="0"/>
    <w:pPr>
      <w:widowControl/>
      <w:adjustRightInd w:val="0"/>
      <w:spacing w:before="60" w:after="60" w:line="500" w:lineRule="exact"/>
      <w:ind w:firstLine="551" w:firstLineChars="196"/>
    </w:pPr>
    <w:rPr>
      <w:rFonts w:ascii="宋体" w:hAnsi="宋体" w:cs="宋体"/>
      <w:b/>
      <w:color w:val="333333"/>
      <w:kern w:val="0"/>
      <w:szCs w:val="28"/>
    </w:rPr>
  </w:style>
  <w:style w:type="paragraph" w:customStyle="1" w:styleId="177">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78">
    <w:name w:val="WPS Plain"/>
    <w:qFormat/>
    <w:uiPriority w:val="0"/>
    <w:rPr>
      <w:rFonts w:ascii="Times New Roman" w:hAnsi="Times New Roman" w:eastAsia="宋体" w:cs="Times New Roman"/>
      <w:lang w:val="en-US" w:eastAsia="zh-CN" w:bidi="ar-SA"/>
    </w:rPr>
  </w:style>
  <w:style w:type="paragraph" w:customStyle="1" w:styleId="179">
    <w:name w:val="Char1 Char Char Char"/>
    <w:basedOn w:val="1"/>
    <w:qFormat/>
    <w:uiPriority w:val="0"/>
    <w:pPr>
      <w:suppressAutoHyphens/>
    </w:pPr>
    <w:rPr>
      <w:rFonts w:ascii="宋体" w:hAnsi="宋体"/>
      <w:kern w:val="1"/>
      <w:sz w:val="24"/>
      <w:lang w:eastAsia="ar-SA"/>
    </w:rPr>
  </w:style>
  <w:style w:type="paragraph" w:customStyle="1" w:styleId="180">
    <w:name w:val="Figure Description"/>
    <w:basedOn w:val="1"/>
    <w:qFormat/>
    <w:uiPriority w:val="0"/>
    <w:pPr>
      <w:suppressAutoHyphens/>
    </w:pPr>
    <w:rPr>
      <w:rFonts w:ascii="宋体" w:hAnsi="宋体"/>
      <w:kern w:val="1"/>
      <w:lang w:eastAsia="ar-SA"/>
    </w:rPr>
  </w:style>
  <w:style w:type="paragraph" w:customStyle="1" w:styleId="181">
    <w:name w:val="文档正文"/>
    <w:basedOn w:val="1"/>
    <w:qFormat/>
    <w:uiPriority w:val="0"/>
    <w:pPr>
      <w:adjustRightInd w:val="0"/>
      <w:spacing w:line="480" w:lineRule="atLeast"/>
      <w:ind w:firstLine="567"/>
      <w:textAlignment w:val="baseline"/>
    </w:pPr>
    <w:rPr>
      <w:rFonts w:ascii="长城仿宋"/>
      <w:kern w:val="0"/>
      <w:sz w:val="24"/>
    </w:rPr>
  </w:style>
  <w:style w:type="paragraph" w:customStyle="1" w:styleId="182">
    <w:name w:val="样式 标题 1 + 黑体 小二 居中 段前: 15.6 磅 段后: 15.6 磅 行距: 单倍行距"/>
    <w:basedOn w:val="2"/>
    <w:qFormat/>
    <w:uiPriority w:val="0"/>
    <w:pPr>
      <w:spacing w:before="312" w:after="312" w:line="240" w:lineRule="auto"/>
    </w:pPr>
    <w:rPr>
      <w:rFonts w:ascii="黑体" w:eastAsia="黑体" w:cs="宋体"/>
      <w:szCs w:val="20"/>
    </w:rPr>
  </w:style>
  <w:style w:type="paragraph" w:customStyle="1" w:styleId="183">
    <w:name w:val="body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4">
    <w:name w:val="Char Char Char Char Char Char Char1 Char"/>
    <w:basedOn w:val="1"/>
    <w:qFormat/>
    <w:uiPriority w:val="0"/>
    <w:rPr>
      <w:rFonts w:ascii="Tahoma" w:hAnsi="Tahoma"/>
      <w:sz w:val="24"/>
    </w:rPr>
  </w:style>
  <w:style w:type="paragraph" w:customStyle="1" w:styleId="18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6">
    <w:name w:val="Char1"/>
    <w:basedOn w:val="1"/>
    <w:qFormat/>
    <w:uiPriority w:val="0"/>
    <w:pPr>
      <w:suppressAutoHyphens/>
    </w:pPr>
    <w:rPr>
      <w:rFonts w:ascii="宋体" w:hAnsi="宋体"/>
      <w:kern w:val="1"/>
      <w:sz w:val="24"/>
      <w:lang w:eastAsia="ar-SA"/>
    </w:rPr>
  </w:style>
  <w:style w:type="paragraph" w:customStyle="1" w:styleId="187">
    <w:name w:val="三级条标题"/>
    <w:basedOn w:val="188"/>
    <w:next w:val="1"/>
    <w:qFormat/>
    <w:uiPriority w:val="0"/>
    <w:pPr>
      <w:numPr>
        <w:ilvl w:val="4"/>
      </w:numPr>
      <w:tabs>
        <w:tab w:val="left" w:pos="360"/>
      </w:tabs>
      <w:outlineLvl w:val="4"/>
    </w:pPr>
  </w:style>
  <w:style w:type="paragraph" w:customStyle="1" w:styleId="188">
    <w:name w:val="二级条标题"/>
    <w:basedOn w:val="1"/>
    <w:next w:val="1"/>
    <w:qFormat/>
    <w:uiPriority w:val="0"/>
    <w:pPr>
      <w:widowControl/>
      <w:numPr>
        <w:ilvl w:val="3"/>
        <w:numId w:val="4"/>
      </w:numPr>
      <w:jc w:val="left"/>
      <w:outlineLvl w:val="3"/>
    </w:pPr>
    <w:rPr>
      <w:rFonts w:eastAsia="黑体"/>
      <w:kern w:val="0"/>
    </w:rPr>
  </w:style>
  <w:style w:type="paragraph" w:customStyle="1" w:styleId="189">
    <w:name w:val="p0"/>
    <w:basedOn w:val="1"/>
    <w:qFormat/>
    <w:uiPriority w:val="0"/>
    <w:pPr>
      <w:widowControl/>
    </w:pPr>
    <w:rPr>
      <w:kern w:val="0"/>
      <w:szCs w:val="21"/>
    </w:rPr>
  </w:style>
  <w:style w:type="character" w:customStyle="1" w:styleId="190">
    <w:name w:val="正文文本缩进 2 Char1"/>
    <w:basedOn w:val="45"/>
    <w:semiHidden/>
    <w:qFormat/>
    <w:uiPriority w:val="99"/>
    <w:rPr>
      <w:rFonts w:ascii="Times New Roman" w:hAnsi="Times New Roman"/>
      <w:kern w:val="2"/>
      <w:sz w:val="28"/>
    </w:rPr>
  </w:style>
  <w:style w:type="character" w:customStyle="1" w:styleId="191">
    <w:name w:val="批注文字 Char"/>
    <w:basedOn w:val="45"/>
    <w:link w:val="16"/>
    <w:qFormat/>
    <w:uiPriority w:val="0"/>
    <w:rPr>
      <w:rFonts w:ascii="Times New Roman" w:hAnsi="Times New Roman"/>
      <w:kern w:val="2"/>
      <w:sz w:val="28"/>
    </w:rPr>
  </w:style>
  <w:style w:type="character" w:customStyle="1" w:styleId="192">
    <w:name w:val="批注主题 Char"/>
    <w:basedOn w:val="191"/>
    <w:link w:val="41"/>
    <w:qFormat/>
    <w:uiPriority w:val="0"/>
    <w:rPr>
      <w:rFonts w:ascii="宋体" w:hAnsi="宋体"/>
      <w:b/>
      <w:kern w:val="21"/>
      <w:sz w:val="28"/>
      <w:lang w:eastAsia="ar-SA"/>
    </w:rPr>
  </w:style>
  <w:style w:type="character" w:customStyle="1" w:styleId="193">
    <w:name w:val="HTML 预设格式 Char"/>
    <w:basedOn w:val="45"/>
    <w:link w:val="38"/>
    <w:qFormat/>
    <w:uiPriority w:val="0"/>
    <w:rPr>
      <w:rFonts w:ascii="Arial" w:hAnsi="Arial" w:cs="Arial"/>
      <w:sz w:val="24"/>
    </w:rPr>
  </w:style>
  <w:style w:type="character" w:customStyle="1" w:styleId="194">
    <w:name w:val="批注框文本 Char1"/>
    <w:basedOn w:val="45"/>
    <w:semiHidden/>
    <w:qFormat/>
    <w:uiPriority w:val="99"/>
    <w:rPr>
      <w:rFonts w:ascii="Times New Roman" w:hAnsi="Times New Roman"/>
      <w:kern w:val="2"/>
      <w:sz w:val="18"/>
      <w:szCs w:val="18"/>
    </w:rPr>
  </w:style>
  <w:style w:type="character" w:customStyle="1" w:styleId="195">
    <w:name w:val="正文文本 Char1"/>
    <w:basedOn w:val="45"/>
    <w:semiHidden/>
    <w:qFormat/>
    <w:uiPriority w:val="99"/>
    <w:rPr>
      <w:rFonts w:ascii="Times New Roman" w:hAnsi="Times New Roman"/>
      <w:kern w:val="2"/>
      <w:sz w:val="28"/>
    </w:rPr>
  </w:style>
  <w:style w:type="character" w:customStyle="1" w:styleId="196">
    <w:name w:val="页脚 Char1"/>
    <w:basedOn w:val="45"/>
    <w:semiHidden/>
    <w:qFormat/>
    <w:uiPriority w:val="99"/>
    <w:rPr>
      <w:rFonts w:ascii="Times New Roman" w:hAnsi="Times New Roman"/>
      <w:kern w:val="2"/>
      <w:sz w:val="18"/>
      <w:szCs w:val="18"/>
    </w:rPr>
  </w:style>
  <w:style w:type="character" w:customStyle="1" w:styleId="197">
    <w:name w:val="正文文本 3 Char1"/>
    <w:basedOn w:val="45"/>
    <w:semiHidden/>
    <w:qFormat/>
    <w:uiPriority w:val="99"/>
    <w:rPr>
      <w:rFonts w:ascii="Times New Roman" w:hAnsi="Times New Roman"/>
      <w:kern w:val="2"/>
      <w:sz w:val="16"/>
      <w:szCs w:val="16"/>
    </w:rPr>
  </w:style>
  <w:style w:type="paragraph" w:customStyle="1" w:styleId="198">
    <w:name w:val="点序列"/>
    <w:basedOn w:val="1"/>
    <w:qFormat/>
    <w:uiPriority w:val="0"/>
    <w:pPr>
      <w:widowControl/>
      <w:tabs>
        <w:tab w:val="left" w:pos="1145"/>
        <w:tab w:val="left" w:pos="1412"/>
      </w:tabs>
      <w:spacing w:line="400" w:lineRule="atLeast"/>
      <w:ind w:left="1412"/>
      <w:jc w:val="left"/>
    </w:pPr>
    <w:rPr>
      <w:kern w:val="0"/>
      <w:sz w:val="24"/>
      <w:szCs w:val="24"/>
    </w:rPr>
  </w:style>
  <w:style w:type="paragraph" w:customStyle="1" w:styleId="199">
    <w:name w:val="xl27"/>
    <w:basedOn w:val="1"/>
    <w:qFormat/>
    <w:uiPriority w:val="0"/>
    <w:pPr>
      <w:widowControl/>
      <w:spacing w:before="100" w:beforeAutospacing="1" w:after="100" w:afterAutospacing="1"/>
      <w:jc w:val="center"/>
      <w:textAlignment w:val="center"/>
    </w:pPr>
    <w:rPr>
      <w:rFonts w:hint="eastAsia" w:ascii="华文细黑" w:hAnsi="华文细黑" w:eastAsia="华文细黑" w:cs="Arial Unicode MS"/>
      <w:b/>
      <w:bCs/>
      <w:kern w:val="0"/>
      <w:sz w:val="22"/>
      <w:szCs w:val="22"/>
    </w:rPr>
  </w:style>
  <w:style w:type="paragraph" w:customStyle="1" w:styleId="200">
    <w:name w:val="段"/>
    <w:link w:val="21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1">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02">
    <w:name w:val="正文文本 Char Char"/>
    <w:basedOn w:val="1"/>
    <w:qFormat/>
    <w:uiPriority w:val="0"/>
    <w:pPr>
      <w:jc w:val="center"/>
    </w:pPr>
    <w:rPr>
      <w:rFonts w:hint="eastAsia" w:ascii="方正大黑简体" w:hAnsi="宋体" w:eastAsia="方正大黑简体"/>
      <w:kern w:val="44"/>
      <w:position w:val="6"/>
      <w:sz w:val="30"/>
    </w:rPr>
  </w:style>
  <w:style w:type="character" w:customStyle="1" w:styleId="203">
    <w:name w:val="日期 Char1"/>
    <w:basedOn w:val="45"/>
    <w:semiHidden/>
    <w:qFormat/>
    <w:uiPriority w:val="99"/>
    <w:rPr>
      <w:rFonts w:ascii="Times New Roman" w:hAnsi="Times New Roman"/>
      <w:kern w:val="2"/>
      <w:sz w:val="28"/>
    </w:rPr>
  </w:style>
  <w:style w:type="character" w:customStyle="1" w:styleId="204">
    <w:name w:val="文档结构图 Char"/>
    <w:basedOn w:val="45"/>
    <w:link w:val="14"/>
    <w:qFormat/>
    <w:uiPriority w:val="0"/>
    <w:rPr>
      <w:rFonts w:ascii="宋体" w:hAnsi="宋体"/>
      <w:kern w:val="21"/>
      <w:sz w:val="28"/>
      <w:shd w:val="clear" w:color="auto" w:fill="000080"/>
      <w:lang w:eastAsia="ar-SA"/>
    </w:rPr>
  </w:style>
  <w:style w:type="character" w:customStyle="1" w:styleId="205">
    <w:name w:val="正文文本缩进 Char1"/>
    <w:basedOn w:val="45"/>
    <w:semiHidden/>
    <w:qFormat/>
    <w:uiPriority w:val="99"/>
    <w:rPr>
      <w:rFonts w:ascii="Times New Roman" w:hAnsi="Times New Roman"/>
      <w:kern w:val="2"/>
      <w:sz w:val="28"/>
    </w:rPr>
  </w:style>
  <w:style w:type="character" w:customStyle="1" w:styleId="206">
    <w:name w:val="页眉 Char1"/>
    <w:basedOn w:val="45"/>
    <w:semiHidden/>
    <w:qFormat/>
    <w:uiPriority w:val="99"/>
    <w:rPr>
      <w:rFonts w:ascii="Times New Roman" w:hAnsi="Times New Roman"/>
      <w:kern w:val="2"/>
      <w:sz w:val="18"/>
      <w:szCs w:val="18"/>
    </w:rPr>
  </w:style>
  <w:style w:type="character" w:customStyle="1" w:styleId="207">
    <w:name w:val="正文文本缩进 3 Char1"/>
    <w:basedOn w:val="45"/>
    <w:semiHidden/>
    <w:qFormat/>
    <w:uiPriority w:val="99"/>
    <w:rPr>
      <w:rFonts w:ascii="Times New Roman" w:hAnsi="Times New Roman"/>
      <w:kern w:val="2"/>
      <w:sz w:val="16"/>
      <w:szCs w:val="16"/>
    </w:rPr>
  </w:style>
  <w:style w:type="paragraph" w:customStyle="1" w:styleId="208">
    <w:name w:val="样式 加粗 居中"/>
    <w:basedOn w:val="1"/>
    <w:qFormat/>
    <w:uiPriority w:val="0"/>
    <w:pPr>
      <w:spacing w:before="156" w:beforeLines="50" w:line="360" w:lineRule="auto"/>
      <w:ind w:right="210" w:rightChars="100"/>
      <w:jc w:val="center"/>
    </w:pPr>
    <w:rPr>
      <w:rFonts w:ascii="宋体" w:hAnsi="宋体" w:cs="宋体"/>
      <w:b/>
      <w:bCs/>
      <w:kern w:val="0"/>
      <w:sz w:val="24"/>
      <w:szCs w:val="24"/>
    </w:rPr>
  </w:style>
  <w:style w:type="character" w:customStyle="1" w:styleId="209">
    <w:name w:val="apple-converted-space"/>
    <w:qFormat/>
    <w:uiPriority w:val="0"/>
  </w:style>
  <w:style w:type="paragraph" w:customStyle="1" w:styleId="210">
    <w:name w:val="列出段落2"/>
    <w:basedOn w:val="1"/>
    <w:qFormat/>
    <w:uiPriority w:val="0"/>
    <w:pPr>
      <w:ind w:firstLine="420" w:firstLineChars="200"/>
    </w:pPr>
  </w:style>
  <w:style w:type="paragraph" w:customStyle="1" w:styleId="211">
    <w:name w:val="sty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13">
    <w:name w:val="正文首行缩进 Char"/>
    <w:basedOn w:val="195"/>
    <w:link w:val="42"/>
    <w:qFormat/>
    <w:uiPriority w:val="0"/>
    <w:rPr>
      <w:rFonts w:ascii="Times New Roman" w:hAnsi="Times New Roman"/>
      <w:kern w:val="2"/>
      <w:sz w:val="28"/>
      <w:szCs w:val="24"/>
    </w:rPr>
  </w:style>
  <w:style w:type="paragraph" w:customStyle="1" w:styleId="214">
    <w:name w:val="列出段落21"/>
    <w:basedOn w:val="1"/>
    <w:qFormat/>
    <w:uiPriority w:val="99"/>
    <w:pPr>
      <w:ind w:firstLine="420" w:firstLineChars="200"/>
    </w:pPr>
    <w:rPr>
      <w:rFonts w:ascii="Calibri" w:hAnsi="Calibri"/>
      <w:sz w:val="21"/>
      <w:szCs w:val="22"/>
    </w:rPr>
  </w:style>
  <w:style w:type="character" w:customStyle="1" w:styleId="215">
    <w:name w:val="段 Char"/>
    <w:link w:val="200"/>
    <w:qFormat/>
    <w:locked/>
    <w:uiPriority w:val="0"/>
    <w:rPr>
      <w:rFonts w:ascii="宋体" w:hAnsi="Times New Roman"/>
      <w:sz w:val="21"/>
    </w:rPr>
  </w:style>
  <w:style w:type="paragraph" w:customStyle="1" w:styleId="216">
    <w:name w:val="一级条标题"/>
    <w:next w:val="200"/>
    <w:qFormat/>
    <w:uiPriority w:val="0"/>
    <w:pPr>
      <w:spacing w:beforeLines="50"/>
      <w:outlineLvl w:val="2"/>
    </w:pPr>
    <w:rPr>
      <w:rFonts w:ascii="黑体" w:hAnsi="Times New Roman" w:eastAsia="黑体" w:cs="Times New Roman"/>
      <w:sz w:val="21"/>
      <w:szCs w:val="21"/>
      <w:lang w:val="en-US" w:eastAsia="zh-CN" w:bidi="ar-SA"/>
    </w:rPr>
  </w:style>
  <w:style w:type="paragraph" w:customStyle="1" w:styleId="217">
    <w:name w:val="章标题"/>
    <w:next w:val="200"/>
    <w:qFormat/>
    <w:uiPriority w:val="0"/>
    <w:pPr>
      <w:spacing w:beforeLines="100"/>
      <w:ind w:left="2310"/>
      <w:jc w:val="both"/>
      <w:outlineLvl w:val="1"/>
    </w:pPr>
    <w:rPr>
      <w:rFonts w:ascii="黑体" w:hAnsi="Times New Roman" w:eastAsia="黑体" w:cs="Times New Roman"/>
      <w:sz w:val="21"/>
      <w:lang w:val="en-US" w:eastAsia="zh-CN" w:bidi="ar-SA"/>
    </w:rPr>
  </w:style>
  <w:style w:type="paragraph" w:customStyle="1" w:styleId="218">
    <w:name w:val="四级条标题"/>
    <w:basedOn w:val="187"/>
    <w:next w:val="200"/>
    <w:qFormat/>
    <w:uiPriority w:val="0"/>
    <w:pPr>
      <w:numPr>
        <w:ilvl w:val="0"/>
        <w:numId w:val="0"/>
      </w:numPr>
      <w:tabs>
        <w:tab w:val="clear" w:pos="360"/>
      </w:tabs>
      <w:spacing w:beforeLines="50" w:afterLines="50"/>
      <w:outlineLvl w:val="5"/>
    </w:pPr>
    <w:rPr>
      <w:rFonts w:ascii="黑体"/>
      <w:sz w:val="21"/>
      <w:szCs w:val="21"/>
    </w:rPr>
  </w:style>
  <w:style w:type="paragraph" w:customStyle="1" w:styleId="219">
    <w:name w:val="五级条标题"/>
    <w:basedOn w:val="218"/>
    <w:next w:val="200"/>
    <w:qFormat/>
    <w:uiPriority w:val="0"/>
    <w:pPr>
      <w:outlineLvl w:val="6"/>
    </w:pPr>
  </w:style>
  <w:style w:type="paragraph" w:customStyle="1" w:styleId="220">
    <w:name w:val="二级无"/>
    <w:basedOn w:val="188"/>
    <w:qFormat/>
    <w:uiPriority w:val="0"/>
    <w:pPr>
      <w:numPr>
        <w:ilvl w:val="2"/>
        <w:numId w:val="1"/>
      </w:numPr>
      <w:spacing w:before="50" w:after="50"/>
    </w:pPr>
    <w:rPr>
      <w:rFonts w:ascii="宋体" w:eastAsia="宋体"/>
      <w:sz w:val="21"/>
      <w:szCs w:val="21"/>
    </w:rPr>
  </w:style>
  <w:style w:type="paragraph" w:customStyle="1" w:styleId="221">
    <w:name w:val="附录表标号"/>
    <w:basedOn w:val="1"/>
    <w:next w:val="200"/>
    <w:qFormat/>
    <w:uiPriority w:val="0"/>
    <w:pPr>
      <w:numPr>
        <w:ilvl w:val="0"/>
        <w:numId w:val="5"/>
      </w:numPr>
      <w:spacing w:line="14" w:lineRule="exact"/>
      <w:ind w:left="811" w:hanging="448"/>
      <w:jc w:val="center"/>
      <w:outlineLvl w:val="0"/>
    </w:pPr>
    <w:rPr>
      <w:color w:val="FFFFFF"/>
      <w:sz w:val="21"/>
      <w:szCs w:val="24"/>
    </w:rPr>
  </w:style>
  <w:style w:type="paragraph" w:customStyle="1" w:styleId="222">
    <w:name w:val="附录表标题"/>
    <w:basedOn w:val="1"/>
    <w:next w:val="200"/>
    <w:qFormat/>
    <w:uiPriority w:val="0"/>
    <w:pPr>
      <w:numPr>
        <w:ilvl w:val="1"/>
        <w:numId w:val="5"/>
      </w:numPr>
      <w:spacing w:beforeLines="50"/>
      <w:ind w:left="7090"/>
      <w:jc w:val="center"/>
    </w:pPr>
    <w:rPr>
      <w:rFonts w:ascii="黑体" w:eastAsia="黑体"/>
      <w:sz w:val="21"/>
      <w:szCs w:val="21"/>
    </w:rPr>
  </w:style>
  <w:style w:type="paragraph" w:customStyle="1" w:styleId="223">
    <w:name w:val="三级无"/>
    <w:basedOn w:val="187"/>
    <w:qFormat/>
    <w:uiPriority w:val="0"/>
    <w:pPr>
      <w:numPr>
        <w:ilvl w:val="3"/>
        <w:numId w:val="1"/>
      </w:numPr>
      <w:tabs>
        <w:tab w:val="clear" w:pos="360"/>
      </w:tabs>
      <w:spacing w:before="50" w:after="50"/>
    </w:pPr>
    <w:rPr>
      <w:rFonts w:ascii="宋体" w:eastAsia="宋体"/>
      <w:sz w:val="21"/>
      <w:szCs w:val="21"/>
    </w:rPr>
  </w:style>
  <w:style w:type="paragraph" w:customStyle="1" w:styleId="224">
    <w:name w:val="p15"/>
    <w:basedOn w:val="1"/>
    <w:qFormat/>
    <w:uiPriority w:val="0"/>
    <w:pPr>
      <w:widowControl/>
    </w:pPr>
    <w:rPr>
      <w:rFonts w:ascii="Wingdings" w:hAnsi="Wingdings" w:cs="宋体"/>
      <w:kern w:val="0"/>
      <w:szCs w:val="28"/>
    </w:rPr>
  </w:style>
  <w:style w:type="paragraph" w:customStyle="1" w:styleId="225">
    <w:name w:val="N.表格文字正文"/>
    <w:basedOn w:val="1"/>
    <w:qFormat/>
    <w:uiPriority w:val="0"/>
    <w:pPr>
      <w:ind w:firstLine="0" w:firstLineChars="0"/>
    </w:pPr>
    <w:rPr>
      <w:sz w:val="21"/>
    </w:rPr>
  </w:style>
  <w:style w:type="character" w:customStyle="1" w:styleId="226">
    <w:name w:val="标题 4 字符"/>
    <w:basedOn w:val="45"/>
    <w:link w:val="5"/>
    <w:qFormat/>
    <w:uiPriority w:val="9"/>
    <w:rPr>
      <w:rFonts w:ascii="Cambria" w:hAnsi="Cambria" w:eastAsia="宋体" w:cs="Times New Roman"/>
      <w:b/>
      <w:bCs/>
      <w:kern w:val="0"/>
      <w:sz w:val="28"/>
      <w:szCs w:val="28"/>
      <w:lang w:val="zh-CN" w:eastAsia="zh-CN"/>
    </w:rPr>
  </w:style>
  <w:style w:type="paragraph" w:customStyle="1" w:styleId="227">
    <w:name w:val="列出段落"/>
    <w:basedOn w:val="1"/>
    <w:qFormat/>
    <w:uiPriority w:val="34"/>
    <w:pPr>
      <w:spacing w:line="360" w:lineRule="auto"/>
      <w:ind w:firstLine="420" w:firstLineChars="200"/>
    </w:pPr>
    <w:rPr>
      <w:rFonts w:ascii="Calibri" w:hAnsi="Calibri"/>
      <w:sz w:val="24"/>
      <w:szCs w:val="22"/>
    </w:rPr>
  </w:style>
  <w:style w:type="character" w:customStyle="1" w:styleId="228">
    <w:name w:val="font31"/>
    <w:basedOn w:val="45"/>
    <w:qFormat/>
    <w:uiPriority w:val="0"/>
    <w:rPr>
      <w:rFonts w:hint="eastAsia" w:ascii="宋体" w:hAnsi="宋体" w:eastAsia="宋体" w:cs="宋体"/>
      <w:color w:val="000000"/>
      <w:sz w:val="20"/>
      <w:szCs w:val="20"/>
      <w:u w:val="none"/>
    </w:rPr>
  </w:style>
  <w:style w:type="paragraph" w:customStyle="1" w:styleId="229">
    <w:name w:val="纯文本1"/>
    <w:basedOn w:val="1"/>
    <w:qFormat/>
    <w:uiPriority w:val="0"/>
    <w:rPr>
      <w:rFonts w:ascii="宋体" w:hAnsi="Courier New"/>
      <w:kern w:val="0"/>
      <w:sz w:val="20"/>
      <w:szCs w:val="21"/>
    </w:rPr>
  </w:style>
  <w:style w:type="paragraph" w:customStyle="1" w:styleId="230">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998F8A-BBDD-49DA-A73C-311B83E07B4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2343</Words>
  <Characters>13356</Characters>
  <Lines>111</Lines>
  <Paragraphs>31</Paragraphs>
  <TotalTime>4</TotalTime>
  <ScaleCrop>false</ScaleCrop>
  <LinksUpToDate>false</LinksUpToDate>
  <CharactersWithSpaces>15668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2017-05-24T09:14:00Z</dcterms:created>
  <dc:creator>Administrator</dc:creator>
  <cp:lastModifiedBy>破晓前丶诀别</cp:lastModifiedBy>
  <dcterms:modified xsi:type="dcterms:W3CDTF">2019-08-14T07:28:02Z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