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lang w:eastAsia="zh-CN"/>
        </w:rPr>
        <w:t>鄂尔多斯市</w:t>
      </w:r>
      <w:r>
        <w:rPr>
          <w:rFonts w:hint="eastAsia" w:ascii="宋体" w:hAnsi="宋体"/>
          <w:b/>
          <w:bCs/>
          <w:color w:val="000000"/>
          <w:spacing w:val="36"/>
          <w:w w:val="66"/>
          <w:sz w:val="72"/>
          <w:szCs w:val="72"/>
        </w:rPr>
        <w:t>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b/>
          <w:color w:val="000000"/>
          <w:szCs w:val="28"/>
        </w:rPr>
        <w:t xml:space="preserve"> </w:t>
      </w: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1"/>
        <w:spacing w:line="360" w:lineRule="auto"/>
        <w:ind w:left="2476" w:leftChars="337" w:hanging="1532" w:hangingChars="545"/>
        <w:rPr>
          <w:rFonts w:ascii="宋体" w:hAnsi="宋体" w:eastAsia="宋体"/>
          <w:color w:val="000000"/>
          <w:szCs w:val="28"/>
          <w:lang w:val="en-US"/>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准格尔旗大路医院采购脉动真空灭菌器项目</w:t>
      </w:r>
    </w:p>
    <w:p>
      <w:pPr>
        <w:pStyle w:val="11"/>
        <w:spacing w:line="360" w:lineRule="auto"/>
        <w:ind w:left="2335" w:leftChars="337" w:hanging="1391" w:hangingChars="495"/>
        <w:rPr>
          <w:rFonts w:hint="eastAsia" w:ascii="宋体" w:hAnsi="宋体" w:eastAsia="宋体"/>
          <w:color w:val="000000"/>
          <w:szCs w:val="28"/>
          <w:lang w:val="en-US" w:eastAsia="zh-CN"/>
        </w:rPr>
      </w:pPr>
      <w:r>
        <w:rPr>
          <w:rFonts w:hint="eastAsia" w:ascii="宋体" w:hAnsi="宋体" w:eastAsia="宋体"/>
          <w:color w:val="000000"/>
          <w:szCs w:val="28"/>
        </w:rPr>
        <w:t>项目编号：</w:t>
      </w:r>
      <w:r>
        <w:rPr>
          <w:rFonts w:hint="eastAsia" w:ascii="宋体" w:hAnsi="宋体" w:eastAsia="宋体"/>
          <w:color w:val="000000"/>
          <w:szCs w:val="28"/>
          <w:lang w:val="en-US" w:eastAsia="zh-CN"/>
        </w:rPr>
        <w:t>CG2018HGK1728-B</w:t>
      </w:r>
    </w:p>
    <w:p>
      <w:pPr>
        <w:pStyle w:val="11"/>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2018年</w:t>
      </w:r>
      <w:r>
        <w:rPr>
          <w:rFonts w:hint="eastAsia" w:ascii="宋体" w:hAnsi="宋体"/>
          <w:color w:val="000000"/>
          <w:szCs w:val="28"/>
          <w:lang w:val="en-US" w:eastAsia="zh-CN"/>
        </w:rPr>
        <w:t>11</w:t>
      </w:r>
      <w:r>
        <w:rPr>
          <w:rFonts w:hint="eastAsia" w:ascii="宋体" w:hAnsi="宋体"/>
          <w:color w:val="000000"/>
          <w:szCs w:val="28"/>
        </w:rPr>
        <w:t>月</w:t>
      </w:r>
      <w:r>
        <w:rPr>
          <w:rFonts w:hint="eastAsia" w:ascii="宋体" w:hAnsi="宋体"/>
          <w:color w:val="000000"/>
          <w:szCs w:val="28"/>
          <w:lang w:val="en-US" w:eastAsia="zh-CN"/>
        </w:rPr>
        <w:t>7</w:t>
      </w:r>
      <w:r>
        <w:rPr>
          <w:rFonts w:hint="eastAsia" w:ascii="宋体" w:hAnsi="宋体"/>
          <w:color w:val="000000"/>
          <w:szCs w:val="28"/>
        </w:rPr>
        <w:t>日</w:t>
      </w:r>
      <w:r>
        <w:rPr>
          <w:rFonts w:ascii="宋体" w:hAnsi="宋体"/>
          <w:color w:val="000000"/>
          <w:szCs w:val="28"/>
        </w:rPr>
        <w:br w:type="page"/>
      </w:r>
    </w:p>
    <w:p>
      <w:pPr>
        <w:pStyle w:val="32"/>
        <w:spacing w:before="0" w:line="360" w:lineRule="auto"/>
        <w:jc w:val="center"/>
        <w:rPr>
          <w:rFonts w:ascii="宋体" w:hAnsi="宋体"/>
          <w:color w:val="000000"/>
        </w:rPr>
      </w:pPr>
      <w:r>
        <w:rPr>
          <w:rFonts w:hint="eastAsia" w:ascii="宋体" w:hAnsi="宋体"/>
          <w:color w:val="000000"/>
        </w:rPr>
        <w:t>目   录</w:t>
      </w:r>
    </w:p>
    <w:p>
      <w:pPr>
        <w:pStyle w:val="18"/>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6"/>
          <w:rFonts w:hint="eastAsia" w:ascii="宋体" w:hAnsi="宋体"/>
        </w:rPr>
        <w:t>第一章</w:t>
      </w:r>
      <w:r>
        <w:rPr>
          <w:rStyle w:val="26"/>
          <w:rFonts w:ascii="宋体" w:hAnsi="宋体"/>
        </w:rPr>
        <w:t xml:space="preserve"> </w:t>
      </w:r>
      <w:r>
        <w:rPr>
          <w:rStyle w:val="26"/>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6"/>
          <w:rFonts w:hint="eastAsia" w:ascii="宋体" w:hAnsi="宋体"/>
        </w:rPr>
        <w:t>第二章</w:t>
      </w:r>
      <w:r>
        <w:rPr>
          <w:rStyle w:val="26"/>
          <w:rFonts w:ascii="宋体" w:hAnsi="宋体"/>
        </w:rPr>
        <w:t xml:space="preserve"> </w:t>
      </w:r>
      <w:r>
        <w:rPr>
          <w:rStyle w:val="26"/>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6"/>
          <w:rFonts w:hint="eastAsia" w:ascii="宋体" w:hAnsi="宋体" w:cs="宋体"/>
        </w:rPr>
        <w:t>第三章</w:t>
      </w:r>
      <w:r>
        <w:rPr>
          <w:rStyle w:val="26"/>
          <w:rFonts w:ascii="宋体" w:hAnsi="宋体" w:cs="宋体"/>
        </w:rPr>
        <w:t xml:space="preserve"> </w:t>
      </w:r>
      <w:r>
        <w:rPr>
          <w:rStyle w:val="26"/>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6"/>
          <w:rFonts w:hint="eastAsia" w:ascii="宋体" w:hAnsi="宋体"/>
          <w:kern w:val="44"/>
          <w:lang w:val="zh-CN"/>
        </w:rPr>
        <w:t>第四章</w:t>
      </w:r>
      <w:r>
        <w:rPr>
          <w:rStyle w:val="26"/>
          <w:rFonts w:ascii="宋体" w:hAnsi="宋体"/>
          <w:kern w:val="44"/>
          <w:lang w:val="zh-CN"/>
        </w:rPr>
        <w:t xml:space="preserve"> </w:t>
      </w:r>
      <w:r>
        <w:rPr>
          <w:rStyle w:val="26"/>
          <w:rFonts w:hint="eastAsia" w:ascii="宋体" w:hAnsi="宋体"/>
          <w:kern w:val="44"/>
          <w:lang w:val="zh-CN"/>
        </w:rPr>
        <w:t>招标内容与技术要求</w:t>
      </w:r>
      <w:r>
        <w:tab/>
      </w:r>
      <w:r>
        <w:fldChar w:fldCharType="begin"/>
      </w:r>
      <w:r>
        <w:instrText xml:space="preserve"> PAGEREF _Toc497408660 \h </w:instrText>
      </w:r>
      <w:r>
        <w:fldChar w:fldCharType="separate"/>
      </w:r>
      <w:r>
        <w:t>19</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6"/>
          <w:rFonts w:hint="eastAsia" w:ascii="宋体" w:hAnsi="宋体"/>
          <w:kern w:val="44"/>
          <w:lang w:val="zh-CN"/>
        </w:rPr>
        <w:t>第五章</w:t>
      </w:r>
      <w:r>
        <w:rPr>
          <w:rStyle w:val="26"/>
          <w:rFonts w:ascii="宋体" w:hAnsi="宋体"/>
          <w:kern w:val="44"/>
          <w:lang w:val="zh-CN"/>
        </w:rPr>
        <w:t xml:space="preserve"> </w:t>
      </w:r>
      <w:r>
        <w:rPr>
          <w:rStyle w:val="26"/>
          <w:rFonts w:hint="eastAsia" w:ascii="宋体" w:hAnsi="宋体"/>
          <w:kern w:val="44"/>
          <w:lang w:val="zh-CN"/>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6"/>
          <w:rFonts w:hint="eastAsia" w:ascii="宋体" w:hAnsi="宋体"/>
          <w:kern w:val="44"/>
          <w:lang w:val="zh-CN"/>
        </w:rPr>
        <w:t>第六章</w:t>
      </w:r>
      <w:r>
        <w:rPr>
          <w:rStyle w:val="26"/>
          <w:rFonts w:ascii="宋体" w:hAnsi="宋体"/>
          <w:kern w:val="44"/>
          <w:lang w:val="zh-CN"/>
        </w:rPr>
        <w:t xml:space="preserve"> </w:t>
      </w:r>
      <w:r>
        <w:rPr>
          <w:rStyle w:val="26"/>
          <w:rFonts w:hint="eastAsia" w:ascii="宋体" w:hAnsi="宋体"/>
          <w:kern w:val="44"/>
          <w:lang w:val="zh-CN"/>
        </w:rPr>
        <w:t>评标办法（综合评分）</w:t>
      </w:r>
      <w:r>
        <w:tab/>
      </w:r>
      <w:r>
        <w:fldChar w:fldCharType="begin"/>
      </w:r>
      <w:r>
        <w:instrText xml:space="preserve"> PAGEREF _Toc497408662 \h </w:instrText>
      </w:r>
      <w:r>
        <w:fldChar w:fldCharType="separate"/>
      </w:r>
      <w:r>
        <w:t>21</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6"/>
          <w:rFonts w:hint="eastAsia" w:ascii="宋体" w:hAnsi="宋体"/>
        </w:rPr>
        <w:t>第七章</w:t>
      </w:r>
      <w:r>
        <w:rPr>
          <w:rStyle w:val="26"/>
          <w:rFonts w:ascii="宋体" w:hAnsi="宋体"/>
        </w:rPr>
        <w:t xml:space="preserve"> </w:t>
      </w:r>
      <w:r>
        <w:rPr>
          <w:rStyle w:val="26"/>
          <w:rFonts w:hint="eastAsia" w:ascii="宋体" w:hAnsi="宋体"/>
        </w:rPr>
        <w:t>投标文件格式与要求</w:t>
      </w:r>
      <w:r>
        <w:tab/>
      </w:r>
      <w:r>
        <w:fldChar w:fldCharType="begin"/>
      </w:r>
      <w:r>
        <w:instrText xml:space="preserve"> PAGEREF _Toc497408663 \h </w:instrText>
      </w:r>
      <w:r>
        <w:fldChar w:fldCharType="separate"/>
      </w:r>
      <w:r>
        <w:t>26</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6"/>
          <w:rFonts w:hint="eastAsia" w:ascii="宋体" w:hAnsi="宋体"/>
          <w:lang w:val="zh-CN"/>
        </w:rPr>
        <w:t>温馨提示</w:t>
      </w:r>
      <w:r>
        <w:tab/>
      </w:r>
      <w:r>
        <w:fldChar w:fldCharType="begin"/>
      </w:r>
      <w:r>
        <w:instrText xml:space="preserve"> PAGEREF _Toc497408664 \h </w:instrText>
      </w:r>
      <w:r>
        <w:fldChar w:fldCharType="separate"/>
      </w:r>
      <w:r>
        <w:t>53</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1120" w:firstLineChars="400"/>
        <w:jc w:val="left"/>
        <w:rPr>
          <w:rFonts w:ascii="宋体" w:hAnsi="宋体"/>
          <w:color w:val="000000"/>
          <w:szCs w:val="28"/>
        </w:rPr>
      </w:pPr>
      <w:r>
        <w:rPr>
          <w:rFonts w:hint="eastAsia" w:ascii="宋体" w:hAnsi="宋体"/>
          <w:color w:val="000000"/>
          <w:szCs w:val="28"/>
          <w:lang w:val="en-US" w:eastAsia="zh-CN"/>
        </w:rPr>
        <w:t>准格尔旗大路医院采购脉动真空灭菌器项目公开</w:t>
      </w:r>
      <w:r>
        <w:rPr>
          <w:rFonts w:hint="eastAsia" w:ascii="宋体" w:hAnsi="宋体"/>
          <w:color w:val="000000"/>
          <w:szCs w:val="28"/>
        </w:rPr>
        <w:t>招标公告</w:t>
      </w:r>
    </w:p>
    <w:p>
      <w:pPr>
        <w:spacing w:line="360" w:lineRule="auto"/>
        <w:ind w:firstLine="480" w:firstLineChars="200"/>
        <w:jc w:val="left"/>
        <w:rPr>
          <w:rFonts w:ascii="宋体" w:hAnsi="宋体"/>
          <w:color w:val="000000"/>
          <w:sz w:val="24"/>
          <w:szCs w:val="24"/>
        </w:rPr>
      </w:pPr>
      <w:r>
        <w:rPr>
          <w:rFonts w:hint="eastAsia" w:ascii="宋体" w:hAnsi="宋体"/>
          <w:sz w:val="24"/>
          <w:szCs w:val="24"/>
        </w:rPr>
        <w:t xml:space="preserve">    </w:t>
      </w:r>
      <w:r>
        <w:rPr>
          <w:rFonts w:hint="eastAsia" w:ascii="宋体" w:hAnsi="宋体"/>
          <w:sz w:val="24"/>
          <w:szCs w:val="24"/>
          <w:lang w:eastAsia="zh-CN"/>
        </w:rPr>
        <w:t>鄂尔多斯市</w:t>
      </w:r>
      <w:r>
        <w:rPr>
          <w:rFonts w:hint="eastAsia" w:ascii="宋体" w:hAnsi="宋体"/>
          <w:sz w:val="24"/>
          <w:szCs w:val="24"/>
        </w:rPr>
        <w:t>准格尔旗公共资源交易中心受准格尔旗</w:t>
      </w:r>
      <w:r>
        <w:rPr>
          <w:rFonts w:hint="eastAsia" w:ascii="宋体" w:hAnsi="宋体"/>
          <w:sz w:val="24"/>
          <w:szCs w:val="24"/>
          <w:lang w:eastAsia="zh-CN"/>
        </w:rPr>
        <w:t>大路医院</w:t>
      </w:r>
      <w:r>
        <w:rPr>
          <w:rFonts w:hint="eastAsia" w:ascii="宋体" w:hAnsi="宋体"/>
          <w:sz w:val="24"/>
          <w:szCs w:val="24"/>
        </w:rPr>
        <w:t>的委托，采用公开招标方式组织</w:t>
      </w:r>
      <w:r>
        <w:rPr>
          <w:rFonts w:hint="eastAsia" w:ascii="宋体" w:hAnsi="宋体"/>
          <w:sz w:val="24"/>
          <w:szCs w:val="24"/>
          <w:lang w:eastAsia="zh-CN"/>
        </w:rPr>
        <w:t>采购脉动真空灭菌器项目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31"/>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val="en-US"/>
        </w:rPr>
      </w:pPr>
      <w:r>
        <w:rPr>
          <w:rFonts w:hint="eastAsia" w:ascii="宋体" w:hAnsi="宋体"/>
          <w:sz w:val="24"/>
          <w:szCs w:val="24"/>
        </w:rPr>
        <w:t>项目名称：</w:t>
      </w:r>
      <w:r>
        <w:rPr>
          <w:rFonts w:hint="eastAsia" w:ascii="宋体" w:hAnsi="宋体"/>
          <w:sz w:val="24"/>
          <w:szCs w:val="24"/>
          <w:lang w:eastAsia="zh-CN"/>
        </w:rPr>
        <w:t>准格尔旗大路医院采购脉动真空灭菌器项目</w:t>
      </w:r>
    </w:p>
    <w:p>
      <w:pPr>
        <w:spacing w:line="360" w:lineRule="auto"/>
        <w:ind w:firstLine="480" w:firstLineChars="200"/>
        <w:jc w:val="left"/>
        <w:rPr>
          <w:rFonts w:hint="eastAsia" w:ascii="宋体" w:hAnsi="宋体"/>
          <w:sz w:val="24"/>
          <w:szCs w:val="24"/>
          <w:lang w:val="en-US" w:eastAsia="zh-CN"/>
        </w:rPr>
      </w:pPr>
      <w:r>
        <w:rPr>
          <w:rFonts w:hint="eastAsia" w:ascii="宋体" w:hAnsi="宋体"/>
          <w:sz w:val="24"/>
          <w:szCs w:val="24"/>
        </w:rPr>
        <w:t>采购文件编号：</w:t>
      </w:r>
      <w:r>
        <w:rPr>
          <w:rFonts w:hint="eastAsia" w:ascii="宋体" w:hAnsi="宋体"/>
          <w:sz w:val="24"/>
          <w:szCs w:val="24"/>
          <w:lang w:val="en-US" w:eastAsia="zh-CN"/>
        </w:rPr>
        <w:t>CG2018HGK1728-B</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19"/>
        <w:gridCol w:w="1626"/>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包号</w:t>
            </w:r>
          </w:p>
        </w:tc>
        <w:tc>
          <w:tcPr>
            <w:tcW w:w="3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30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eastAsia" w:ascii="宋体" w:hAnsi="宋体" w:eastAsia="宋体"/>
                <w:sz w:val="24"/>
                <w:szCs w:val="24"/>
                <w:lang w:val="en-US" w:eastAsia="zh-CN"/>
              </w:rPr>
            </w:pPr>
            <w:r>
              <w:rPr>
                <w:rFonts w:hint="eastAsia" w:ascii="宋体" w:hAnsi="宋体"/>
                <w:sz w:val="24"/>
                <w:szCs w:val="24"/>
                <w:lang w:eastAsia="zh-CN"/>
              </w:rPr>
              <w:t>脉动真空灭菌器项目</w:t>
            </w:r>
          </w:p>
        </w:tc>
        <w:tc>
          <w:tcPr>
            <w:tcW w:w="1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280000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color w:val="000000"/>
          <w:sz w:val="24"/>
          <w:szCs w:val="24"/>
        </w:rPr>
        <w:t>投标人应符合《中华人民共和国政府采购法》第二十二条规定的条件</w:t>
      </w:r>
      <w:r>
        <w:rPr>
          <w:rFonts w:hint="eastAsia" w:ascii="宋体" w:hAnsi="宋体"/>
          <w:color w:val="000000"/>
          <w:sz w:val="24"/>
          <w:szCs w:val="24"/>
          <w:lang w:val="en-US" w:eastAsia="zh-CN"/>
        </w:rPr>
        <w:t>.</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highlight w:val="red"/>
        </w:rPr>
        <w:t>2018年</w:t>
      </w:r>
      <w:r>
        <w:rPr>
          <w:rFonts w:hint="eastAsia" w:ascii="宋体" w:hAnsi="宋体"/>
          <w:sz w:val="24"/>
          <w:szCs w:val="24"/>
          <w:highlight w:val="red"/>
          <w:lang w:val="en-US" w:eastAsia="zh-CN"/>
        </w:rPr>
        <w:t>11</w:t>
      </w:r>
      <w:r>
        <w:rPr>
          <w:rFonts w:hint="eastAsia" w:ascii="宋体" w:hAnsi="宋体"/>
          <w:sz w:val="24"/>
          <w:szCs w:val="24"/>
          <w:highlight w:val="red"/>
        </w:rPr>
        <w:t>月</w:t>
      </w:r>
      <w:r>
        <w:rPr>
          <w:rFonts w:hint="eastAsia" w:ascii="宋体" w:hAnsi="宋体"/>
          <w:sz w:val="24"/>
          <w:szCs w:val="24"/>
          <w:highlight w:val="red"/>
          <w:lang w:val="en-US" w:eastAsia="zh-CN"/>
        </w:rPr>
        <w:t>7</w:t>
      </w:r>
      <w:r>
        <w:rPr>
          <w:rFonts w:hint="eastAsia" w:ascii="宋体" w:hAnsi="宋体"/>
          <w:sz w:val="24"/>
          <w:szCs w:val="24"/>
        </w:rPr>
        <w:t>日起登录内蒙古自治区政府采购网、内蒙古自治区公共资源交易网、鄂尔多斯市政府采购网或鄂尔多斯市公共资源交易网准格尔旗公共资源交易网站获取招标文件。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textAlignment w:val="baseline"/>
        <w:rPr>
          <w:rFonts w:ascii="宋体" w:hAnsi="宋体"/>
          <w:sz w:val="24"/>
          <w:szCs w:val="24"/>
        </w:rPr>
      </w:pPr>
      <w:r>
        <w:rPr>
          <w:rFonts w:hint="eastAsia" w:ascii="宋体" w:hAnsi="宋体"/>
          <w:sz w:val="24"/>
          <w:szCs w:val="24"/>
        </w:rPr>
        <w:t>5、准格尔旗公共资源交易网</w:t>
      </w:r>
    </w:p>
    <w:p>
      <w:pPr>
        <w:spacing w:line="360" w:lineRule="auto"/>
        <w:textAlignment w:val="baseline"/>
        <w:rPr>
          <w:rFonts w:ascii="宋体" w:hAnsi="宋体"/>
          <w:sz w:val="24"/>
          <w:szCs w:val="24"/>
        </w:rPr>
      </w:pPr>
      <w:r>
        <w:rPr>
          <w:rFonts w:hint="eastAsia" w:ascii="宋体" w:hAnsi="宋体"/>
          <w:sz w:val="24"/>
          <w:szCs w:val="24"/>
        </w:rPr>
        <w:t>（http://www.ordosggzyjy.org.cn/TPFront_zgeq/）。登陆网站页面，点击“政府采购”中的“采购公告”栏，查询采购信息，点击信息公告页面左下角“附件”即可浏览、下载招标文件。</w:t>
      </w:r>
    </w:p>
    <w:p>
      <w:pPr>
        <w:spacing w:line="360" w:lineRule="auto"/>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highlight w:val="red"/>
        </w:rPr>
        <w:t>2018年</w:t>
      </w:r>
      <w:r>
        <w:rPr>
          <w:rFonts w:hint="eastAsia" w:ascii="宋体" w:hAnsi="宋体"/>
          <w:sz w:val="24"/>
          <w:szCs w:val="24"/>
          <w:highlight w:val="red"/>
          <w:lang w:val="en-US" w:eastAsia="zh-CN"/>
        </w:rPr>
        <w:t>11</w:t>
      </w:r>
      <w:r>
        <w:rPr>
          <w:rFonts w:hint="eastAsia" w:ascii="宋体" w:hAnsi="宋体"/>
          <w:sz w:val="24"/>
          <w:szCs w:val="24"/>
          <w:highlight w:val="red"/>
        </w:rPr>
        <w:t>月</w:t>
      </w:r>
      <w:r>
        <w:rPr>
          <w:rFonts w:hint="eastAsia" w:ascii="宋体" w:hAnsi="宋体"/>
          <w:sz w:val="24"/>
          <w:szCs w:val="24"/>
          <w:highlight w:val="red"/>
          <w:lang w:val="en-US" w:eastAsia="zh-CN"/>
        </w:rPr>
        <w:t>29</w:t>
      </w:r>
      <w:r>
        <w:rPr>
          <w:rFonts w:hint="eastAsia" w:ascii="宋体" w:hAnsi="宋体"/>
          <w:sz w:val="24"/>
          <w:szCs w:val="24"/>
          <w:highlight w:val="red"/>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w:t>
      </w:r>
      <w:r>
        <w:rPr>
          <w:rFonts w:hint="eastAsia" w:ascii="宋体" w:hAnsi="宋体"/>
          <w:sz w:val="24"/>
          <w:szCs w:val="24"/>
          <w:lang w:eastAsia="zh-CN"/>
        </w:rPr>
        <w:t>鄂尔多斯市</w:t>
      </w:r>
      <w:r>
        <w:rPr>
          <w:rFonts w:hint="eastAsia" w:ascii="宋体" w:hAnsi="宋体"/>
          <w:sz w:val="24"/>
          <w:szCs w:val="24"/>
        </w:rPr>
        <w:t>准格尔旗公共资源交易中心二楼会议室</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highlight w:val="red"/>
        </w:rPr>
        <w:t>2018年</w:t>
      </w:r>
      <w:r>
        <w:rPr>
          <w:rFonts w:hint="eastAsia" w:ascii="宋体" w:hAnsi="宋体"/>
          <w:sz w:val="24"/>
          <w:szCs w:val="24"/>
          <w:highlight w:val="red"/>
          <w:lang w:val="en-US" w:eastAsia="zh-CN"/>
        </w:rPr>
        <w:t>11</w:t>
      </w:r>
      <w:r>
        <w:rPr>
          <w:rFonts w:hint="eastAsia" w:ascii="宋体" w:hAnsi="宋体"/>
          <w:sz w:val="24"/>
          <w:szCs w:val="24"/>
          <w:highlight w:val="red"/>
        </w:rPr>
        <w:t>月</w:t>
      </w:r>
      <w:r>
        <w:rPr>
          <w:rFonts w:hint="eastAsia" w:ascii="宋体" w:hAnsi="宋体"/>
          <w:sz w:val="24"/>
          <w:szCs w:val="24"/>
          <w:highlight w:val="red"/>
          <w:lang w:val="en-US" w:eastAsia="zh-CN"/>
        </w:rPr>
        <w:t>29</w:t>
      </w:r>
      <w:r>
        <w:rPr>
          <w:rFonts w:hint="eastAsia" w:ascii="宋体" w:hAnsi="宋体"/>
          <w:sz w:val="24"/>
          <w:szCs w:val="24"/>
          <w:highlight w:val="red"/>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sz w:val="24"/>
          <w:szCs w:val="24"/>
          <w:lang w:eastAsia="zh-CN"/>
        </w:rPr>
        <w:t>鄂尔多斯市</w:t>
      </w:r>
      <w:r>
        <w:rPr>
          <w:rFonts w:hint="eastAsia" w:ascii="宋体" w:hAnsi="宋体"/>
          <w:sz w:val="24"/>
          <w:szCs w:val="24"/>
        </w:rPr>
        <w:t xml:space="preserve">准格尔旗公共资源交易中心二楼会议室 </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lang w:eastAsia="zh-CN"/>
        </w:rPr>
        <w:t>鄂尔多斯市</w:t>
      </w:r>
      <w:r>
        <w:rPr>
          <w:rFonts w:hint="eastAsia" w:ascii="宋体" w:hAnsi="宋体"/>
          <w:sz w:val="24"/>
          <w:szCs w:val="24"/>
        </w:rPr>
        <w:t>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准格尔旗大路新区图书馆南楼</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firstLine="480" w:firstLineChars="200"/>
        <w:rPr>
          <w:rFonts w:hint="eastAsia" w:ascii="宋体" w:hAnsi="宋体" w:eastAsia="宋体"/>
          <w:color w:val="000000"/>
          <w:szCs w:val="28"/>
          <w:lang w:eastAsia="zh-CN"/>
        </w:rPr>
      </w:pPr>
      <w:r>
        <w:rPr>
          <w:rFonts w:hint="eastAsia" w:ascii="宋体" w:hAnsi="宋体"/>
          <w:sz w:val="24"/>
          <w:szCs w:val="24"/>
        </w:rPr>
        <w:t>采购单位名称：准格尔旗</w:t>
      </w:r>
      <w:r>
        <w:rPr>
          <w:rFonts w:hint="eastAsia" w:ascii="宋体" w:hAnsi="宋体"/>
          <w:sz w:val="24"/>
          <w:szCs w:val="24"/>
          <w:lang w:eastAsia="zh-CN"/>
        </w:rPr>
        <w:t>大路医院</w:t>
      </w:r>
    </w:p>
    <w:p>
      <w:pPr>
        <w:spacing w:line="360" w:lineRule="auto"/>
        <w:ind w:firstLine="480" w:firstLineChars="200"/>
        <w:rPr>
          <w:rFonts w:ascii="宋体" w:hAnsi="宋体"/>
          <w:sz w:val="24"/>
          <w:szCs w:val="24"/>
        </w:rPr>
      </w:pPr>
      <w:r>
        <w:rPr>
          <w:rFonts w:hint="eastAsia" w:ascii="宋体" w:hAnsi="宋体"/>
          <w:sz w:val="24"/>
          <w:szCs w:val="24"/>
        </w:rPr>
        <w:t>地址：准格尔旗薛家湾镇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张华</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15924400416</w:t>
      </w:r>
    </w:p>
    <w:p>
      <w:pPr>
        <w:spacing w:line="360" w:lineRule="auto"/>
        <w:ind w:firstLine="4800" w:firstLineChars="2000"/>
        <w:rPr>
          <w:rFonts w:ascii="宋体" w:hAnsi="宋体"/>
          <w:sz w:val="24"/>
          <w:szCs w:val="24"/>
        </w:rPr>
      </w:pPr>
      <w:r>
        <w:rPr>
          <w:rFonts w:hint="eastAsia" w:ascii="宋体" w:hAnsi="宋体"/>
          <w:sz w:val="24"/>
          <w:szCs w:val="24"/>
          <w:lang w:eastAsia="zh-CN"/>
        </w:rPr>
        <w:t>鄂尔多斯市</w:t>
      </w:r>
      <w:r>
        <w:rPr>
          <w:rFonts w:hint="eastAsia" w:ascii="宋体" w:hAnsi="宋体"/>
          <w:sz w:val="24"/>
          <w:szCs w:val="24"/>
        </w:rPr>
        <w:t>准格尔旗公共资源交易中心</w:t>
      </w:r>
    </w:p>
    <w:p>
      <w:pPr>
        <w:ind w:firstLine="6240" w:firstLineChars="2600"/>
        <w:rPr>
          <w:rFonts w:ascii="宋体" w:hAnsi="宋体"/>
          <w:sz w:val="24"/>
          <w:szCs w:val="24"/>
        </w:rPr>
      </w:pPr>
      <w:r>
        <w:rPr>
          <w:rFonts w:hint="eastAsia" w:ascii="宋体" w:hAnsi="宋体"/>
          <w:sz w:val="24"/>
          <w:szCs w:val="24"/>
        </w:rPr>
        <w:t>2018年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7</w:t>
      </w:r>
      <w:r>
        <w:rPr>
          <w:rFonts w:hint="eastAsia" w:ascii="宋体" w:hAnsi="宋体"/>
          <w:sz w:val="24"/>
          <w:szCs w:val="24"/>
        </w:rPr>
        <w:t>日</w:t>
      </w: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7"/>
        <w:tblW w:w="984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131"/>
        <w:gridCol w:w="6735"/>
        <w:gridCol w:w="2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Cs w:val="28"/>
              </w:rPr>
            </w:pPr>
            <w:r>
              <w:rPr>
                <w:rFonts w:hint="eastAsia" w:ascii="宋体" w:hAnsi="宋体"/>
                <w:sz w:val="24"/>
                <w:szCs w:val="24"/>
              </w:rPr>
              <w:t>准格尔旗</w:t>
            </w:r>
            <w:r>
              <w:rPr>
                <w:rFonts w:hint="eastAsia" w:ascii="宋体" w:hAnsi="宋体"/>
                <w:sz w:val="24"/>
                <w:szCs w:val="24"/>
                <w:lang w:eastAsia="zh-CN"/>
              </w:rPr>
              <w:t>大路医院</w:t>
            </w:r>
            <w:r>
              <w:rPr>
                <w:rFonts w:hint="eastAsia" w:ascii="宋体" w:hAnsi="宋体"/>
                <w:sz w:val="24"/>
                <w:szCs w:val="24"/>
              </w:rPr>
              <w:t>院</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联系人：</w:t>
            </w:r>
            <w:r>
              <w:rPr>
                <w:rFonts w:hint="eastAsia" w:ascii="宋体" w:hAnsi="宋体"/>
                <w:color w:val="000000"/>
                <w:sz w:val="24"/>
                <w:szCs w:val="24"/>
                <w:lang w:eastAsia="zh-CN"/>
              </w:rPr>
              <w:t>张华</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15924400416</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地址：准格尔旗</w:t>
            </w:r>
            <w:r>
              <w:rPr>
                <w:rFonts w:hint="eastAsia" w:ascii="宋体" w:hAnsi="宋体"/>
                <w:color w:val="000000"/>
                <w:sz w:val="24"/>
                <w:szCs w:val="24"/>
                <w:lang w:eastAsia="zh-CN"/>
              </w:rPr>
              <w:t>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w:t>
            </w:r>
            <w:r>
              <w:rPr>
                <w:rFonts w:hint="eastAsia" w:ascii="宋体" w:hAnsi="宋体"/>
                <w:color w:val="000000"/>
                <w:sz w:val="24"/>
                <w:szCs w:val="24"/>
              </w:rPr>
              <w:t xml:space="preserve">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28万</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r>
              <w:rPr>
                <w:rFonts w:hint="eastAsia" w:ascii="宋体" w:hAnsi="宋体"/>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color w:val="000000"/>
                <w:sz w:val="24"/>
                <w:szCs w:val="24"/>
                <w:lang w:eastAsia="zh-CN"/>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w:t>
            </w:r>
            <w:r>
              <w:rPr>
                <w:rFonts w:hint="eastAsia" w:ascii="宋体" w:hAnsi="宋体"/>
                <w:color w:val="000000"/>
                <w:sz w:val="24"/>
                <w:szCs w:val="24"/>
                <w:lang w:eastAsia="zh-CN"/>
              </w:rPr>
              <w:t>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red"/>
              </w:rPr>
              <w:t>2018年</w:t>
            </w:r>
            <w:r>
              <w:rPr>
                <w:rFonts w:hint="eastAsia" w:ascii="宋体" w:hAnsi="宋体"/>
                <w:color w:val="000000"/>
                <w:sz w:val="24"/>
                <w:szCs w:val="24"/>
                <w:highlight w:val="red"/>
                <w:lang w:val="en-US" w:eastAsia="zh-CN"/>
              </w:rPr>
              <w:t>11</w:t>
            </w:r>
            <w:r>
              <w:rPr>
                <w:rFonts w:hint="eastAsia" w:ascii="宋体" w:hAnsi="宋体"/>
                <w:color w:val="000000"/>
                <w:sz w:val="24"/>
                <w:szCs w:val="24"/>
                <w:highlight w:val="red"/>
              </w:rPr>
              <w:t>月</w:t>
            </w:r>
            <w:r>
              <w:rPr>
                <w:rFonts w:hint="eastAsia" w:ascii="宋体" w:hAnsi="宋体"/>
                <w:color w:val="000000"/>
                <w:sz w:val="24"/>
                <w:szCs w:val="24"/>
                <w:highlight w:val="red"/>
                <w:lang w:val="en-US" w:eastAsia="zh-CN"/>
              </w:rPr>
              <w:t>29</w:t>
            </w:r>
            <w:r>
              <w:rPr>
                <w:rFonts w:hint="eastAsia" w:ascii="宋体" w:hAnsi="宋体"/>
                <w:color w:val="000000"/>
                <w:sz w:val="24"/>
                <w:szCs w:val="24"/>
                <w:highlight w:val="red"/>
              </w:rPr>
              <w:t xml:space="preserve">日9时00分--10时00分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red"/>
              </w:rPr>
              <w:t>2018年</w:t>
            </w:r>
            <w:r>
              <w:rPr>
                <w:rFonts w:hint="eastAsia" w:ascii="宋体" w:hAnsi="宋体"/>
                <w:color w:val="000000"/>
                <w:sz w:val="24"/>
                <w:szCs w:val="24"/>
                <w:highlight w:val="red"/>
                <w:lang w:val="en-US" w:eastAsia="zh-CN"/>
              </w:rPr>
              <w:t>11</w:t>
            </w:r>
            <w:r>
              <w:rPr>
                <w:rFonts w:hint="eastAsia" w:ascii="宋体" w:hAnsi="宋体"/>
                <w:color w:val="000000"/>
                <w:sz w:val="24"/>
                <w:szCs w:val="24"/>
                <w:highlight w:val="red"/>
              </w:rPr>
              <w:t>月</w:t>
            </w:r>
            <w:r>
              <w:rPr>
                <w:rFonts w:hint="eastAsia" w:ascii="宋体" w:hAnsi="宋体"/>
                <w:color w:val="000000"/>
                <w:sz w:val="24"/>
                <w:szCs w:val="24"/>
                <w:highlight w:val="red"/>
                <w:lang w:val="en-US" w:eastAsia="zh-CN"/>
              </w:rPr>
              <w:t>29</w:t>
            </w:r>
            <w:r>
              <w:rPr>
                <w:rFonts w:hint="eastAsia" w:ascii="宋体" w:hAnsi="宋体"/>
                <w:color w:val="000000"/>
                <w:sz w:val="24"/>
                <w:szCs w:val="24"/>
                <w:highlight w:val="red"/>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lang w:eastAsia="zh-CN"/>
              </w:rPr>
              <w:t>鄂尔多斯市准</w:t>
            </w:r>
            <w:r>
              <w:rPr>
                <w:rFonts w:hint="eastAsia" w:ascii="宋体" w:hAnsi="宋体"/>
                <w:color w:val="000000"/>
                <w:sz w:val="24"/>
                <w:szCs w:val="24"/>
              </w:rPr>
              <w:t>格尔旗公共资源交易中心二楼开标室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13" w:type="dxa"/>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7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lang w:eastAsia="zh-CN"/>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lang w:val="en-US" w:eastAsia="zh-CN"/>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w:t>
            </w:r>
            <w:r>
              <w:rPr>
                <w:rFonts w:hint="eastAsia" w:ascii="宋体" w:hAnsi="宋体"/>
                <w:b/>
                <w:color w:val="000000"/>
                <w:sz w:val="24"/>
                <w:szCs w:val="24"/>
                <w:u w:val="single"/>
                <w:lang w:eastAsia="zh-CN"/>
              </w:rPr>
              <w:t>准格尔旗</w:t>
            </w:r>
            <w:r>
              <w:rPr>
                <w:rFonts w:hint="eastAsia" w:ascii="宋体" w:hAnsi="宋体"/>
                <w:b/>
                <w:color w:val="000000"/>
                <w:sz w:val="24"/>
                <w:szCs w:val="24"/>
                <w:u w:val="single"/>
              </w:rPr>
              <w:t>公共资源交易</w:t>
            </w:r>
            <w:r>
              <w:rPr>
                <w:rFonts w:hint="eastAsia" w:ascii="宋体" w:hAnsi="宋体"/>
                <w:b/>
                <w:color w:val="000000"/>
                <w:sz w:val="24"/>
                <w:szCs w:val="24"/>
                <w:u w:val="single"/>
                <w:lang w:eastAsia="zh-CN"/>
              </w:rPr>
              <w:t>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hint="eastAsia" w:ascii="宋体" w:hAnsi="宋体" w:eastAsia="宋体"/>
                <w:color w:val="000000"/>
                <w:sz w:val="24"/>
                <w:szCs w:val="24"/>
                <w:lang w:val="en-US" w:eastAsia="zh-CN"/>
              </w:rPr>
            </w:pPr>
            <w:r>
              <w:rPr>
                <w:rFonts w:hint="eastAsia" w:ascii="宋体" w:hAnsi="宋体"/>
                <w:color w:val="000000"/>
                <w:sz w:val="24"/>
                <w:szCs w:val="24"/>
              </w:rPr>
              <w:t>投标保证金缴纳、退还联系人：</w:t>
            </w:r>
            <w:r>
              <w:rPr>
                <w:rFonts w:hint="eastAsia" w:ascii="宋体" w:hAnsi="宋体"/>
                <w:color w:val="000000"/>
                <w:sz w:val="24"/>
                <w:szCs w:val="24"/>
                <w:lang w:eastAsia="zh-CN"/>
              </w:rPr>
              <w:t>赵先生</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0477-</w:t>
            </w:r>
            <w:r>
              <w:rPr>
                <w:rFonts w:hint="eastAsia" w:ascii="宋体" w:hAnsi="宋体"/>
                <w:color w:val="000000"/>
                <w:sz w:val="24"/>
                <w:szCs w:val="24"/>
                <w:lang w:val="en-US" w:eastAsia="zh-CN"/>
              </w:rPr>
              <w:t>3864230</w:t>
            </w:r>
          </w:p>
          <w:p>
            <w:pPr>
              <w:spacing w:line="360" w:lineRule="auto"/>
              <w:rPr>
                <w:rFonts w:ascii="宋体" w:hAnsi="宋体"/>
                <w:color w:val="000000"/>
                <w:sz w:val="24"/>
                <w:szCs w:val="24"/>
              </w:rPr>
            </w:pPr>
            <w:r>
              <w:rPr>
                <w:rFonts w:hint="eastAsia" w:ascii="宋体" w:hAnsi="宋体"/>
                <w:color w:val="000000"/>
                <w:sz w:val="24"/>
                <w:szCs w:val="24"/>
                <w:lang w:eastAsia="zh-CN"/>
              </w:rPr>
              <w:t>准格尔煤田信用联社中山分社</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156"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hint="eastAsia" w:ascii="宋体" w:hAnsi="宋体"/>
          <w:b/>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7</w:t>
      </w:r>
      <w:r>
        <w:rPr>
          <w:rFonts w:hint="eastAsia" w:ascii="宋体" w:hAnsi="宋体" w:cs="宋体"/>
          <w:kern w:val="0"/>
          <w:sz w:val="24"/>
          <w:szCs w:val="24"/>
        </w:rPr>
        <w:t>日至</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16</w:t>
      </w:r>
      <w:r>
        <w:rPr>
          <w:rFonts w:hint="eastAsia" w:ascii="宋体" w:hAnsi="宋体" w:cs="宋体"/>
          <w:kern w:val="0"/>
          <w:sz w:val="24"/>
          <w:szCs w:val="24"/>
        </w:rPr>
        <w:t>日</w:t>
      </w:r>
      <w:r>
        <w:rPr>
          <w:rFonts w:hint="eastAsia" w:ascii="宋体" w:hAnsi="宋体" w:cs="宋体"/>
          <w:kern w:val="0"/>
          <w:sz w:val="24"/>
          <w:szCs w:val="24"/>
          <w:lang w:val="en-US" w:eastAsia="zh-CN"/>
        </w:rPr>
        <w:t>12时整</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29</w:t>
      </w:r>
      <w:r>
        <w:rPr>
          <w:rFonts w:hint="eastAsia" w:ascii="宋体" w:hAnsi="宋体" w:cs="宋体"/>
          <w:kern w:val="0"/>
          <w:sz w:val="24"/>
          <w:szCs w:val="24"/>
        </w:rPr>
        <w:t>日</w:t>
      </w:r>
      <w:r>
        <w:rPr>
          <w:rFonts w:hint="eastAsia" w:ascii="宋体" w:hAnsi="宋体" w:cs="宋体"/>
          <w:kern w:val="0"/>
          <w:sz w:val="24"/>
          <w:szCs w:val="24"/>
          <w:lang w:val="en-US" w:eastAsia="zh-CN"/>
        </w:rPr>
        <w:t>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lang w:eastAsia="zh-CN"/>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rPr>
          <w:rFonts w:hint="eastAsia" w:ascii="宋体" w:hAnsi="宋体"/>
          <w:sz w:val="24"/>
          <w:szCs w:val="24"/>
        </w:rPr>
      </w:pPr>
      <w:r>
        <w:rPr>
          <w:rFonts w:hint="eastAsia" w:ascii="宋体" w:hAnsi="宋体"/>
          <w:sz w:val="24"/>
          <w:szCs w:val="24"/>
        </w:rPr>
        <w:t>3.4网上报名成功而放弃参加投标的投标人，请在提交投标文件前</w:t>
      </w:r>
      <w:r>
        <w:rPr>
          <w:rFonts w:hint="eastAsia" w:ascii="宋体" w:hAnsi="宋体"/>
          <w:sz w:val="24"/>
          <w:szCs w:val="24"/>
          <w:lang w:val="en-US" w:eastAsia="zh-CN"/>
        </w:rPr>
        <w:t>3个工作日</w:t>
      </w:r>
      <w:r>
        <w:rPr>
          <w:rFonts w:hint="eastAsia" w:ascii="宋体" w:hAnsi="宋体"/>
          <w:sz w:val="24"/>
          <w:szCs w:val="24"/>
        </w:rPr>
        <w:t>以书面形式并加盖单位公章（扫描件发送至</w:t>
      </w:r>
      <w:r>
        <w:fldChar w:fldCharType="begin"/>
      </w:r>
      <w:r>
        <w:instrText xml:space="preserve"> HYPERLINK "javascript:;" </w:instrText>
      </w:r>
      <w:r>
        <w:fldChar w:fldCharType="separate"/>
      </w:r>
      <w:r>
        <w:rPr>
          <w:rStyle w:val="26"/>
          <w:rFonts w:hint="eastAsia" w:ascii="宋体" w:hAnsi="宋体" w:cs="宋体"/>
          <w:kern w:val="0"/>
          <w:sz w:val="24"/>
          <w:szCs w:val="24"/>
          <w:lang w:val="en-US" w:eastAsia="zh-CN"/>
        </w:rPr>
        <w:t>zqjycg</w:t>
      </w:r>
      <w:r>
        <w:rPr>
          <w:rStyle w:val="26"/>
          <w:rFonts w:ascii="宋体" w:hAnsi="宋体" w:cs="宋体"/>
          <w:kern w:val="0"/>
          <w:sz w:val="24"/>
          <w:szCs w:val="24"/>
        </w:rPr>
        <w:t>@163.com</w:t>
      </w:r>
      <w:r>
        <w:rPr>
          <w:rFonts w:ascii="宋体" w:hAnsi="宋体" w:cs="宋体"/>
          <w:kern w:val="0"/>
          <w:sz w:val="24"/>
          <w:szCs w:val="24"/>
        </w:rPr>
        <w:fldChar w:fldCharType="end"/>
      </w:r>
      <w:r>
        <w:rPr>
          <w:rFonts w:hint="eastAsia" w:ascii="宋体" w:hAnsi="宋体"/>
          <w:sz w:val="24"/>
          <w:szCs w:val="24"/>
        </w:rPr>
        <w:t>或书面送达）通知鄂尔多斯市</w:t>
      </w:r>
      <w:r>
        <w:rPr>
          <w:rFonts w:hint="eastAsia" w:ascii="宋体" w:hAnsi="宋体"/>
          <w:sz w:val="24"/>
          <w:szCs w:val="24"/>
          <w:lang w:eastAsia="zh-CN"/>
        </w:rPr>
        <w:t>准格尔旗公共资源交易</w:t>
      </w:r>
      <w:r>
        <w:rPr>
          <w:rFonts w:hint="eastAsia" w:ascii="宋体" w:hAnsi="宋体"/>
          <w:sz w:val="24"/>
          <w:szCs w:val="24"/>
        </w:rPr>
        <w:t>中心，并在网上报名页面中撤销报名。放弃投标未予告知的，鄂尔多斯市</w:t>
      </w:r>
      <w:r>
        <w:rPr>
          <w:rFonts w:hint="eastAsia" w:ascii="宋体" w:hAnsi="宋体"/>
          <w:sz w:val="24"/>
          <w:szCs w:val="24"/>
          <w:lang w:eastAsia="zh-CN"/>
        </w:rPr>
        <w:t>准格尔旗公共资源交易</w:t>
      </w:r>
      <w:r>
        <w:rPr>
          <w:rFonts w:hint="eastAsia" w:ascii="宋体" w:hAnsi="宋体"/>
          <w:sz w:val="24"/>
          <w:szCs w:val="24"/>
        </w:rPr>
        <w:t>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4"/>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4"/>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4"/>
        <w:adjustRightInd w:val="0"/>
        <w:snapToGrid w:val="0"/>
        <w:spacing w:line="360" w:lineRule="auto"/>
        <w:rPr>
          <w:rFonts w:hAnsi="宋体"/>
          <w:b/>
          <w:sz w:val="24"/>
          <w:szCs w:val="24"/>
        </w:rPr>
      </w:pPr>
      <w:r>
        <w:rPr>
          <w:rFonts w:hint="eastAsia" w:hAnsi="宋体"/>
          <w:b/>
          <w:sz w:val="24"/>
          <w:szCs w:val="24"/>
        </w:rPr>
        <w:t>3.投标费用</w:t>
      </w:r>
    </w:p>
    <w:p>
      <w:pPr>
        <w:pStyle w:val="1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color w:val="000000"/>
          <w:sz w:val="24"/>
          <w:szCs w:val="24"/>
          <w:lang w:eastAsia="zh-CN"/>
        </w:rPr>
        <w:t>准格尔旗大路医院）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鄂尔多斯市</w:t>
      </w:r>
      <w:r>
        <w:rPr>
          <w:rFonts w:hint="eastAsia" w:ascii="宋体" w:hAnsi="宋体"/>
          <w:color w:val="000000"/>
          <w:sz w:val="24"/>
          <w:szCs w:val="24"/>
        </w:rPr>
        <w:t>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w:t>
      </w:r>
      <w:r>
        <w:rPr>
          <w:rFonts w:hint="eastAsia" w:ascii="宋体" w:hAnsi="宋体"/>
          <w:sz w:val="24"/>
          <w:szCs w:val="24"/>
          <w:lang w:eastAsia="zh-CN"/>
        </w:rPr>
        <w:t>交易中心</w:t>
      </w:r>
      <w:r>
        <w:rPr>
          <w:rFonts w:hint="eastAsia" w:ascii="宋体" w:hAnsi="宋体"/>
          <w:sz w:val="24"/>
          <w:szCs w:val="24"/>
        </w:rPr>
        <w:t>对已发出的招标文件进行必要的澄清或修改的，澄清或者修改的内容可能影响投标文件编制的，采购人或者</w:t>
      </w:r>
      <w:r>
        <w:rPr>
          <w:rFonts w:hint="eastAsia" w:ascii="宋体" w:hAnsi="宋体"/>
          <w:sz w:val="24"/>
          <w:szCs w:val="24"/>
          <w:lang w:eastAsia="zh-CN"/>
        </w:rPr>
        <w:t>交易中心</w:t>
      </w:r>
      <w:r>
        <w:rPr>
          <w:rFonts w:hint="eastAsia" w:ascii="宋体" w:hAnsi="宋体"/>
          <w:sz w:val="24"/>
          <w:szCs w:val="24"/>
        </w:rPr>
        <w:t>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准格尔旗公共资源交易网”上发布澄清或者变更公告进行通知。澄清或者变更公告的内容为招标文件的组成部分，投标人应自行上网查询，采购人或</w:t>
      </w:r>
      <w:r>
        <w:rPr>
          <w:rFonts w:hint="eastAsia" w:ascii="宋体" w:hAnsi="宋体"/>
          <w:sz w:val="24"/>
          <w:szCs w:val="24"/>
          <w:lang w:eastAsia="zh-CN"/>
        </w:rPr>
        <w:t>交易中心</w:t>
      </w:r>
      <w:r>
        <w:rPr>
          <w:rFonts w:hint="eastAsia" w:ascii="宋体" w:hAnsi="宋体"/>
          <w:sz w:val="24"/>
          <w:szCs w:val="24"/>
        </w:rPr>
        <w:t>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sz w:val="24"/>
          <w:szCs w:val="24"/>
          <w:lang w:eastAsia="zh-CN"/>
        </w:rPr>
        <w:t>交易中心</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交易中心将在内蒙古自治区政府采购网、内蒙古自治区公共资源交易网、鄂尔多斯市政府采购网和鄂尔多斯市公共资源交易网及准格尔旗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准格尔旗公共资源交易中心20</w:t>
      </w:r>
      <w:r>
        <w:rPr>
          <w:rFonts w:hint="eastAsia" w:ascii="宋体" w:hAnsi="宋体"/>
          <w:color w:val="000000"/>
          <w:sz w:val="24"/>
          <w:szCs w:val="24"/>
          <w:lang w:val="en-US" w:eastAsia="zh-CN"/>
        </w:rPr>
        <w:t>4</w:t>
      </w:r>
      <w:r>
        <w:rPr>
          <w:rFonts w:hint="eastAsia" w:ascii="宋体" w:hAnsi="宋体"/>
          <w:color w:val="000000"/>
          <w:sz w:val="24"/>
          <w:szCs w:val="24"/>
        </w:rPr>
        <w:t>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交易中心</w:t>
      </w:r>
      <w:r>
        <w:rPr>
          <w:rFonts w:hint="eastAsia" w:ascii="宋体" w:hAnsi="宋体"/>
          <w:sz w:val="24"/>
          <w:szCs w:val="24"/>
        </w:rPr>
        <w:t>的答复不满意或者采购人、</w:t>
      </w:r>
      <w:r>
        <w:rPr>
          <w:rFonts w:hint="eastAsia" w:ascii="宋体" w:hAnsi="宋体"/>
          <w:sz w:val="24"/>
          <w:szCs w:val="24"/>
          <w:lang w:eastAsia="zh-CN"/>
        </w:rPr>
        <w:t>交易中心</w:t>
      </w:r>
      <w:r>
        <w:rPr>
          <w:rFonts w:hint="eastAsia" w:ascii="宋体" w:hAnsi="宋体"/>
          <w:sz w:val="24"/>
          <w:szCs w:val="24"/>
        </w:rPr>
        <w:t>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22"/>
        <w:spacing w:line="360" w:lineRule="auto"/>
        <w:jc w:val="both"/>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pStyle w:val="22"/>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自合同签订之日起2个工作日内，中标人应将政府采购合同送达至准格尔旗公共资源交易中心20</w:t>
      </w:r>
      <w:r>
        <w:rPr>
          <w:rFonts w:hint="eastAsia" w:ascii="宋体" w:hAnsi="宋体"/>
          <w:sz w:val="24"/>
          <w:szCs w:val="24"/>
          <w:lang w:val="en-US" w:eastAsia="zh-CN"/>
        </w:rPr>
        <w:t>4</w:t>
      </w:r>
      <w:r>
        <w:rPr>
          <w:rFonts w:hint="eastAsia" w:ascii="宋体" w:hAnsi="宋体"/>
          <w:sz w:val="24"/>
          <w:szCs w:val="24"/>
        </w:rPr>
        <w:t>室（ 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政府采购相关范本）。验收合格后2个工作日内，中标人应将政府采购项目验收单送达至准格尔旗公共资源交易中心20</w:t>
      </w:r>
      <w:r>
        <w:rPr>
          <w:rFonts w:hint="eastAsia" w:ascii="宋体" w:hAnsi="宋体"/>
          <w:sz w:val="24"/>
          <w:szCs w:val="24"/>
          <w:lang w:val="en-US" w:eastAsia="zh-CN"/>
        </w:rPr>
        <w:t>4</w:t>
      </w:r>
      <w:r>
        <w:rPr>
          <w:rFonts w:hint="eastAsia" w:ascii="宋体" w:hAnsi="宋体"/>
          <w:sz w:val="24"/>
          <w:szCs w:val="24"/>
        </w:rPr>
        <w:t>室（ 联系电话：0477-3864233）存档。逾期未验收或未按时交回验收单，将按照相关法律法规做出相应处罚。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color w:val="FF0000"/>
          <w:sz w:val="24"/>
          <w:szCs w:val="24"/>
        </w:rPr>
      </w:pPr>
      <w:r>
        <w:rPr>
          <w:rFonts w:hint="eastAsia" w:ascii="宋体" w:hAnsi="宋体"/>
          <w:b/>
          <w:sz w:val="24"/>
          <w:szCs w:val="24"/>
        </w:rPr>
        <w:t>甲方：</w:t>
      </w:r>
      <w:r>
        <w:rPr>
          <w:rFonts w:hint="eastAsia" w:ascii="宋体" w:hAnsi="宋体"/>
          <w:b/>
          <w:color w:val="FF0000"/>
          <w:sz w:val="24"/>
          <w:szCs w:val="24"/>
        </w:rPr>
        <w:t>***（填写采购单位）</w:t>
      </w:r>
    </w:p>
    <w:p>
      <w:pPr>
        <w:rPr>
          <w:rFonts w:ascii="宋体" w:hAnsi="宋体"/>
          <w:b/>
          <w:sz w:val="24"/>
          <w:szCs w:val="24"/>
        </w:rPr>
      </w:pPr>
      <w:r>
        <w:rPr>
          <w:rFonts w:hint="eastAsia" w:ascii="宋体" w:hAnsi="宋体"/>
          <w:b/>
          <w:sz w:val="24"/>
          <w:szCs w:val="24"/>
        </w:rPr>
        <w:t>地址（详细地址）：</w:t>
      </w:r>
    </w:p>
    <w:p>
      <w:pPr>
        <w:rPr>
          <w:rFonts w:ascii="宋体" w:hAnsi="宋体"/>
          <w:b/>
          <w:color w:val="FF0000"/>
          <w:sz w:val="24"/>
          <w:szCs w:val="24"/>
        </w:rPr>
      </w:pPr>
      <w:r>
        <w:rPr>
          <w:rFonts w:hint="eastAsia" w:ascii="宋体" w:hAnsi="宋体"/>
          <w:b/>
          <w:sz w:val="24"/>
          <w:szCs w:val="24"/>
        </w:rPr>
        <w:t>乙方：</w:t>
      </w:r>
      <w:r>
        <w:rPr>
          <w:rFonts w:hint="eastAsia" w:ascii="宋体" w:hAnsi="宋体"/>
          <w:b/>
          <w:color w:val="FF0000"/>
          <w:sz w:val="24"/>
          <w:szCs w:val="24"/>
        </w:rPr>
        <w:t>***（填写中标投标人）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r>
        <w:rPr>
          <w:rFonts w:hint="eastAsia" w:ascii="宋体" w:hAnsi="宋体"/>
          <w:sz w:val="24"/>
          <w:szCs w:val="24"/>
          <w:u w:val="single"/>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w:t>
      </w:r>
      <w:r>
        <w:rPr>
          <w:rFonts w:hint="eastAsia" w:ascii="宋体" w:hAnsi="宋体"/>
          <w:sz w:val="24"/>
          <w:szCs w:val="24"/>
          <w:u w:val="single"/>
        </w:rPr>
        <w:t xml:space="preserve">     </w:t>
      </w:r>
      <w:r>
        <w:rPr>
          <w:rFonts w:hint="eastAsia" w:ascii="宋体" w:hAnsi="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w:t>
      </w:r>
      <w:r>
        <w:rPr>
          <w:rFonts w:hint="eastAsia" w:ascii="宋体" w:hAnsi="宋体"/>
          <w:color w:val="E36C0A"/>
          <w:sz w:val="24"/>
          <w:szCs w:val="24"/>
          <w:u w:val="single"/>
        </w:rPr>
        <w:t xml:space="preserve">（投标文件售后承诺等） </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（二）向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w:t>
      </w:r>
      <w:r>
        <w:rPr>
          <w:rFonts w:hint="eastAsia" w:ascii="宋体" w:hAnsi="宋体"/>
          <w:sz w:val="24"/>
          <w:szCs w:val="24"/>
          <w:lang w:val="en-US" w:eastAsia="zh-CN"/>
        </w:rPr>
        <w:t xml:space="preserve">  </w:t>
      </w:r>
      <w:r>
        <w:rPr>
          <w:rFonts w:hint="eastAsia" w:ascii="宋体" w:hAnsi="宋体"/>
          <w:sz w:val="24"/>
          <w:szCs w:val="24"/>
          <w:lang w:eastAsia="zh-CN"/>
        </w:rPr>
        <w:t>交易</w:t>
      </w:r>
      <w:r>
        <w:rPr>
          <w:rFonts w:hint="eastAsia" w:ascii="宋体" w:hAnsi="宋体"/>
          <w:sz w:val="24"/>
          <w:szCs w:val="24"/>
        </w:rPr>
        <w:t>中心、</w:t>
      </w:r>
      <w:r>
        <w:rPr>
          <w:rFonts w:hint="eastAsia" w:ascii="宋体" w:hAnsi="宋体"/>
          <w:sz w:val="24"/>
          <w:szCs w:val="24"/>
          <w:lang w:val="en-US" w:eastAsia="zh-CN"/>
        </w:rPr>
        <w:t xml:space="preserve"> </w:t>
      </w:r>
      <w:r>
        <w:rPr>
          <w:rFonts w:hint="eastAsia" w:ascii="宋体" w:hAnsi="宋体"/>
          <w:sz w:val="24"/>
          <w:szCs w:val="24"/>
        </w:rPr>
        <w:t>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numPr>
          <w:ilvl w:val="0"/>
          <w:numId w:val="2"/>
        </w:numPr>
        <w:jc w:val="center"/>
        <w:outlineLvl w:val="0"/>
        <w:rPr>
          <w:rFonts w:hint="eastAsia" w:ascii="宋体" w:hAnsi="宋体"/>
          <w:b/>
          <w:bCs/>
          <w:color w:val="000000"/>
          <w:kern w:val="44"/>
          <w:sz w:val="24"/>
          <w:szCs w:val="24"/>
          <w:lang w:val="zh-CN"/>
        </w:rPr>
      </w:pPr>
      <w:bookmarkStart w:id="5" w:name="_Toc497408660"/>
      <w:r>
        <w:rPr>
          <w:rFonts w:hint="eastAsia" w:ascii="宋体" w:hAnsi="宋体"/>
          <w:b/>
          <w:bCs/>
          <w:color w:val="000000"/>
          <w:kern w:val="44"/>
          <w:sz w:val="24"/>
          <w:szCs w:val="24"/>
          <w:lang w:val="zh-CN"/>
        </w:rPr>
        <w:t>招标内容与技术要求</w:t>
      </w:r>
      <w:bookmarkEnd w:id="5"/>
    </w:p>
    <w:p>
      <w:pPr>
        <w:widowControl w:val="0"/>
        <w:numPr>
          <w:ilvl w:val="0"/>
          <w:numId w:val="0"/>
        </w:numPr>
        <w:jc w:val="both"/>
        <w:outlineLvl w:val="0"/>
        <w:rPr>
          <w:rFonts w:hint="eastAsia" w:ascii="宋体" w:hAnsi="宋体"/>
          <w:b/>
          <w:bCs/>
          <w:color w:val="000000"/>
          <w:kern w:val="44"/>
          <w:sz w:val="24"/>
          <w:szCs w:val="24"/>
          <w:lang w:val="zh-CN"/>
        </w:rPr>
      </w:pPr>
    </w:p>
    <w:p>
      <w:pPr>
        <w:numPr>
          <w:ilvl w:val="0"/>
          <w:numId w:val="3"/>
        </w:numPr>
        <w:ind w:firstLine="361" w:firstLineChars="150"/>
        <w:rPr>
          <w:rFonts w:hint="eastAsia" w:ascii="宋体" w:hAnsi="宋体"/>
          <w:b/>
          <w:bCs/>
          <w:color w:val="000000"/>
          <w:kern w:val="44"/>
          <w:sz w:val="24"/>
          <w:szCs w:val="24"/>
          <w:lang w:val="zh-CN"/>
        </w:rPr>
      </w:pPr>
      <w:r>
        <w:rPr>
          <w:rFonts w:hint="eastAsia" w:ascii="宋体" w:hAnsi="宋体"/>
          <w:b/>
          <w:bCs/>
          <w:color w:val="000000"/>
          <w:kern w:val="44"/>
          <w:sz w:val="24"/>
          <w:szCs w:val="24"/>
          <w:lang w:val="zh-CN"/>
        </w:rPr>
        <w:t>主要商务要求</w:t>
      </w:r>
    </w:p>
    <w:p>
      <w:pPr>
        <w:widowControl w:val="0"/>
        <w:numPr>
          <w:ilvl w:val="0"/>
          <w:numId w:val="0"/>
        </w:numPr>
        <w:jc w:val="both"/>
        <w:rPr>
          <w:rFonts w:hint="eastAsia" w:ascii="宋体" w:hAnsi="宋体"/>
          <w:b/>
          <w:bCs/>
          <w:color w:val="000000"/>
          <w:kern w:val="44"/>
          <w:sz w:val="24"/>
          <w:szCs w:val="24"/>
          <w:lang w:val="zh-CN"/>
        </w:rPr>
      </w:pPr>
    </w:p>
    <w:p>
      <w:pPr>
        <w:widowControl w:val="0"/>
        <w:numPr>
          <w:ilvl w:val="0"/>
          <w:numId w:val="0"/>
        </w:numPr>
        <w:jc w:val="both"/>
        <w:rPr>
          <w:rFonts w:hint="eastAsia" w:ascii="宋体" w:hAnsi="宋体"/>
          <w:b/>
          <w:bCs/>
          <w:color w:val="000000"/>
          <w:kern w:val="44"/>
          <w:sz w:val="24"/>
          <w:szCs w:val="24"/>
          <w:lang w:val="en-US" w:eastAsia="zh-CN"/>
        </w:rPr>
      </w:pPr>
      <w:r>
        <w:rPr>
          <w:rFonts w:hint="eastAsia" w:ascii="宋体" w:hAnsi="宋体"/>
          <w:b/>
          <w:bCs/>
          <w:color w:val="000000"/>
          <w:kern w:val="44"/>
          <w:sz w:val="24"/>
          <w:szCs w:val="24"/>
          <w:lang w:val="zh-CN"/>
        </w:rPr>
        <w:t>付款方式：货到验收合格后付</w:t>
      </w:r>
      <w:r>
        <w:rPr>
          <w:rFonts w:hint="eastAsia" w:ascii="宋体" w:hAnsi="宋体"/>
          <w:b/>
          <w:bCs/>
          <w:color w:val="000000"/>
          <w:kern w:val="44"/>
          <w:sz w:val="24"/>
          <w:szCs w:val="24"/>
          <w:lang w:val="en-US" w:eastAsia="zh-CN"/>
        </w:rPr>
        <w:t>50%，半年后付40%，剩余10%质保期满后付清</w:t>
      </w:r>
    </w:p>
    <w:p>
      <w:pPr>
        <w:widowControl w:val="0"/>
        <w:numPr>
          <w:ilvl w:val="0"/>
          <w:numId w:val="0"/>
        </w:numPr>
        <w:jc w:val="both"/>
        <w:rPr>
          <w:rFonts w:hint="eastAsia" w:ascii="宋体" w:hAnsi="宋体"/>
          <w:b/>
          <w:bCs/>
          <w:color w:val="000000"/>
          <w:kern w:val="44"/>
          <w:sz w:val="24"/>
          <w:szCs w:val="24"/>
          <w:lang w:val="en-US" w:eastAsia="zh-CN"/>
        </w:rPr>
      </w:pPr>
      <w:r>
        <w:rPr>
          <w:rFonts w:hint="eastAsia" w:ascii="宋体" w:hAnsi="宋体"/>
          <w:b/>
          <w:bCs/>
          <w:color w:val="000000"/>
          <w:kern w:val="44"/>
          <w:sz w:val="24"/>
          <w:szCs w:val="24"/>
          <w:lang w:val="en-US" w:eastAsia="zh-CN"/>
        </w:rPr>
        <w:t>供货期：合同签订后20日历天</w:t>
      </w:r>
    </w:p>
    <w:p>
      <w:pPr>
        <w:widowControl w:val="0"/>
        <w:numPr>
          <w:ilvl w:val="0"/>
          <w:numId w:val="0"/>
        </w:numPr>
        <w:jc w:val="both"/>
        <w:rPr>
          <w:rFonts w:hint="eastAsia" w:ascii="宋体" w:hAnsi="宋体"/>
          <w:b/>
          <w:bCs/>
          <w:color w:val="000000"/>
          <w:kern w:val="44"/>
          <w:sz w:val="24"/>
          <w:szCs w:val="24"/>
          <w:lang w:val="zh-CN"/>
        </w:rPr>
      </w:pPr>
    </w:p>
    <w:p>
      <w:pPr>
        <w:rPr>
          <w:rFonts w:hint="eastAsia"/>
          <w:sz w:val="28"/>
          <w:szCs w:val="28"/>
          <w:lang w:eastAsia="zh-CN"/>
        </w:rPr>
      </w:pPr>
      <w:r>
        <w:rPr>
          <w:rFonts w:hint="eastAsia"/>
          <w:sz w:val="28"/>
          <w:szCs w:val="28"/>
          <w:lang w:val="en-US" w:eastAsia="zh-CN"/>
        </w:rPr>
        <w:t>一</w:t>
      </w:r>
      <w:r>
        <w:rPr>
          <w:rFonts w:hint="eastAsia"/>
          <w:sz w:val="28"/>
          <w:szCs w:val="28"/>
          <w:lang w:eastAsia="zh-CN"/>
        </w:rPr>
        <w:t>、技术要求</w:t>
      </w:r>
    </w:p>
    <w:p>
      <w:pPr>
        <w:rPr>
          <w:rFonts w:hint="eastAsia"/>
          <w:sz w:val="28"/>
          <w:szCs w:val="28"/>
          <w:lang w:eastAsia="zh-CN"/>
        </w:rPr>
      </w:pPr>
      <w:r>
        <w:rPr>
          <w:rFonts w:hint="eastAsia"/>
          <w:sz w:val="28"/>
          <w:szCs w:val="28"/>
          <w:lang w:eastAsia="zh-CN"/>
        </w:rPr>
        <w:t xml:space="preserve">1、基本要求：双门、内置蒸汽发生器、容积为 650L </w:t>
      </w:r>
    </w:p>
    <w:p>
      <w:pPr>
        <w:rPr>
          <w:rFonts w:hint="eastAsia"/>
          <w:sz w:val="28"/>
          <w:szCs w:val="28"/>
          <w:lang w:eastAsia="zh-CN"/>
        </w:rPr>
      </w:pPr>
      <w:r>
        <w:rPr>
          <w:rFonts w:hint="eastAsia"/>
          <w:sz w:val="28"/>
          <w:szCs w:val="28"/>
          <w:lang w:eastAsia="zh-CN"/>
        </w:rPr>
        <w:t>2、高强度的主体结构 环形加强筋主体结构，主体强度高，设计压力达到 0.3MPa，经久耐用。使用寿命， 内壳和夹层全</w:t>
      </w:r>
      <w:r>
        <w:rPr>
          <w:rFonts w:hint="eastAsia"/>
          <w:sz w:val="28"/>
          <w:szCs w:val="28"/>
          <w:lang w:val="en-US" w:eastAsia="zh-CN"/>
        </w:rPr>
        <w:t>不锈钢</w:t>
      </w:r>
      <w:r>
        <w:rPr>
          <w:rFonts w:hint="eastAsia"/>
          <w:sz w:val="28"/>
          <w:szCs w:val="28"/>
          <w:lang w:eastAsia="zh-CN"/>
        </w:rPr>
        <w:t>304 材质，使用寿命不低于 10 年（灭菌循环不少于 20000 次） 。</w:t>
      </w:r>
    </w:p>
    <w:p>
      <w:pPr>
        <w:rPr>
          <w:rFonts w:hint="eastAsia"/>
          <w:sz w:val="28"/>
          <w:szCs w:val="28"/>
          <w:lang w:eastAsia="zh-CN"/>
        </w:rPr>
      </w:pPr>
      <w:r>
        <w:rPr>
          <w:rFonts w:hint="eastAsia"/>
          <w:sz w:val="28"/>
          <w:szCs w:val="28"/>
          <w:lang w:eastAsia="zh-CN"/>
        </w:rPr>
        <w:t>3、焊接工艺</w:t>
      </w:r>
    </w:p>
    <w:p>
      <w:pPr>
        <w:rPr>
          <w:rFonts w:hint="eastAsia"/>
          <w:sz w:val="28"/>
          <w:szCs w:val="28"/>
          <w:lang w:eastAsia="zh-CN"/>
        </w:rPr>
      </w:pPr>
      <w:r>
        <w:rPr>
          <w:rFonts w:hint="eastAsia"/>
          <w:sz w:val="28"/>
          <w:szCs w:val="28"/>
          <w:lang w:eastAsia="zh-CN"/>
        </w:rPr>
        <w:t>机器人全自动焊接成形，焊接质量要求稳定可靠。</w:t>
      </w:r>
    </w:p>
    <w:p>
      <w:pPr>
        <w:rPr>
          <w:rFonts w:hint="eastAsia"/>
          <w:sz w:val="28"/>
          <w:szCs w:val="28"/>
          <w:lang w:eastAsia="zh-CN"/>
        </w:rPr>
      </w:pPr>
      <w:r>
        <w:rPr>
          <w:rFonts w:hint="eastAsia"/>
          <w:sz w:val="28"/>
          <w:szCs w:val="28"/>
          <w:lang w:eastAsia="zh-CN"/>
        </w:rPr>
        <w:t>4、密封结构安全可靠</w:t>
      </w:r>
    </w:p>
    <w:p>
      <w:pPr>
        <w:rPr>
          <w:rFonts w:hint="eastAsia"/>
          <w:sz w:val="28"/>
          <w:szCs w:val="28"/>
          <w:lang w:eastAsia="zh-CN"/>
        </w:rPr>
      </w:pPr>
      <w:r>
        <w:rPr>
          <w:rFonts w:hint="eastAsia"/>
          <w:sz w:val="28"/>
          <w:szCs w:val="28"/>
          <w:lang w:eastAsia="zh-CN"/>
        </w:rPr>
        <w:t>密封门采用圆形密封圈进行密封，使用寿命长，密封效果好。具有技术监督局鉴定的快开门安全联锁装置。</w:t>
      </w:r>
    </w:p>
    <w:p>
      <w:pPr>
        <w:rPr>
          <w:rFonts w:hint="eastAsia"/>
          <w:sz w:val="28"/>
          <w:szCs w:val="28"/>
          <w:lang w:eastAsia="zh-CN"/>
        </w:rPr>
      </w:pPr>
      <w:r>
        <w:rPr>
          <w:rFonts w:hint="eastAsia"/>
          <w:sz w:val="28"/>
          <w:szCs w:val="28"/>
          <w:lang w:eastAsia="zh-CN"/>
        </w:rPr>
        <w:t>5、夹层和内室压力智能化控制</w:t>
      </w:r>
    </w:p>
    <w:p>
      <w:pPr>
        <w:rPr>
          <w:rFonts w:hint="eastAsia"/>
          <w:sz w:val="28"/>
          <w:szCs w:val="28"/>
          <w:lang w:eastAsia="zh-CN"/>
        </w:rPr>
      </w:pPr>
      <w:r>
        <w:rPr>
          <w:rFonts w:hint="eastAsia"/>
          <w:sz w:val="28"/>
          <w:szCs w:val="28"/>
          <w:lang w:eastAsia="zh-CN"/>
        </w:rPr>
        <w:t>夹层和内室均使用压力变送器进行控制，无需人工调节夹层压力。</w:t>
      </w:r>
    </w:p>
    <w:p>
      <w:pPr>
        <w:numPr>
          <w:ilvl w:val="0"/>
          <w:numId w:val="4"/>
        </w:numPr>
        <w:rPr>
          <w:rFonts w:hint="eastAsia"/>
          <w:sz w:val="28"/>
          <w:szCs w:val="28"/>
          <w:lang w:eastAsia="zh-CN"/>
        </w:rPr>
      </w:pPr>
      <w:r>
        <w:rPr>
          <w:rFonts w:hint="eastAsia"/>
          <w:sz w:val="28"/>
          <w:szCs w:val="28"/>
          <w:lang w:eastAsia="zh-CN"/>
        </w:rPr>
        <w:t xml:space="preserve">真空系统要求低噪声节水 </w:t>
      </w:r>
    </w:p>
    <w:p>
      <w:pPr>
        <w:numPr>
          <w:ilvl w:val="0"/>
          <w:numId w:val="0"/>
        </w:numPr>
        <w:rPr>
          <w:rFonts w:hint="eastAsia"/>
          <w:sz w:val="28"/>
          <w:szCs w:val="28"/>
          <w:lang w:eastAsia="zh-CN"/>
        </w:rPr>
      </w:pPr>
      <w:r>
        <w:rPr>
          <w:rFonts w:hint="eastAsia"/>
          <w:sz w:val="28"/>
          <w:szCs w:val="28"/>
          <w:lang w:eastAsia="zh-CN"/>
        </w:rPr>
        <w:t>7、管道工艺布局要合理，节省安装空间，便于维修</w:t>
      </w:r>
    </w:p>
    <w:p>
      <w:pPr>
        <w:rPr>
          <w:rFonts w:hint="eastAsia"/>
          <w:sz w:val="28"/>
          <w:szCs w:val="28"/>
          <w:lang w:eastAsia="zh-CN"/>
        </w:rPr>
      </w:pPr>
      <w:r>
        <w:rPr>
          <w:rFonts w:hint="eastAsia"/>
          <w:sz w:val="28"/>
          <w:szCs w:val="28"/>
          <w:lang w:val="en-US" w:eastAsia="zh-CN"/>
        </w:rPr>
        <w:t>*</w:t>
      </w:r>
      <w:r>
        <w:rPr>
          <w:rFonts w:hint="eastAsia"/>
          <w:sz w:val="28"/>
          <w:szCs w:val="28"/>
          <w:lang w:eastAsia="zh-CN"/>
        </w:rPr>
        <w:t>设备的管路和电气控制箱位于设备的同一侧，便于维修。 （具体为：在打包区即半洁净区，面向灭菌器门站立，设备的管路和电气控制箱应位于设备的左侧。）</w:t>
      </w:r>
    </w:p>
    <w:p>
      <w:pPr>
        <w:rPr>
          <w:rFonts w:hint="eastAsia"/>
          <w:sz w:val="28"/>
          <w:szCs w:val="28"/>
          <w:lang w:eastAsia="zh-CN"/>
        </w:rPr>
      </w:pPr>
      <w:r>
        <w:rPr>
          <w:rFonts w:hint="eastAsia"/>
          <w:sz w:val="28"/>
          <w:szCs w:val="28"/>
          <w:lang w:val="en-US" w:eastAsia="zh-CN"/>
        </w:rPr>
        <w:t>*</w:t>
      </w:r>
      <w:bookmarkStart w:id="29" w:name="_GoBack"/>
      <w:bookmarkEnd w:id="29"/>
      <w:r>
        <w:rPr>
          <w:rFonts w:hint="eastAsia"/>
          <w:sz w:val="28"/>
          <w:szCs w:val="28"/>
          <w:lang w:eastAsia="zh-CN"/>
        </w:rPr>
        <w:t xml:space="preserve">最大安装空间：1800mm*1355mm*2040mm（深*宽*高） ，设备带脚轮。 </w:t>
      </w:r>
    </w:p>
    <w:p>
      <w:pPr>
        <w:rPr>
          <w:rFonts w:hint="eastAsia"/>
          <w:sz w:val="28"/>
          <w:szCs w:val="28"/>
          <w:lang w:eastAsia="zh-CN"/>
        </w:rPr>
      </w:pPr>
      <w:r>
        <w:rPr>
          <w:rFonts w:hint="eastAsia"/>
          <w:sz w:val="28"/>
          <w:szCs w:val="28"/>
          <w:lang w:eastAsia="zh-CN"/>
        </w:rPr>
        <w:t>8、装卸载系统</w:t>
      </w:r>
    </w:p>
    <w:p>
      <w:pPr>
        <w:rPr>
          <w:rFonts w:hint="eastAsia"/>
          <w:sz w:val="28"/>
          <w:szCs w:val="28"/>
          <w:lang w:eastAsia="zh-CN"/>
        </w:rPr>
      </w:pPr>
      <w:r>
        <w:rPr>
          <w:rFonts w:hint="eastAsia"/>
          <w:sz w:val="28"/>
          <w:szCs w:val="28"/>
          <w:lang w:eastAsia="zh-CN"/>
        </w:rPr>
        <w:t>地上安装的设备，消毒车搬运车组合装卸载。</w:t>
      </w:r>
    </w:p>
    <w:p>
      <w:pPr>
        <w:rPr>
          <w:rFonts w:hint="eastAsia"/>
          <w:sz w:val="28"/>
          <w:szCs w:val="28"/>
          <w:lang w:eastAsia="zh-CN"/>
        </w:rPr>
      </w:pPr>
      <w:r>
        <w:rPr>
          <w:rFonts w:hint="eastAsia"/>
          <w:sz w:val="28"/>
          <w:szCs w:val="28"/>
          <w:lang w:eastAsia="zh-CN"/>
        </w:rPr>
        <w:t>9、灭菌程序</w:t>
      </w:r>
    </w:p>
    <w:p>
      <w:pPr>
        <w:rPr>
          <w:rFonts w:hint="eastAsia"/>
          <w:sz w:val="28"/>
          <w:szCs w:val="28"/>
          <w:lang w:eastAsia="zh-CN"/>
        </w:rPr>
      </w:pPr>
      <w:r>
        <w:rPr>
          <w:rFonts w:hint="eastAsia"/>
          <w:sz w:val="28"/>
          <w:szCs w:val="28"/>
          <w:lang w:eastAsia="zh-CN"/>
        </w:rPr>
        <w:t>具有织物敷料、常规器械、热敏材料、快速程序、骨科器械、朊病毒、管腔负载、重型负载、小型负载、敞口液体、重力程序等灭菌程序，具有 B&amp;D 测试、泄露测试等测试类程序，具有冷锅预热、辅助干燥等辅助类程序。</w:t>
      </w:r>
    </w:p>
    <w:p>
      <w:pPr>
        <w:rPr>
          <w:rFonts w:hint="eastAsia"/>
          <w:sz w:val="28"/>
          <w:szCs w:val="28"/>
          <w:lang w:eastAsia="zh-CN"/>
        </w:rPr>
      </w:pPr>
      <w:r>
        <w:rPr>
          <w:rFonts w:hint="eastAsia"/>
          <w:sz w:val="28"/>
          <w:szCs w:val="28"/>
          <w:lang w:eastAsia="zh-CN"/>
        </w:rPr>
        <w:t>10、控制系统</w:t>
      </w:r>
    </w:p>
    <w:p>
      <w:pPr>
        <w:rPr>
          <w:rFonts w:hint="eastAsia"/>
          <w:sz w:val="28"/>
          <w:szCs w:val="28"/>
          <w:lang w:eastAsia="zh-CN"/>
        </w:rPr>
      </w:pPr>
      <w:r>
        <w:rPr>
          <w:rFonts w:hint="eastAsia"/>
          <w:sz w:val="28"/>
          <w:szCs w:val="28"/>
          <w:lang w:eastAsia="zh-CN"/>
        </w:rPr>
        <w:t>控制系统中主控制器应选用可编程控制器，高清真彩触摸屏作为人机界面。</w:t>
      </w:r>
    </w:p>
    <w:p>
      <w:pPr>
        <w:rPr>
          <w:rFonts w:hint="eastAsia"/>
          <w:sz w:val="28"/>
          <w:szCs w:val="28"/>
          <w:lang w:eastAsia="zh-CN"/>
        </w:rPr>
      </w:pPr>
      <w:r>
        <w:rPr>
          <w:rFonts w:hint="eastAsia"/>
          <w:sz w:val="28"/>
          <w:szCs w:val="28"/>
          <w:lang w:eastAsia="zh-CN"/>
        </w:rPr>
        <w:t>11、通讯接口</w:t>
      </w:r>
    </w:p>
    <w:p>
      <w:pPr>
        <w:rPr>
          <w:rFonts w:hint="eastAsia"/>
          <w:sz w:val="28"/>
          <w:szCs w:val="28"/>
          <w:lang w:eastAsia="zh-CN"/>
        </w:rPr>
      </w:pPr>
      <w:r>
        <w:rPr>
          <w:rFonts w:hint="eastAsia"/>
          <w:sz w:val="28"/>
          <w:szCs w:val="28"/>
          <w:lang w:eastAsia="zh-CN"/>
        </w:rPr>
        <w:t>预留与消毒供应中心质量追溯系统连接的通讯接口，免费提供与追溯系统连接的软件通讯协议。</w:t>
      </w:r>
    </w:p>
    <w:p>
      <w:pPr>
        <w:rPr>
          <w:rFonts w:hint="eastAsia"/>
          <w:sz w:val="28"/>
          <w:szCs w:val="28"/>
          <w:lang w:eastAsia="zh-CN"/>
        </w:rPr>
      </w:pPr>
      <w:r>
        <w:rPr>
          <w:rFonts w:hint="eastAsia"/>
          <w:sz w:val="28"/>
          <w:szCs w:val="28"/>
          <w:lang w:eastAsia="zh-CN"/>
        </w:rPr>
        <w:t>12、关键部件</w:t>
      </w:r>
    </w:p>
    <w:p>
      <w:pPr>
        <w:rPr>
          <w:rFonts w:hint="eastAsia"/>
          <w:sz w:val="28"/>
          <w:szCs w:val="28"/>
          <w:lang w:eastAsia="zh-CN"/>
        </w:rPr>
      </w:pPr>
      <w:r>
        <w:rPr>
          <w:rFonts w:hint="eastAsia"/>
          <w:sz w:val="28"/>
          <w:szCs w:val="28"/>
          <w:lang w:eastAsia="zh-CN"/>
        </w:rPr>
        <w:t>关键执行部件均选用国际知名品牌，保证质量稳定可靠。如压力变送器使用德国wika等品牌、电磁阀选用日本 SMC 等品牌、角座阀选用德国 GEMU 等品牌、真空泵选 用德国 Nashelmo 等。</w:t>
      </w: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numPr>
          <w:ilvl w:val="0"/>
          <w:numId w:val="0"/>
        </w:numPr>
        <w:rPr>
          <w:rFonts w:hint="eastAsia"/>
          <w:sz w:val="28"/>
          <w:szCs w:val="28"/>
          <w:lang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eastAsia="zh-CN"/>
        </w:rPr>
      </w:pPr>
      <w:r>
        <w:rPr>
          <w:rFonts w:hint="eastAsia"/>
          <w:sz w:val="28"/>
          <w:szCs w:val="28"/>
          <w:lang w:val="en-US" w:eastAsia="zh-CN"/>
        </w:rPr>
        <w:t>二、</w:t>
      </w:r>
      <w:r>
        <w:rPr>
          <w:rFonts w:hint="eastAsia"/>
          <w:sz w:val="28"/>
          <w:szCs w:val="28"/>
          <w:lang w:eastAsia="zh-CN"/>
        </w:rPr>
        <w:t>技术参数</w:t>
      </w:r>
    </w:p>
    <w:tbl>
      <w:tblPr>
        <w:tblStyle w:val="28"/>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1590"/>
        <w:gridCol w:w="258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技术参数</w:t>
            </w:r>
          </w:p>
        </w:tc>
        <w:tc>
          <w:tcPr>
            <w:tcW w:w="159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设计指标</w:t>
            </w:r>
          </w:p>
        </w:tc>
        <w:tc>
          <w:tcPr>
            <w:tcW w:w="258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技术参数</w:t>
            </w:r>
          </w:p>
        </w:tc>
        <w:tc>
          <w:tcPr>
            <w:tcW w:w="2115"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设计指标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内置蒸汽发生器</w:t>
            </w:r>
          </w:p>
        </w:tc>
        <w:tc>
          <w:tcPr>
            <w:tcW w:w="159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0.6MPa</w:t>
            </w:r>
          </w:p>
        </w:tc>
        <w:tc>
          <w:tcPr>
            <w:tcW w:w="258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正压脉动次数</w:t>
            </w:r>
          </w:p>
        </w:tc>
        <w:tc>
          <w:tcPr>
            <w:tcW w:w="2115" w:type="dxa"/>
          </w:tcPr>
          <w:p>
            <w:pPr>
              <w:numPr>
                <w:ilvl w:val="0"/>
                <w:numId w:val="0"/>
              </w:numPr>
              <w:rPr>
                <w:rFonts w:hint="eastAsia" w:ascii="宋体" w:hAnsi="宋体" w:eastAsia="宋体" w:cs="宋体"/>
                <w:sz w:val="28"/>
                <w:szCs w:val="28"/>
                <w:vertAlign w:val="baseline"/>
                <w:lang w:eastAsia="zh-CN"/>
              </w:rPr>
            </w:pPr>
            <w:r>
              <w:rPr>
                <w:rFonts w:hint="eastAsia"/>
                <w:sz w:val="28"/>
                <w:szCs w:val="28"/>
                <w:vertAlign w:val="baseline"/>
                <w:lang w:val="en-US" w:eastAsia="zh-CN"/>
              </w:rPr>
              <w:t>0~7或更优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设计温度</w:t>
            </w:r>
          </w:p>
        </w:tc>
        <w:tc>
          <w:tcPr>
            <w:tcW w:w="159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150</w:t>
            </w:r>
            <w:r>
              <w:rPr>
                <w:rFonts w:hint="eastAsia" w:ascii="宋体" w:hAnsi="宋体" w:eastAsia="宋体" w:cs="宋体"/>
                <w:sz w:val="28"/>
                <w:szCs w:val="28"/>
                <w:vertAlign w:val="baseline"/>
                <w:lang w:val="en-US" w:eastAsia="zh-CN"/>
              </w:rPr>
              <w:t>℃</w:t>
            </w:r>
          </w:p>
        </w:tc>
        <w:tc>
          <w:tcPr>
            <w:tcW w:w="258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温度均匀性</w:t>
            </w:r>
          </w:p>
        </w:tc>
        <w:tc>
          <w:tcPr>
            <w:tcW w:w="2115" w:type="dxa"/>
          </w:tcPr>
          <w:p>
            <w:pPr>
              <w:numPr>
                <w:ilvl w:val="0"/>
                <w:numId w:val="0"/>
              </w:numPr>
              <w:rPr>
                <w:rFonts w:hint="eastAsia"/>
                <w:sz w:val="28"/>
                <w:szCs w:val="28"/>
                <w:vertAlign w:val="baseline"/>
                <w:lang w:val="en-US" w:eastAsia="zh-CN"/>
              </w:rPr>
            </w:pPr>
            <w:r>
              <w:rPr>
                <w:rFonts w:hint="eastAsia" w:ascii="宋体" w:hAnsi="宋体" w:eastAsia="宋体" w:cs="宋体"/>
                <w:sz w:val="28"/>
                <w:szCs w:val="28"/>
                <w:vertAlign w:val="baseline"/>
                <w:lang w:eastAsia="zh-CN"/>
              </w:rPr>
              <w:t>±</w:t>
            </w:r>
            <w:r>
              <w:rPr>
                <w:rFonts w:hint="eastAsia" w:ascii="宋体" w:hAnsi="宋体" w:cs="宋体"/>
                <w:sz w:val="28"/>
                <w:szCs w:val="28"/>
                <w:vertAlign w:val="baseline"/>
                <w:lang w:val="en-US" w:eastAsia="zh-CN"/>
              </w:rPr>
              <w:t>0.5</w:t>
            </w:r>
            <w:r>
              <w:rPr>
                <w:rFonts w:hint="eastAsia" w:ascii="宋体" w:hAnsi="宋体" w:eastAsia="宋体" w:cs="宋体"/>
                <w:sz w:val="28"/>
                <w:szCs w:val="28"/>
                <w:vertAlign w:val="baseline"/>
                <w:lang w:val="en-US" w:eastAsia="zh-CN"/>
              </w:rPr>
              <w:t>℃</w:t>
            </w:r>
            <w:r>
              <w:rPr>
                <w:rFonts w:hint="eastAsia" w:ascii="宋体" w:hAnsi="宋体" w:cs="宋体"/>
                <w:sz w:val="28"/>
                <w:szCs w:val="28"/>
                <w:vertAlign w:val="baseline"/>
                <w:lang w:val="en-US" w:eastAsia="zh-CN"/>
              </w:rPr>
              <w:t>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最高工作温度</w:t>
            </w:r>
          </w:p>
        </w:tc>
        <w:tc>
          <w:tcPr>
            <w:tcW w:w="1590" w:type="dxa"/>
          </w:tcPr>
          <w:p>
            <w:pPr>
              <w:numPr>
                <w:ilvl w:val="0"/>
                <w:numId w:val="0"/>
              </w:numPr>
              <w:rPr>
                <w:rFonts w:hint="eastAsia"/>
                <w:sz w:val="28"/>
                <w:szCs w:val="28"/>
                <w:vertAlign w:val="baseline"/>
                <w:lang w:val="en-US" w:eastAsia="zh-CN"/>
              </w:rPr>
            </w:pPr>
            <w:r>
              <w:rPr>
                <w:rFonts w:hint="eastAsia" w:ascii="宋体" w:hAnsi="宋体" w:eastAsia="宋体" w:cs="宋体"/>
                <w:sz w:val="28"/>
                <w:szCs w:val="28"/>
                <w:vertAlign w:val="baseline"/>
                <w:lang w:eastAsia="zh-CN"/>
              </w:rPr>
              <w:t>≧</w:t>
            </w:r>
            <w:r>
              <w:rPr>
                <w:rFonts w:hint="eastAsia"/>
                <w:sz w:val="28"/>
                <w:szCs w:val="28"/>
                <w:vertAlign w:val="baseline"/>
                <w:lang w:val="en-US" w:eastAsia="zh-CN"/>
              </w:rPr>
              <w:t>139</w:t>
            </w:r>
            <w:r>
              <w:rPr>
                <w:rFonts w:hint="eastAsia" w:ascii="宋体" w:hAnsi="宋体" w:eastAsia="宋体" w:cs="宋体"/>
                <w:sz w:val="28"/>
                <w:szCs w:val="28"/>
                <w:vertAlign w:val="baseline"/>
                <w:lang w:val="en-US" w:eastAsia="zh-CN"/>
              </w:rPr>
              <w:t>℃</w:t>
            </w:r>
          </w:p>
        </w:tc>
        <w:tc>
          <w:tcPr>
            <w:tcW w:w="258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脉动真空次数</w:t>
            </w:r>
          </w:p>
        </w:tc>
        <w:tc>
          <w:tcPr>
            <w:tcW w:w="2115" w:type="dxa"/>
          </w:tcPr>
          <w:p>
            <w:pPr>
              <w:numPr>
                <w:ilvl w:val="0"/>
                <w:numId w:val="0"/>
              </w:numPr>
              <w:rPr>
                <w:rFonts w:hint="default" w:ascii="Calibri" w:hAnsi="Calibri" w:cs="Calibri"/>
                <w:sz w:val="28"/>
                <w:szCs w:val="28"/>
                <w:vertAlign w:val="baseline"/>
                <w:lang w:val="en-US" w:eastAsia="zh-CN"/>
              </w:rPr>
            </w:pPr>
            <w:r>
              <w:rPr>
                <w:rFonts w:hint="eastAsia"/>
                <w:sz w:val="28"/>
                <w:szCs w:val="28"/>
                <w:vertAlign w:val="baseline"/>
                <w:lang w:val="en-US" w:eastAsia="zh-CN"/>
              </w:rPr>
              <w:t>1</w:t>
            </w:r>
            <w:r>
              <w:rPr>
                <w:rFonts w:hint="eastAsia" w:cs="Calibri"/>
                <w:sz w:val="28"/>
                <w:szCs w:val="28"/>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最高工作压力</w:t>
            </w:r>
          </w:p>
        </w:tc>
        <w:tc>
          <w:tcPr>
            <w:tcW w:w="1590" w:type="dxa"/>
          </w:tcPr>
          <w:p>
            <w:pPr>
              <w:numPr>
                <w:ilvl w:val="0"/>
                <w:numId w:val="0"/>
              </w:numPr>
              <w:rPr>
                <w:rFonts w:hint="eastAsia"/>
                <w:sz w:val="28"/>
                <w:szCs w:val="28"/>
                <w:vertAlign w:val="baseline"/>
                <w:lang w:val="en-US" w:eastAsia="zh-CN"/>
              </w:rPr>
            </w:pPr>
            <w:r>
              <w:rPr>
                <w:rFonts w:hint="eastAsia" w:ascii="宋体" w:hAnsi="宋体" w:eastAsia="宋体" w:cs="宋体"/>
                <w:sz w:val="28"/>
                <w:szCs w:val="28"/>
                <w:vertAlign w:val="baseline"/>
                <w:lang w:eastAsia="zh-CN"/>
              </w:rPr>
              <w:t>≧</w:t>
            </w:r>
            <w:r>
              <w:rPr>
                <w:rFonts w:hint="eastAsia"/>
                <w:sz w:val="28"/>
                <w:szCs w:val="28"/>
                <w:vertAlign w:val="baseline"/>
                <w:lang w:val="en-US" w:eastAsia="zh-CN"/>
              </w:rPr>
              <w:t>0.25MPa</w:t>
            </w:r>
          </w:p>
        </w:tc>
        <w:tc>
          <w:tcPr>
            <w:tcW w:w="258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脉动上限</w:t>
            </w:r>
          </w:p>
        </w:tc>
        <w:tc>
          <w:tcPr>
            <w:tcW w:w="2115" w:type="dxa"/>
          </w:tcPr>
          <w:p>
            <w:pPr>
              <w:numPr>
                <w:ilvl w:val="0"/>
                <w:numId w:val="0"/>
              </w:numPr>
              <w:rPr>
                <w:rFonts w:hint="eastAsia"/>
                <w:sz w:val="28"/>
                <w:szCs w:val="28"/>
                <w:vertAlign w:val="baseline"/>
                <w:lang w:val="en-US" w:eastAsia="zh-CN"/>
              </w:rPr>
            </w:pPr>
            <w:r>
              <w:rPr>
                <w:rFonts w:hint="eastAsia" w:ascii="宋体" w:hAnsi="宋体" w:eastAsia="宋体" w:cs="宋体"/>
                <w:sz w:val="28"/>
                <w:szCs w:val="28"/>
                <w:vertAlign w:val="baseline"/>
                <w:lang w:eastAsia="zh-CN"/>
              </w:rPr>
              <w:t>≧</w:t>
            </w:r>
            <w:r>
              <w:rPr>
                <w:rFonts w:hint="eastAsia" w:ascii="宋体" w:hAnsi="宋体" w:cs="宋体"/>
                <w:sz w:val="28"/>
                <w:szCs w:val="28"/>
                <w:vertAlign w:val="baseline"/>
                <w:lang w:val="en-US" w:eastAsia="zh-CN"/>
              </w:rPr>
              <w:t>80KPa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内室水压试验压力</w:t>
            </w:r>
          </w:p>
        </w:tc>
        <w:tc>
          <w:tcPr>
            <w:tcW w:w="1590" w:type="dxa"/>
          </w:tcPr>
          <w:p>
            <w:pPr>
              <w:numPr>
                <w:ilvl w:val="0"/>
                <w:numId w:val="0"/>
              </w:numPr>
              <w:rPr>
                <w:rFonts w:hint="eastAsia"/>
                <w:sz w:val="28"/>
                <w:szCs w:val="28"/>
                <w:vertAlign w:val="baseline"/>
                <w:lang w:val="en-US" w:eastAsia="zh-CN"/>
              </w:rPr>
            </w:pPr>
            <w:r>
              <w:rPr>
                <w:rFonts w:hint="eastAsia" w:ascii="宋体" w:hAnsi="宋体" w:eastAsia="宋体" w:cs="宋体"/>
                <w:sz w:val="28"/>
                <w:szCs w:val="28"/>
                <w:vertAlign w:val="baseline"/>
                <w:lang w:eastAsia="zh-CN"/>
              </w:rPr>
              <w:t>≧</w:t>
            </w:r>
            <w:r>
              <w:rPr>
                <w:rFonts w:hint="eastAsia"/>
                <w:sz w:val="28"/>
                <w:szCs w:val="28"/>
                <w:vertAlign w:val="baseline"/>
                <w:lang w:val="en-US" w:eastAsia="zh-CN"/>
              </w:rPr>
              <w:t>0.4MPa</w:t>
            </w:r>
          </w:p>
        </w:tc>
        <w:tc>
          <w:tcPr>
            <w:tcW w:w="258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脉动下限</w:t>
            </w:r>
          </w:p>
        </w:tc>
        <w:tc>
          <w:tcPr>
            <w:tcW w:w="2115" w:type="dxa"/>
          </w:tcPr>
          <w:p>
            <w:pPr>
              <w:numPr>
                <w:ilvl w:val="0"/>
                <w:numId w:val="0"/>
              </w:numPr>
              <w:rPr>
                <w:rFonts w:hint="eastAsia"/>
                <w:sz w:val="28"/>
                <w:szCs w:val="28"/>
                <w:vertAlign w:val="baseline"/>
                <w:lang w:val="en-US" w:eastAsia="zh-CN"/>
              </w:rPr>
            </w:pPr>
            <w:r>
              <w:rPr>
                <w:rFonts w:hint="eastAsia" w:ascii="宋体" w:hAnsi="宋体" w:cs="宋体"/>
                <w:sz w:val="28"/>
                <w:szCs w:val="28"/>
                <w:vertAlign w:val="baseline"/>
                <w:lang w:val="en-US" w:eastAsia="zh-CN"/>
              </w:rPr>
              <w:t>-</w:t>
            </w:r>
            <w:r>
              <w:rPr>
                <w:rFonts w:hint="eastAsia"/>
                <w:sz w:val="28"/>
                <w:szCs w:val="28"/>
                <w:vertAlign w:val="baseline"/>
                <w:lang w:val="en-US" w:eastAsia="zh-CN"/>
              </w:rPr>
              <w:t>90KPa或更优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温度显示精度</w:t>
            </w:r>
          </w:p>
        </w:tc>
        <w:tc>
          <w:tcPr>
            <w:tcW w:w="159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0.1</w:t>
            </w:r>
            <w:r>
              <w:rPr>
                <w:rFonts w:hint="eastAsia" w:ascii="宋体" w:hAnsi="宋体" w:eastAsia="宋体" w:cs="宋体"/>
                <w:sz w:val="28"/>
                <w:szCs w:val="28"/>
                <w:vertAlign w:val="baseline"/>
                <w:lang w:val="en-US" w:eastAsia="zh-CN"/>
              </w:rPr>
              <w:t>℃</w:t>
            </w:r>
          </w:p>
        </w:tc>
        <w:tc>
          <w:tcPr>
            <w:tcW w:w="258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极限真空度</w:t>
            </w:r>
          </w:p>
        </w:tc>
        <w:tc>
          <w:tcPr>
            <w:tcW w:w="2115"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-97KPa或更优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压力显示精度</w:t>
            </w:r>
          </w:p>
        </w:tc>
        <w:tc>
          <w:tcPr>
            <w:tcW w:w="1590" w:type="dxa"/>
          </w:tcPr>
          <w:p>
            <w:pPr>
              <w:numPr>
                <w:ilvl w:val="0"/>
                <w:numId w:val="0"/>
              </w:numPr>
              <w:rPr>
                <w:rFonts w:hint="eastAsia"/>
                <w:sz w:val="28"/>
                <w:szCs w:val="28"/>
                <w:vertAlign w:val="baseline"/>
                <w:lang w:val="en-US" w:eastAsia="zh-CN"/>
              </w:rPr>
            </w:pPr>
            <w:r>
              <w:rPr>
                <w:rFonts w:hint="eastAsia"/>
                <w:sz w:val="28"/>
                <w:szCs w:val="28"/>
                <w:vertAlign w:val="baseline"/>
                <w:lang w:val="en-US" w:eastAsia="zh-CN"/>
              </w:rPr>
              <w:t>0.1KPa</w:t>
            </w:r>
          </w:p>
        </w:tc>
        <w:tc>
          <w:tcPr>
            <w:tcW w:w="2580" w:type="dxa"/>
          </w:tcPr>
          <w:p>
            <w:pPr>
              <w:numPr>
                <w:ilvl w:val="0"/>
                <w:numId w:val="0"/>
              </w:numPr>
              <w:rPr>
                <w:rFonts w:hint="eastAsia"/>
                <w:sz w:val="28"/>
                <w:szCs w:val="28"/>
                <w:vertAlign w:val="baseline"/>
                <w:lang w:val="en-US" w:eastAsia="zh-CN"/>
              </w:rPr>
            </w:pPr>
          </w:p>
        </w:tc>
        <w:tc>
          <w:tcPr>
            <w:tcW w:w="2115" w:type="dxa"/>
          </w:tcPr>
          <w:p>
            <w:pPr>
              <w:numPr>
                <w:ilvl w:val="0"/>
                <w:numId w:val="0"/>
              </w:numPr>
              <w:rPr>
                <w:rFonts w:hint="eastAsia"/>
                <w:sz w:val="28"/>
                <w:szCs w:val="28"/>
                <w:vertAlign w:val="baseline"/>
                <w:lang w:val="en-US" w:eastAsia="zh-CN"/>
              </w:rPr>
            </w:pPr>
          </w:p>
        </w:tc>
      </w:tr>
    </w:tbl>
    <w:p>
      <w:pPr>
        <w:numPr>
          <w:ilvl w:val="0"/>
          <w:numId w:val="0"/>
        </w:num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ind w:firstLine="723" w:firstLineChars="150"/>
        <w:rPr>
          <w:rFonts w:hint="eastAsia"/>
          <w:b/>
          <w:sz w:val="44"/>
          <w:szCs w:val="44"/>
        </w:rPr>
      </w:pPr>
      <w:r>
        <w:rPr>
          <w:rFonts w:hint="eastAsia"/>
          <w:b/>
          <w:sz w:val="48"/>
          <w:szCs w:val="44"/>
          <w:lang w:val="en-US" w:eastAsia="zh-CN"/>
        </w:rPr>
        <w:t xml:space="preserve"> </w:t>
      </w:r>
      <w:r>
        <w:rPr>
          <w:rFonts w:hint="eastAsia"/>
          <w:b/>
          <w:sz w:val="44"/>
          <w:szCs w:val="44"/>
        </w:rPr>
        <w:tab/>
      </w:r>
    </w:p>
    <w:p>
      <w:pPr>
        <w:autoSpaceDE w:val="0"/>
        <w:spacing w:line="360" w:lineRule="auto"/>
        <w:ind w:left="-115" w:leftChars="-41"/>
        <w:rPr>
          <w:rFonts w:hint="eastAsia"/>
          <w:sz w:val="24"/>
          <w:szCs w:val="24"/>
          <w:lang w:val="en-US" w:eastAsia="zh-CN"/>
        </w:rPr>
      </w:pPr>
      <w:r>
        <w:rPr>
          <w:rFonts w:hint="eastAsia"/>
          <w:sz w:val="24"/>
          <w:szCs w:val="24"/>
          <w:lang w:val="en-US" w:eastAsia="zh-CN"/>
        </w:rPr>
        <w:t xml:space="preserve"> </w:t>
      </w:r>
    </w:p>
    <w:p>
      <w:pPr>
        <w:autoSpaceDE w:val="0"/>
        <w:spacing w:line="360" w:lineRule="auto"/>
        <w:ind w:left="-115" w:leftChars="-41"/>
        <w:rPr>
          <w:rFonts w:hint="eastAsia"/>
          <w:sz w:val="24"/>
          <w:szCs w:val="24"/>
          <w:lang w:val="en-US" w:eastAsia="zh-CN"/>
        </w:rPr>
      </w:pPr>
    </w:p>
    <w:p>
      <w:pPr>
        <w:autoSpaceDE w:val="0"/>
        <w:spacing w:line="360" w:lineRule="auto"/>
        <w:ind w:left="-115" w:leftChars="-41"/>
        <w:rPr>
          <w:rFonts w:hint="eastAsia"/>
          <w:sz w:val="24"/>
          <w:szCs w:val="24"/>
          <w:lang w:val="en-US" w:eastAsia="zh-CN"/>
        </w:rPr>
      </w:pPr>
    </w:p>
    <w:p>
      <w:pPr>
        <w:autoSpaceDE w:val="0"/>
        <w:spacing w:line="360" w:lineRule="auto"/>
        <w:ind w:left="-115" w:leftChars="-41"/>
        <w:rPr>
          <w:rFonts w:hint="eastAsia"/>
          <w:sz w:val="24"/>
          <w:szCs w:val="24"/>
          <w:lang w:val="en-US" w:eastAsia="zh-CN"/>
        </w:rPr>
      </w:pPr>
    </w:p>
    <w:p>
      <w:pPr>
        <w:autoSpaceDE w:val="0"/>
        <w:spacing w:line="360" w:lineRule="auto"/>
        <w:ind w:left="-115" w:leftChars="-41"/>
        <w:rPr>
          <w:rFonts w:ascii="宋体" w:hAnsi="宋体" w:cs="宋体"/>
          <w:b/>
          <w:kern w:val="0"/>
          <w:szCs w:val="28"/>
        </w:rPr>
      </w:pPr>
    </w:p>
    <w:p>
      <w:pPr>
        <w:spacing w:line="360" w:lineRule="auto"/>
        <w:ind w:right="57"/>
        <w:rPr>
          <w:rFonts w:ascii="宋体" w:hAnsi="宋体"/>
          <w:b/>
          <w:sz w:val="24"/>
          <w:szCs w:val="24"/>
        </w:rPr>
      </w:pPr>
      <w:r>
        <w:rPr>
          <w:rFonts w:hint="eastAsia" w:ascii="宋体" w:hAnsi="宋体"/>
          <w:b/>
          <w:color w:val="000000"/>
          <w:sz w:val="24"/>
          <w:szCs w:val="24"/>
        </w:rPr>
        <w:t xml:space="preserve"> </w:t>
      </w:r>
      <w:r>
        <w:rPr>
          <w:rFonts w:hint="eastAsia" w:ascii="宋体" w:hAnsi="宋体" w:cs="宋体"/>
          <w:b/>
          <w:sz w:val="24"/>
          <w:szCs w:val="24"/>
        </w:rPr>
        <w:t>货物需求一览表：</w:t>
      </w:r>
    </w:p>
    <w:tbl>
      <w:tblPr>
        <w:tblStyle w:val="27"/>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755"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lang w:val="en-US" w:eastAsia="zh-CN"/>
              </w:rPr>
              <w:t xml:space="preserve"> </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 xml:space="preserve"> </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val="en-US" w:eastAsia="zh-CN"/>
              </w:rPr>
              <w:t xml:space="preserve"> </w:t>
            </w: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”表示此设备为核心产品。</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7"/>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7"/>
        <w:tblW w:w="9628" w:type="dxa"/>
        <w:tblInd w:w="0" w:type="dxa"/>
        <w:tblLayout w:type="fixed"/>
        <w:tblCellMar>
          <w:top w:w="0" w:type="dxa"/>
          <w:left w:w="108" w:type="dxa"/>
          <w:bottom w:w="0" w:type="dxa"/>
          <w:right w:w="108" w:type="dxa"/>
        </w:tblCellMar>
      </w:tblPr>
      <w:tblGrid>
        <w:gridCol w:w="1242"/>
        <w:gridCol w:w="709"/>
        <w:gridCol w:w="5671"/>
        <w:gridCol w:w="2006"/>
      </w:tblGrid>
      <w:tr>
        <w:tblPrEx>
          <w:tblLayout w:type="fixed"/>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outlineLvl w:val="0"/>
        <w:rPr>
          <w:rFonts w:ascii="宋体" w:hAnsi="宋体"/>
          <w:sz w:val="24"/>
          <w:szCs w:val="24"/>
        </w:rPr>
      </w:pPr>
      <w:r>
        <w:rPr>
          <w:rFonts w:ascii="宋体" w:hAnsi="宋体"/>
          <w:sz w:val="24"/>
          <w:szCs w:val="24"/>
        </w:rPr>
        <w:br w:type="page"/>
      </w:r>
    </w:p>
    <w:p>
      <w:pPr>
        <w:jc w:val="center"/>
        <w:outlineLvl w:val="0"/>
        <w:rPr>
          <w:rFonts w:ascii="宋体" w:hAnsi="宋体"/>
          <w:b/>
          <w:bCs/>
          <w:color w:val="000000"/>
          <w:kern w:val="44"/>
          <w:sz w:val="24"/>
          <w:szCs w:val="24"/>
          <w:lang w:val="zh-CN"/>
        </w:rPr>
      </w:pPr>
      <w:bookmarkStart w:id="6" w:name="_Toc494546014"/>
      <w:bookmarkStart w:id="7" w:name="_Toc497408661"/>
      <w:r>
        <w:rPr>
          <w:rFonts w:hint="eastAsia" w:ascii="宋体" w:hAnsi="宋体"/>
          <w:b/>
          <w:bCs/>
          <w:color w:val="000000"/>
          <w:kern w:val="44"/>
          <w:sz w:val="24"/>
          <w:szCs w:val="24"/>
          <w:lang w:val="zh-CN"/>
        </w:rPr>
        <w:t>第五章 投标人资格证明及相关文件要求</w:t>
      </w:r>
      <w:bookmarkEnd w:id="6"/>
      <w:bookmarkEnd w:id="7"/>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w:t>
      </w:r>
      <w:r>
        <w:rPr>
          <w:rFonts w:hint="eastAsia" w:ascii="宋体" w:hAnsi="宋体" w:cs="宋体"/>
          <w:sz w:val="24"/>
          <w:szCs w:val="24"/>
          <w:lang w:eastAsia="zh-CN"/>
        </w:rPr>
        <w:t>（</w:t>
      </w:r>
      <w:r>
        <w:rPr>
          <w:rFonts w:hint="eastAsia" w:ascii="宋体" w:hAnsi="宋体"/>
          <w:sz w:val="24"/>
          <w:szCs w:val="24"/>
        </w:rPr>
        <w:t>原件</w:t>
      </w:r>
      <w:r>
        <w:rPr>
          <w:rFonts w:hint="eastAsia" w:ascii="宋体" w:hAnsi="宋体"/>
          <w:sz w:val="24"/>
          <w:szCs w:val="24"/>
          <w:lang w:eastAsia="zh-CN"/>
        </w:rPr>
        <w:t>）</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w:t>
      </w:r>
      <w:r>
        <w:rPr>
          <w:rFonts w:hint="eastAsia" w:ascii="宋体" w:hAnsi="宋体" w:cs="宋体"/>
          <w:sz w:val="24"/>
          <w:szCs w:val="24"/>
          <w:lang w:eastAsia="zh-CN"/>
        </w:rPr>
        <w:t>（</w:t>
      </w:r>
      <w:r>
        <w:rPr>
          <w:rFonts w:hint="eastAsia" w:ascii="宋体" w:hAnsi="宋体"/>
          <w:sz w:val="24"/>
          <w:szCs w:val="24"/>
        </w:rPr>
        <w:t>原件</w:t>
      </w:r>
      <w:r>
        <w:rPr>
          <w:rFonts w:hint="eastAsia" w:ascii="宋体" w:hAnsi="宋体"/>
          <w:sz w:val="24"/>
          <w:szCs w:val="24"/>
          <w:lang w:eastAsia="zh-CN"/>
        </w:rPr>
        <w:t>）</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 xml:space="preserve">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8" w:name="_Toc497408662"/>
      <w:r>
        <w:rPr>
          <w:rFonts w:hint="eastAsia" w:ascii="宋体" w:hAnsi="宋体"/>
          <w:b/>
          <w:bCs/>
          <w:color w:val="000000"/>
          <w:kern w:val="44"/>
          <w:sz w:val="24"/>
          <w:szCs w:val="24"/>
          <w:lang w:val="zh-CN"/>
        </w:rPr>
        <w:t>第六章 评标办法（综合评分）</w:t>
      </w:r>
      <w:bookmarkEnd w:id="8"/>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33"/>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7"/>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9" w:name="OLE_LINK1"/>
      <w:bookmarkStart w:id="10" w:name="OLE_LINK9"/>
      <w:r>
        <w:rPr>
          <w:rFonts w:hint="eastAsia" w:ascii="宋体" w:hAnsi="宋体"/>
          <w:sz w:val="24"/>
          <w:szCs w:val="24"/>
        </w:rPr>
        <w:t>本项所称货物不包括使用大型企业注册商标的货物。</w:t>
      </w:r>
      <w:bookmarkEnd w:id="9"/>
      <w:bookmarkEnd w:id="1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1" w:name="OLE_LINK13"/>
      <w:bookmarkStart w:id="12" w:name="OLE_LINK14"/>
      <w:r>
        <w:rPr>
          <w:rFonts w:hint="eastAsia" w:ascii="宋体" w:hAnsi="宋体"/>
          <w:sz w:val="24"/>
          <w:szCs w:val="24"/>
        </w:rPr>
        <w:t>《残疾人福利性单位声明函》</w:t>
      </w:r>
      <w:bookmarkEnd w:id="11"/>
      <w:bookmarkEnd w:id="1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color w:val="000000"/>
          <w:kern w:val="0"/>
          <w:sz w:val="24"/>
          <w:szCs w:val="24"/>
        </w:rPr>
        <w:t>表一初审表：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1月至开标当日的任意一个月缴纳增值税或营业税或企业所得税的凭据。原件</w:t>
            </w:r>
          </w:p>
          <w:p>
            <w:pPr>
              <w:jc w:val="left"/>
              <w:rPr>
                <w:rFonts w:ascii="宋体" w:hAnsi="宋体"/>
                <w:sz w:val="24"/>
                <w:szCs w:val="24"/>
              </w:rPr>
            </w:pPr>
            <w:r>
              <w:rPr>
                <w:rFonts w:hint="eastAsia" w:ascii="宋体" w:hAnsi="宋体"/>
                <w:sz w:val="24"/>
                <w:szCs w:val="24"/>
              </w:rPr>
              <w:t>2.201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1月至开标当日的任意一个月缴纳社会保险的凭据（专用收据或社保缴纳清单）原件</w:t>
            </w:r>
          </w:p>
          <w:p>
            <w:pPr>
              <w:jc w:val="left"/>
              <w:rPr>
                <w:rFonts w:ascii="宋体" w:hAnsi="宋体"/>
                <w:sz w:val="24"/>
                <w:szCs w:val="24"/>
              </w:rPr>
            </w:pPr>
            <w:r>
              <w:rPr>
                <w:rFonts w:hint="eastAsia" w:ascii="宋体" w:hAnsi="宋体"/>
                <w:sz w:val="24"/>
                <w:szCs w:val="24"/>
              </w:rPr>
              <w:t>依法免税和无需缴纳社会保险的必须提供相关主管部门出具的证明。原件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w:t>
            </w:r>
            <w:r>
              <w:rPr>
                <w:rFonts w:hint="eastAsia" w:ascii="宋体" w:hAnsi="宋体"/>
                <w:sz w:val="24"/>
                <w:szCs w:val="24"/>
                <w:lang w:val="en-US" w:eastAsia="zh-CN"/>
              </w:rPr>
              <w:t>5</w:t>
            </w:r>
            <w:r>
              <w:rPr>
                <w:rFonts w:hint="eastAsia" w:ascii="宋体" w:hAnsi="宋体"/>
                <w:sz w:val="24"/>
                <w:szCs w:val="24"/>
              </w:rPr>
              <w:t>年至201</w:t>
            </w:r>
            <w:r>
              <w:rPr>
                <w:rFonts w:hint="eastAsia" w:ascii="宋体" w:hAnsi="宋体"/>
                <w:sz w:val="24"/>
                <w:szCs w:val="24"/>
                <w:lang w:val="en-US" w:eastAsia="zh-CN"/>
              </w:rPr>
              <w:t>7</w:t>
            </w:r>
            <w:r>
              <w:rPr>
                <w:rFonts w:hint="eastAsia" w:ascii="宋体" w:hAnsi="宋体"/>
                <w:sz w:val="24"/>
                <w:szCs w:val="24"/>
              </w:rPr>
              <w:t>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color w:val="000000"/>
                <w:sz w:val="24"/>
                <w:szCs w:val="24"/>
              </w:rPr>
              <w:t>主要技术参数指标（加“</w:t>
            </w:r>
            <w:r>
              <w:rPr>
                <w:rFonts w:hint="eastAsia" w:ascii="宋体" w:hAnsi="宋体"/>
                <w:sz w:val="24"/>
                <w:szCs w:val="24"/>
              </w:rPr>
              <w:t>*</w:t>
            </w:r>
            <w:r>
              <w:rPr>
                <w:rFonts w:hint="eastAsia" w:ascii="宋体" w:hAnsi="宋体"/>
                <w:color w:val="000000"/>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hint="eastAsia"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50分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投标报价得分（50分）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41" w:firstLineChars="100"/>
              <w:rPr>
                <w:rFonts w:ascii="宋体" w:hAnsi="宋体"/>
                <w:b/>
                <w:color w:val="000000"/>
                <w:sz w:val="24"/>
                <w:szCs w:val="24"/>
              </w:rPr>
            </w:pPr>
            <w:r>
              <w:rPr>
                <w:rFonts w:hint="eastAsia" w:ascii="宋体" w:hAnsi="宋体"/>
                <w:b/>
                <w:color w:val="000000"/>
                <w:sz w:val="24"/>
                <w:szCs w:val="24"/>
              </w:rPr>
              <w:t>信用等级（4分）</w:t>
            </w:r>
          </w:p>
          <w:p>
            <w:pPr>
              <w:snapToGrid w:val="0"/>
              <w:spacing w:line="320" w:lineRule="exact"/>
              <w:rPr>
                <w:rFonts w:ascii="宋体" w:hAnsi="宋体"/>
                <w:b/>
                <w:color w:val="000000"/>
                <w:sz w:val="24"/>
                <w:szCs w:val="24"/>
              </w:rPr>
            </w:pPr>
            <w:r>
              <w:rPr>
                <w:rFonts w:hint="eastAsia" w:ascii="宋体" w:hAnsi="宋体"/>
                <w:b/>
                <w:color w:val="000000"/>
                <w:sz w:val="24"/>
                <w:szCs w:val="24"/>
              </w:rPr>
              <w:t xml:space="preserve"> </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投标文件中提供银行出具AAA信用等级得4分、AA得3分、A得1分。</w:t>
            </w:r>
          </w:p>
          <w:p>
            <w:pPr>
              <w:snapToGrid w:val="0"/>
              <w:spacing w:line="320" w:lineRule="exact"/>
              <w:rPr>
                <w:rFonts w:ascii="宋体" w:hAnsi="宋体"/>
                <w:color w:val="000000"/>
                <w:sz w:val="24"/>
                <w:szCs w:val="24"/>
              </w:rPr>
            </w:pP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000000"/>
                <w:sz w:val="24"/>
                <w:szCs w:val="24"/>
              </w:rPr>
            </w:pPr>
            <w:r>
              <w:rPr>
                <w:rFonts w:hint="eastAsia" w:ascii="宋体" w:hAnsi="宋体"/>
                <w:b/>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投标人近三年（201</w:t>
            </w:r>
            <w:r>
              <w:rPr>
                <w:rFonts w:hint="eastAsia" w:ascii="宋体" w:hAnsi="宋体"/>
                <w:color w:val="000000"/>
                <w:sz w:val="24"/>
                <w:szCs w:val="24"/>
                <w:lang w:val="en-US" w:eastAsia="zh-CN"/>
              </w:rPr>
              <w:t>5</w:t>
            </w:r>
            <w:r>
              <w:rPr>
                <w:rFonts w:hint="eastAsia" w:ascii="宋体" w:hAnsi="宋体"/>
                <w:color w:val="000000"/>
                <w:sz w:val="24"/>
                <w:szCs w:val="24"/>
              </w:rPr>
              <w:t>至今）的类似业绩（</w:t>
            </w:r>
            <w:r>
              <w:rPr>
                <w:rFonts w:hint="eastAsia" w:ascii="宋体" w:hAnsi="宋体"/>
                <w:sz w:val="24"/>
                <w:szCs w:val="24"/>
              </w:rPr>
              <w:t>销售或服务</w:t>
            </w:r>
            <w:r>
              <w:rPr>
                <w:rFonts w:ascii="宋体" w:hAnsi="宋体"/>
                <w:sz w:val="24"/>
                <w:szCs w:val="24"/>
              </w:rPr>
              <w:t>合同</w:t>
            </w:r>
            <w:r>
              <w:rPr>
                <w:rFonts w:hint="eastAsia" w:ascii="宋体" w:hAnsi="宋体"/>
                <w:color w:val="000000"/>
                <w:sz w:val="24"/>
                <w:szCs w:val="24"/>
              </w:rPr>
              <w:t>），每提供一份有效材料得1.5分，最高得6分。</w:t>
            </w:r>
          </w:p>
          <w:p>
            <w:pPr>
              <w:widowControl/>
              <w:rPr>
                <w:rFonts w:ascii="宋体" w:hAnsi="宋体"/>
                <w:color w:val="000000"/>
                <w:sz w:val="24"/>
                <w:szCs w:val="24"/>
                <w:u w:val="single"/>
              </w:rPr>
            </w:pPr>
            <w:r>
              <w:rPr>
                <w:rFonts w:hint="eastAsia" w:ascii="宋体" w:hAnsi="宋体"/>
                <w:color w:val="000000"/>
                <w:sz w:val="24"/>
                <w:szCs w:val="24"/>
              </w:rPr>
              <w:t>类似业绩指：</w:t>
            </w:r>
            <w:r>
              <w:rPr>
                <w:rFonts w:hint="eastAsia" w:ascii="宋体" w:hAnsi="宋体"/>
                <w:color w:val="000000"/>
                <w:sz w:val="24"/>
                <w:szCs w:val="24"/>
                <w:u w:val="single"/>
              </w:rPr>
              <w:t xml:space="preserve"> 医院采购 </w:t>
            </w:r>
            <w:r>
              <w:rPr>
                <w:rFonts w:hint="eastAsia" w:ascii="宋体" w:hAnsi="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1.投标人在鄂尔多斯地区有售后服务网点且提供有效营业执照的，得2分；（投标人册地为鄂尔多斯地区的，只需提供本公司营业执照）</w:t>
            </w:r>
            <w:r>
              <w:rPr>
                <w:rFonts w:hint="eastAsia" w:ascii="宋体" w:hAnsi="宋体"/>
                <w:color w:val="FF0000"/>
                <w:sz w:val="24"/>
                <w:szCs w:val="24"/>
              </w:rPr>
              <w:t>（提供双方协议）</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widowControl/>
              <w:rPr>
                <w:rFonts w:ascii="宋体" w:hAnsi="宋体"/>
                <w:color w:val="000000"/>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"https://baike.baidu.com/item/OHSAS18000%E8%AE%A4%E8%AF%81"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1.耗材整体优惠率在六折以上，得2分；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”项）（17分）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”项）完全满足招标文件要求，且提供佐证材料齐全内容无矛盾的，得基础分12分；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”项）（11分）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产品性能（2分）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投标产品的技术先进性、市场占有率、市场成熟度。</w:t>
            </w:r>
          </w:p>
          <w:p>
            <w:pPr>
              <w:rPr>
                <w:rFonts w:ascii="宋体" w:hAnsi="宋体"/>
                <w:color w:val="000000"/>
                <w:sz w:val="24"/>
                <w:szCs w:val="24"/>
              </w:rPr>
            </w:pPr>
            <w:r>
              <w:rPr>
                <w:rFonts w:hint="eastAsia" w:ascii="宋体" w:hAnsi="宋体"/>
                <w:color w:val="000000"/>
                <w:sz w:val="24"/>
                <w:szCs w:val="24"/>
              </w:rPr>
              <w:t>1.优，得2分；</w:t>
            </w:r>
          </w:p>
          <w:p>
            <w:pPr>
              <w:rPr>
                <w:rFonts w:ascii="宋体" w:hAnsi="宋体"/>
                <w:color w:val="000000"/>
                <w:sz w:val="24"/>
                <w:szCs w:val="24"/>
              </w:rPr>
            </w:pPr>
            <w:r>
              <w:rPr>
                <w:rFonts w:hint="eastAsia" w:ascii="宋体" w:hAnsi="宋体"/>
                <w:color w:val="000000"/>
                <w:sz w:val="24"/>
                <w:szCs w:val="24"/>
              </w:rPr>
              <w:t>2.一般，得1分。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
        <w:spacing w:line="360" w:lineRule="auto"/>
        <w:rPr>
          <w:rFonts w:ascii="宋体" w:hAnsi="宋体"/>
          <w:color w:val="000000"/>
          <w:sz w:val="24"/>
          <w:szCs w:val="24"/>
        </w:rPr>
      </w:pPr>
      <w:bookmarkStart w:id="13" w:name="_Toc497408663"/>
      <w:r>
        <w:rPr>
          <w:rFonts w:hint="eastAsia" w:ascii="宋体" w:hAnsi="宋体"/>
          <w:color w:val="000000"/>
          <w:sz w:val="24"/>
          <w:szCs w:val="24"/>
        </w:rPr>
        <w:t>第七章 投标文件格式与要求</w:t>
      </w:r>
      <w:bookmarkEnd w:id="13"/>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rPr>
        <w:t>若项目分包时使用）</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十九.《检察机关行贿犯罪档案查询结果告知函》……………………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二十四.各类证明材料…………………………………………………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14" w:name="_Toc482026547"/>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14"/>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w:t>
      </w:r>
      <w:r>
        <w:rPr>
          <w:rFonts w:hint="eastAsia" w:ascii="宋体" w:hAnsi="宋体"/>
          <w:color w:val="000000"/>
          <w:sz w:val="24"/>
          <w:szCs w:val="24"/>
          <w:lang w:eastAsia="zh-CN"/>
        </w:rPr>
        <w:t>单位名称）</w:t>
      </w:r>
      <w:r>
        <w:rPr>
          <w:rFonts w:hint="eastAsia" w:ascii="宋体" w:hAnsi="宋体"/>
          <w:color w:val="000000"/>
          <w:sz w:val="24"/>
          <w:szCs w:val="24"/>
        </w:rPr>
        <w:t xml:space="preserve">：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14"/>
        <w:spacing w:line="360" w:lineRule="auto"/>
        <w:ind w:left="57" w:right="57" w:firstLine="57"/>
        <w:rPr>
          <w:rFonts w:hAnsi="宋体"/>
          <w:bCs/>
          <w:color w:val="000000"/>
          <w:sz w:val="24"/>
          <w:szCs w:val="24"/>
        </w:rPr>
      </w:pPr>
    </w:p>
    <w:p>
      <w:pPr>
        <w:pStyle w:val="14"/>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15" w:name="_Toc496001220"/>
      <w:bookmarkStart w:id="16" w:name="_Toc482026549"/>
      <w:r>
        <w:rPr>
          <w:rFonts w:hint="eastAsia" w:ascii="宋体" w:hAnsi="宋体"/>
          <w:b/>
          <w:sz w:val="24"/>
          <w:szCs w:val="24"/>
        </w:rPr>
        <w:t>格式五：</w:t>
      </w:r>
    </w:p>
    <w:p>
      <w:pPr>
        <w:spacing w:line="360" w:lineRule="auto"/>
        <w:ind w:firstLine="420"/>
        <w:jc w:val="center"/>
        <w:rPr>
          <w:rFonts w:ascii="宋体" w:hAnsi="宋体"/>
          <w:sz w:val="24"/>
          <w:szCs w:val="24"/>
        </w:rPr>
      </w:pPr>
      <w:r>
        <w:rPr>
          <w:rFonts w:ascii="宋体" w:hAnsi="宋体"/>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sz w:val="24"/>
          <w:szCs w:val="24"/>
        </w:rPr>
      </w:pPr>
      <w:r>
        <w:rPr>
          <w:rFonts w:ascii="宋体" w:hAnsi="宋体"/>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15"/>
    </w:p>
    <w:p>
      <w:pPr>
        <w:spacing w:line="360" w:lineRule="auto"/>
        <w:jc w:val="center"/>
        <w:rPr>
          <w:rFonts w:ascii="宋体" w:hAnsi="宋体"/>
          <w:sz w:val="24"/>
          <w:szCs w:val="24"/>
        </w:rPr>
      </w:pPr>
      <w:r>
        <w:rPr>
          <w:rFonts w:ascii="宋体" w:hAnsi="宋体"/>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14"/>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sz w:val="24"/>
          <w:szCs w:val="24"/>
        </w:rPr>
      </w:pPr>
      <w:r>
        <w:rPr>
          <w:rFonts w:ascii="宋体" w:hAnsi="宋体"/>
          <w:bCs/>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Cs/>
          <w:sz w:val="24"/>
          <w:szCs w:val="24"/>
        </w:rPr>
      </w:pPr>
      <w:r>
        <w:rPr>
          <w:rFonts w:ascii="宋体" w:hAnsi="宋体"/>
          <w:bCs/>
          <w:sz w:val="24"/>
          <w:szCs w:val="24"/>
        </w:rPr>
        <w:t>联合体协议书</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p>
      <w:pPr>
        <w:spacing w:line="360" w:lineRule="auto"/>
        <w:jc w:val="left"/>
        <w:rPr>
          <w:rFonts w:ascii="宋体" w:hAnsi="宋体"/>
          <w:sz w:val="24"/>
          <w:szCs w:val="24"/>
        </w:rPr>
      </w:pPr>
    </w:p>
    <w:bookmarkEnd w:id="16"/>
    <w:p>
      <w:pPr>
        <w:adjustRightInd w:val="0"/>
        <w:snapToGrid w:val="0"/>
        <w:spacing w:line="360" w:lineRule="auto"/>
        <w:jc w:val="left"/>
        <w:rPr>
          <w:rFonts w:hAnsi="宋体"/>
          <w:b/>
          <w:bCs/>
          <w:color w:val="000000"/>
          <w:sz w:val="24"/>
          <w:szCs w:val="24"/>
        </w:rPr>
      </w:pPr>
      <w:bookmarkStart w:id="17" w:name="_Toc491862100"/>
      <w:r>
        <w:rPr>
          <w:rFonts w:hint="eastAsia" w:hAnsi="宋体"/>
          <w:b/>
          <w:bCs/>
          <w:color w:val="000000"/>
          <w:sz w:val="24"/>
          <w:szCs w:val="24"/>
        </w:rPr>
        <w:t>格式十：</w:t>
      </w:r>
      <w:bookmarkEnd w:id="17"/>
      <w:r>
        <w:rPr>
          <w:rFonts w:hint="eastAsia" w:hAnsi="宋体"/>
          <w:b/>
          <w:bCs/>
          <w:color w:val="000000"/>
          <w:sz w:val="24"/>
          <w:szCs w:val="24"/>
        </w:rPr>
        <w:t xml:space="preserve"> </w:t>
      </w:r>
    </w:p>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adjustRightInd w:val="0"/>
        <w:snapToGrid w:val="0"/>
        <w:spacing w:line="360" w:lineRule="auto"/>
        <w:ind w:firstLine="480" w:firstLineChars="200"/>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3. 此表电子版（单独以WORD或EXCEL形式）随投标文件电子版密封递交。</w:t>
      </w:r>
    </w:p>
    <w:p>
      <w:pPr>
        <w:rPr>
          <w:sz w:val="24"/>
          <w:szCs w:val="24"/>
          <w:lang w:val="zh-CN"/>
        </w:rPr>
      </w:pPr>
      <w:r>
        <w:rPr>
          <w:sz w:val="24"/>
          <w:szCs w:val="24"/>
          <w:lang w:val="zh-CN"/>
        </w:rPr>
        <w:br w:type="page"/>
      </w:r>
    </w:p>
    <w:p>
      <w:pPr>
        <w:rPr>
          <w:b/>
          <w:sz w:val="24"/>
          <w:szCs w:val="24"/>
          <w:lang w:val="zh-CN"/>
        </w:rPr>
      </w:pPr>
      <w:r>
        <w:rPr>
          <w:rFonts w:hint="eastAsia"/>
          <w:b/>
          <w:sz w:val="24"/>
          <w:szCs w:val="24"/>
          <w:lang w:val="zh-CN"/>
        </w:rPr>
        <w:t>格式十一：</w:t>
      </w:r>
    </w:p>
    <w:p>
      <w:pPr>
        <w:rPr>
          <w:sz w:val="24"/>
          <w:szCs w:val="24"/>
          <w:lang w:val="zh-CN"/>
        </w:rPr>
      </w:pPr>
    </w:p>
    <w:p>
      <w:pPr>
        <w:jc w:val="center"/>
        <w:rPr>
          <w:rFonts w:ascii="宋体" w:hAnsi="宋体"/>
          <w:color w:val="000000"/>
          <w:sz w:val="24"/>
          <w:szCs w:val="24"/>
        </w:rPr>
      </w:pPr>
      <w:r>
        <w:rPr>
          <w:rFonts w:hint="eastAsia" w:ascii="宋体" w:hAnsi="宋体"/>
          <w:color w:val="000000"/>
          <w:sz w:val="24"/>
          <w:szCs w:val="24"/>
        </w:rPr>
        <w:t>投标货物情况介绍表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color w:val="000000"/>
          <w:sz w:val="24"/>
          <w:szCs w:val="24"/>
        </w:rPr>
      </w:pPr>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3"/>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40" w:firstLineChars="1350"/>
        <w:rPr>
          <w:rFonts w:ascii="宋体" w:hAnsi="宋体" w:cs="Courier New"/>
          <w:color w:val="000000"/>
          <w:kern w:val="0"/>
          <w:sz w:val="24"/>
          <w:szCs w:val="24"/>
        </w:rPr>
      </w:pPr>
      <w:r>
        <w:rPr>
          <w:rFonts w:hint="eastAsia" w:ascii="宋体" w:hAnsi="宋体" w:cs="Courier New"/>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12"/>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18"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18"/>
      <w:r>
        <w:rPr>
          <w:rFonts w:hint="eastAsia" w:ascii="宋体" w:hAnsi="宋体" w:cs="Courier New"/>
          <w:color w:val="000000"/>
          <w:kern w:val="0"/>
          <w:sz w:val="24"/>
          <w:szCs w:val="24"/>
        </w:rPr>
        <w:t>。</w:t>
      </w:r>
    </w:p>
    <w:p>
      <w:pPr>
        <w:pStyle w:val="14"/>
        <w:spacing w:line="336" w:lineRule="auto"/>
        <w:ind w:firstLine="480" w:firstLineChars="200"/>
        <w:rPr>
          <w:rFonts w:hAnsi="宋体"/>
          <w:color w:val="000000"/>
          <w:sz w:val="24"/>
          <w:szCs w:val="24"/>
        </w:rPr>
      </w:pPr>
      <w:bookmarkStart w:id="19"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19"/>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b/>
          <w:color w:val="000000"/>
          <w:sz w:val="24"/>
          <w:szCs w:val="24"/>
        </w:rPr>
      </w:pPr>
      <w:r>
        <w:rPr>
          <w:rFonts w:hint="eastAsia" w:ascii="宋体" w:hAnsi="宋体"/>
          <w:b/>
          <w:bCs/>
          <w:color w:val="000000"/>
          <w:kern w:val="0"/>
          <w:sz w:val="24"/>
          <w:szCs w:val="24"/>
          <w:lang w:val="zh-CN"/>
        </w:rPr>
        <w:t>格式十四：</w:t>
      </w:r>
    </w:p>
    <w:p>
      <w:pPr>
        <w:spacing w:line="360" w:lineRule="auto"/>
        <w:jc w:val="center"/>
        <w:rPr>
          <w:rFonts w:ascii="宋体" w:hAnsi="宋体"/>
          <w:bCs/>
          <w:color w:val="000000"/>
          <w:sz w:val="24"/>
          <w:szCs w:val="24"/>
        </w:rPr>
      </w:pPr>
      <w:r>
        <w:rPr>
          <w:rFonts w:hint="eastAsia" w:ascii="宋体" w:hAnsi="宋体"/>
          <w:sz w:val="24"/>
          <w:szCs w:val="24"/>
          <w:lang w:val="zh-CN"/>
        </w:rPr>
        <w:t>商务规格响应表</w:t>
      </w:r>
    </w:p>
    <w:tbl>
      <w:tblPr>
        <w:tblStyle w:val="27"/>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1"/>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1"/>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lang w:val="zh-CN"/>
        </w:rPr>
        <w:t>投标人基本情况表</w:t>
      </w:r>
    </w:p>
    <w:tbl>
      <w:tblPr>
        <w:tblStyle w:val="27"/>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0" w:name="_Toc438714732"/>
      <w:bookmarkStart w:id="21" w:name="_Toc482026556"/>
      <w:bookmarkStart w:id="22"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0"/>
      <w:bookmarkEnd w:id="21"/>
      <w:bookmarkEnd w:id="22"/>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bookmarkStart w:id="23" w:name="_Toc438655703"/>
      <w:bookmarkStart w:id="24" w:name="_Toc482026557"/>
      <w:bookmarkStart w:id="25" w:name="_Toc438714733"/>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3"/>
      <w:bookmarkEnd w:id="24"/>
      <w:bookmarkEnd w:id="25"/>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6"/>
          <w:rFonts w:hint="eastAsia" w:ascii="宋体" w:hAnsi="宋体" w:cs="宋体"/>
          <w:kern w:val="0"/>
          <w:sz w:val="24"/>
          <w:szCs w:val="24"/>
        </w:rPr>
        <w:t>www.creditchina.gov.cn</w:t>
      </w:r>
      <w:r>
        <w:rPr>
          <w:rStyle w:val="26"/>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6"/>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w:t>
      </w:r>
      <w:r>
        <w:rPr>
          <w:rFonts w:hint="eastAsia" w:ascii="宋体" w:hAnsi="宋体"/>
          <w:b/>
          <w:bCs/>
          <w:color w:val="000000"/>
          <w:kern w:val="0"/>
          <w:sz w:val="24"/>
          <w:szCs w:val="24"/>
          <w:lang w:val="zh-CN" w:eastAsia="zh-CN"/>
        </w:rPr>
        <w:t>一</w:t>
      </w:r>
      <w:r>
        <w:rPr>
          <w:rFonts w:hint="eastAsia" w:ascii="宋体" w:hAnsi="宋体"/>
          <w:b/>
          <w:bCs/>
          <w:color w:val="000000"/>
          <w:kern w:val="0"/>
          <w:sz w:val="24"/>
          <w:szCs w:val="24"/>
          <w:lang w:val="zh-CN"/>
        </w:rPr>
        <w:t>：</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7"/>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34"/>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34"/>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34"/>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34"/>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34"/>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4"/>
              <w:tabs>
                <w:tab w:val="left" w:pos="1260"/>
              </w:tabs>
              <w:spacing w:before="156" w:after="156"/>
              <w:ind w:firstLine="480"/>
              <w:jc w:val="center"/>
              <w:rPr>
                <w:rFonts w:ascii="宋体" w:hAnsi="宋体" w:cs="宋体"/>
                <w:kern w:val="0"/>
                <w:sz w:val="24"/>
              </w:rPr>
            </w:pPr>
          </w:p>
        </w:tc>
        <w:tc>
          <w:tcPr>
            <w:tcW w:w="1702"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4"/>
              <w:tabs>
                <w:tab w:val="left" w:pos="1260"/>
              </w:tabs>
              <w:spacing w:before="156" w:after="156"/>
              <w:ind w:firstLine="480"/>
              <w:jc w:val="center"/>
              <w:rPr>
                <w:rFonts w:ascii="宋体" w:hAnsi="宋体" w:cs="宋体"/>
                <w:kern w:val="0"/>
                <w:sz w:val="24"/>
              </w:rPr>
            </w:pPr>
          </w:p>
        </w:tc>
        <w:tc>
          <w:tcPr>
            <w:tcW w:w="1702" w:type="dxa"/>
            <w:vAlign w:val="center"/>
          </w:tcPr>
          <w:p>
            <w:pPr>
              <w:pStyle w:val="34"/>
              <w:tabs>
                <w:tab w:val="left" w:pos="1260"/>
              </w:tabs>
              <w:spacing w:before="40" w:after="40"/>
              <w:ind w:firstLine="480"/>
              <w:jc w:val="center"/>
              <w:rPr>
                <w:rFonts w:ascii="宋体" w:hAnsi="宋体" w:cs="宋体"/>
                <w:kern w:val="0"/>
                <w:sz w:val="24"/>
              </w:rPr>
            </w:pPr>
          </w:p>
        </w:tc>
        <w:tc>
          <w:tcPr>
            <w:tcW w:w="1196" w:type="dxa"/>
            <w:vAlign w:val="center"/>
          </w:tcPr>
          <w:p>
            <w:pPr>
              <w:pStyle w:val="34"/>
              <w:tabs>
                <w:tab w:val="left" w:pos="1260"/>
              </w:tabs>
              <w:spacing w:before="40" w:after="40"/>
              <w:ind w:firstLine="480"/>
              <w:jc w:val="center"/>
              <w:rPr>
                <w:rFonts w:ascii="宋体" w:hAnsi="宋体" w:cs="宋体"/>
                <w:kern w:val="0"/>
                <w:sz w:val="24"/>
              </w:rPr>
            </w:pPr>
          </w:p>
        </w:tc>
        <w:tc>
          <w:tcPr>
            <w:tcW w:w="1356" w:type="dxa"/>
            <w:vAlign w:val="center"/>
          </w:tcPr>
          <w:p>
            <w:pPr>
              <w:pStyle w:val="34"/>
              <w:tabs>
                <w:tab w:val="left" w:pos="1260"/>
              </w:tabs>
              <w:spacing w:before="40" w:after="40"/>
              <w:ind w:firstLine="480"/>
              <w:jc w:val="center"/>
              <w:rPr>
                <w:rFonts w:ascii="宋体" w:hAnsi="宋体" w:cs="宋体"/>
                <w:kern w:val="0"/>
                <w:sz w:val="24"/>
              </w:rPr>
            </w:pPr>
          </w:p>
        </w:tc>
        <w:tc>
          <w:tcPr>
            <w:tcW w:w="1960" w:type="dxa"/>
            <w:vAlign w:val="center"/>
          </w:tcPr>
          <w:p>
            <w:pPr>
              <w:pStyle w:val="34"/>
              <w:tabs>
                <w:tab w:val="left" w:pos="1260"/>
              </w:tabs>
              <w:spacing w:before="40" w:after="40"/>
              <w:ind w:firstLine="480"/>
              <w:jc w:val="center"/>
              <w:rPr>
                <w:rFonts w:ascii="宋体" w:hAnsi="宋体" w:cs="宋体"/>
                <w:kern w:val="0"/>
                <w:sz w:val="24"/>
              </w:rPr>
            </w:pPr>
          </w:p>
        </w:tc>
        <w:tc>
          <w:tcPr>
            <w:tcW w:w="1685" w:type="dxa"/>
            <w:vAlign w:val="center"/>
          </w:tcPr>
          <w:p>
            <w:pPr>
              <w:pStyle w:val="3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4"/>
              <w:tabs>
                <w:tab w:val="left" w:pos="1260"/>
              </w:tabs>
              <w:spacing w:before="156" w:after="156"/>
              <w:ind w:firstLine="480"/>
              <w:jc w:val="center"/>
              <w:rPr>
                <w:rFonts w:ascii="宋体" w:hAnsi="宋体" w:cs="宋体"/>
                <w:kern w:val="0"/>
                <w:sz w:val="24"/>
              </w:rPr>
            </w:pPr>
          </w:p>
        </w:tc>
        <w:tc>
          <w:tcPr>
            <w:tcW w:w="1702" w:type="dxa"/>
            <w:vAlign w:val="center"/>
          </w:tcPr>
          <w:p>
            <w:pPr>
              <w:pStyle w:val="34"/>
              <w:tabs>
                <w:tab w:val="left" w:pos="1260"/>
              </w:tabs>
              <w:spacing w:before="40" w:after="40"/>
              <w:ind w:firstLine="480"/>
              <w:jc w:val="center"/>
              <w:rPr>
                <w:rFonts w:ascii="宋体" w:hAnsi="宋体" w:cs="宋体"/>
                <w:kern w:val="0"/>
                <w:sz w:val="24"/>
              </w:rPr>
            </w:pPr>
          </w:p>
        </w:tc>
        <w:tc>
          <w:tcPr>
            <w:tcW w:w="1196" w:type="dxa"/>
            <w:vAlign w:val="center"/>
          </w:tcPr>
          <w:p>
            <w:pPr>
              <w:pStyle w:val="34"/>
              <w:tabs>
                <w:tab w:val="left" w:pos="1260"/>
              </w:tabs>
              <w:spacing w:before="40" w:after="40"/>
              <w:ind w:firstLine="480"/>
              <w:jc w:val="center"/>
              <w:rPr>
                <w:rFonts w:ascii="宋体" w:hAnsi="宋体" w:cs="宋体"/>
                <w:kern w:val="0"/>
                <w:sz w:val="24"/>
              </w:rPr>
            </w:pPr>
          </w:p>
        </w:tc>
        <w:tc>
          <w:tcPr>
            <w:tcW w:w="1356" w:type="dxa"/>
            <w:vAlign w:val="center"/>
          </w:tcPr>
          <w:p>
            <w:pPr>
              <w:pStyle w:val="34"/>
              <w:tabs>
                <w:tab w:val="left" w:pos="1260"/>
              </w:tabs>
              <w:spacing w:before="40" w:after="40"/>
              <w:ind w:firstLine="480"/>
              <w:jc w:val="center"/>
              <w:rPr>
                <w:rFonts w:ascii="宋体" w:hAnsi="宋体" w:cs="宋体"/>
                <w:kern w:val="0"/>
                <w:sz w:val="24"/>
              </w:rPr>
            </w:pPr>
          </w:p>
        </w:tc>
        <w:tc>
          <w:tcPr>
            <w:tcW w:w="1960" w:type="dxa"/>
            <w:vAlign w:val="center"/>
          </w:tcPr>
          <w:p>
            <w:pPr>
              <w:pStyle w:val="34"/>
              <w:tabs>
                <w:tab w:val="left" w:pos="1260"/>
              </w:tabs>
              <w:spacing w:before="40" w:after="40"/>
              <w:ind w:firstLine="480"/>
              <w:jc w:val="center"/>
              <w:rPr>
                <w:rFonts w:ascii="宋体" w:hAnsi="宋体" w:cs="宋体"/>
                <w:kern w:val="0"/>
                <w:sz w:val="24"/>
              </w:rPr>
            </w:pPr>
          </w:p>
        </w:tc>
        <w:tc>
          <w:tcPr>
            <w:tcW w:w="1685" w:type="dxa"/>
            <w:vAlign w:val="center"/>
          </w:tcPr>
          <w:p>
            <w:pPr>
              <w:pStyle w:val="3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34"/>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34"/>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3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4"/>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4"/>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26" w:name="OLE_LINK2"/>
      <w:bookmarkStart w:id="27" w:name="OLE_LINK5"/>
      <w:r>
        <w:rPr>
          <w:rFonts w:hint="eastAsia" w:ascii="宋体" w:hAnsi="宋体" w:cs="宋体"/>
          <w:kern w:val="0"/>
          <w:sz w:val="24"/>
          <w:szCs w:val="24"/>
        </w:rPr>
        <w:t>______（请填写：中型、小型、微型）企业</w:t>
      </w:r>
      <w:bookmarkEnd w:id="26"/>
      <w:bookmarkEnd w:id="2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w:t>
      </w:r>
      <w:r>
        <w:rPr>
          <w:rFonts w:hint="eastAsia" w:ascii="宋体" w:hAnsi="宋体" w:cs="宋体"/>
          <w:b/>
          <w:kern w:val="0"/>
          <w:sz w:val="24"/>
          <w:szCs w:val="24"/>
          <w:lang w:eastAsia="zh-CN"/>
        </w:rPr>
        <w:t>四</w:t>
      </w:r>
      <w:r>
        <w:rPr>
          <w:rFonts w:hint="eastAsia" w:ascii="宋体" w:hAnsi="宋体" w:cs="宋体"/>
          <w:b/>
          <w:kern w:val="0"/>
          <w:sz w:val="24"/>
          <w:szCs w:val="24"/>
        </w:rPr>
        <w:t>：</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bCs/>
          <w:color w:val="000000"/>
          <w:kern w:val="0"/>
          <w:sz w:val="24"/>
          <w:szCs w:val="24"/>
          <w:lang w:val="zh-CN"/>
        </w:rPr>
        <w:t>耗材优惠率承诺书</w:t>
      </w:r>
    </w:p>
    <w:p>
      <w:pPr>
        <w:autoSpaceDE w:val="0"/>
        <w:autoSpaceDN w:val="0"/>
        <w:spacing w:line="360" w:lineRule="auto"/>
        <w:jc w:val="center"/>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r>
        <w:rPr>
          <w:rFonts w:hint="eastAsia" w:ascii="宋体" w:hAnsi="宋体"/>
          <w:bCs/>
          <w:color w:val="000000"/>
          <w:kern w:val="0"/>
          <w:sz w:val="24"/>
          <w:szCs w:val="24"/>
          <w:lang w:val="zh-CN"/>
        </w:rPr>
        <w:t>我公司承诺针对本项目投标所有产品的耗材优惠率为市场价格的</w:t>
      </w:r>
      <w:r>
        <w:rPr>
          <w:rFonts w:hint="eastAsia" w:ascii="宋体" w:hAnsi="宋体"/>
          <w:bCs/>
          <w:color w:val="000000"/>
          <w:kern w:val="0"/>
          <w:sz w:val="24"/>
          <w:szCs w:val="24"/>
          <w:u w:val="single"/>
          <w:lang w:val="zh-CN"/>
        </w:rPr>
        <w:t xml:space="preserve">    </w:t>
      </w:r>
      <w:r>
        <w:rPr>
          <w:rFonts w:hint="eastAsia" w:ascii="宋体" w:hAnsi="宋体"/>
          <w:bCs/>
          <w:color w:val="000000"/>
          <w:kern w:val="0"/>
          <w:sz w:val="24"/>
          <w:szCs w:val="24"/>
          <w:lang w:val="zh-CN"/>
        </w:rPr>
        <w:t>折。</w:t>
      </w: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rPr>
        <w:t>格式二十五：</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spacing w:line="360" w:lineRule="auto"/>
        <w:ind w:firstLine="2650" w:firstLineChars="110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28" w:name="_Toc497408664"/>
      <w:r>
        <w:rPr>
          <w:rFonts w:hint="eastAsia" w:ascii="宋体" w:hAnsi="宋体"/>
          <w:b/>
          <w:color w:val="000000"/>
          <w:sz w:val="24"/>
          <w:szCs w:val="24"/>
          <w:lang w:val="zh-CN"/>
        </w:rPr>
        <w:t>温馨提示</w:t>
      </w:r>
      <w:bookmarkEnd w:id="2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20</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587EBB"/>
    <w:multiLevelType w:val="singleLevel"/>
    <w:tmpl w:val="ED587EBB"/>
    <w:lvl w:ilvl="0" w:tentative="0">
      <w:start w:val="6"/>
      <w:numFmt w:val="decimal"/>
      <w:suff w:val="nothing"/>
      <w:lvlText w:val="%1、"/>
      <w:lvlJc w:val="left"/>
    </w:lvl>
  </w:abstractNum>
  <w:abstractNum w:abstractNumId="1">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2">
    <w:nsid w:val="391FE3AC"/>
    <w:multiLevelType w:val="singleLevel"/>
    <w:tmpl w:val="391FE3AC"/>
    <w:lvl w:ilvl="0" w:tentative="0">
      <w:start w:val="4"/>
      <w:numFmt w:val="chineseCounting"/>
      <w:suff w:val="space"/>
      <w:lvlText w:val="第%1章"/>
      <w:lvlJc w:val="left"/>
      <w:rPr>
        <w:rFonts w:hint="eastAsia"/>
      </w:rPr>
    </w:lvl>
  </w:abstractNum>
  <w:abstractNum w:abstractNumId="3">
    <w:nsid w:val="6435223E"/>
    <w:multiLevelType w:val="singleLevel"/>
    <w:tmpl w:val="6435223E"/>
    <w:lvl w:ilvl="0" w:tentative="0">
      <w:start w:val="1"/>
      <w:numFmt w:val="chineseCounting"/>
      <w:lvlText w:val="%1."/>
      <w:lvlJc w:val="left"/>
      <w:pPr>
        <w:tabs>
          <w:tab w:val="left" w:pos="312"/>
        </w:tabs>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D5A"/>
    <w:rsid w:val="00413E0B"/>
    <w:rsid w:val="00573D5A"/>
    <w:rsid w:val="00F91B3E"/>
    <w:rsid w:val="07C27E21"/>
    <w:rsid w:val="0BD22087"/>
    <w:rsid w:val="145655DA"/>
    <w:rsid w:val="184B1D75"/>
    <w:rsid w:val="1A0E4943"/>
    <w:rsid w:val="1C171F44"/>
    <w:rsid w:val="1CC80453"/>
    <w:rsid w:val="1F6164D0"/>
    <w:rsid w:val="210D53CD"/>
    <w:rsid w:val="26044B4E"/>
    <w:rsid w:val="28D93263"/>
    <w:rsid w:val="348403E9"/>
    <w:rsid w:val="34924D88"/>
    <w:rsid w:val="364C2D84"/>
    <w:rsid w:val="384B6915"/>
    <w:rsid w:val="38F36896"/>
    <w:rsid w:val="390067AB"/>
    <w:rsid w:val="3A66183C"/>
    <w:rsid w:val="40E95EE2"/>
    <w:rsid w:val="461E3327"/>
    <w:rsid w:val="47301EF4"/>
    <w:rsid w:val="572917A0"/>
    <w:rsid w:val="5BC839EF"/>
    <w:rsid w:val="5D0E70C7"/>
    <w:rsid w:val="5F71170B"/>
    <w:rsid w:val="5FBD28C1"/>
    <w:rsid w:val="606A367F"/>
    <w:rsid w:val="70E97C00"/>
    <w:rsid w:val="71FF4023"/>
    <w:rsid w:val="763860EB"/>
    <w:rsid w:val="7659401E"/>
    <w:rsid w:val="79AF2A75"/>
    <w:rsid w:val="7E2540E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35"/>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36"/>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37"/>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8"/>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39"/>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40"/>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41"/>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42"/>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43"/>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11">
    <w:name w:val="Body Text 3"/>
    <w:basedOn w:val="1"/>
    <w:link w:val="48"/>
    <w:qFormat/>
    <w:uiPriority w:val="0"/>
    <w:rPr>
      <w:rFonts w:ascii="黑体" w:hAnsi="Arial" w:eastAsia="黑体"/>
      <w:b/>
      <w:kern w:val="0"/>
    </w:rPr>
  </w:style>
  <w:style w:type="paragraph" w:styleId="12">
    <w:name w:val="Body Text Indent"/>
    <w:basedOn w:val="1"/>
    <w:link w:val="51"/>
    <w:unhideWhenUsed/>
    <w:qFormat/>
    <w:uiPriority w:val="99"/>
    <w:pPr>
      <w:spacing w:after="120"/>
      <w:ind w:left="420" w:leftChars="200"/>
    </w:pPr>
  </w:style>
  <w:style w:type="paragraph" w:styleId="13">
    <w:name w:val="toc 3"/>
    <w:basedOn w:val="1"/>
    <w:next w:val="1"/>
    <w:unhideWhenUsed/>
    <w:qFormat/>
    <w:uiPriority w:val="39"/>
    <w:pPr>
      <w:widowControl/>
      <w:spacing w:after="100" w:line="276" w:lineRule="auto"/>
      <w:ind w:left="440"/>
      <w:jc w:val="left"/>
    </w:pPr>
    <w:rPr>
      <w:rFonts w:ascii="Calibri" w:hAnsi="Calibri" w:cs="黑体"/>
      <w:kern w:val="0"/>
      <w:sz w:val="22"/>
      <w:szCs w:val="22"/>
    </w:rPr>
  </w:style>
  <w:style w:type="paragraph" w:styleId="14">
    <w:name w:val="Plain Text"/>
    <w:basedOn w:val="1"/>
    <w:link w:val="46"/>
    <w:qFormat/>
    <w:uiPriority w:val="99"/>
    <w:rPr>
      <w:rFonts w:ascii="宋体" w:hAnsi="Courier New"/>
      <w:kern w:val="0"/>
      <w:sz w:val="20"/>
      <w:szCs w:val="21"/>
    </w:rPr>
  </w:style>
  <w:style w:type="paragraph" w:styleId="15">
    <w:name w:val="Balloon Text"/>
    <w:basedOn w:val="1"/>
    <w:link w:val="50"/>
    <w:unhideWhenUsed/>
    <w:qFormat/>
    <w:uiPriority w:val="99"/>
    <w:rPr>
      <w:sz w:val="18"/>
      <w:szCs w:val="18"/>
    </w:rPr>
  </w:style>
  <w:style w:type="paragraph" w:styleId="16">
    <w:name w:val="footer"/>
    <w:basedOn w:val="1"/>
    <w:link w:val="53"/>
    <w:unhideWhenUsed/>
    <w:qFormat/>
    <w:uiPriority w:val="99"/>
    <w:pPr>
      <w:tabs>
        <w:tab w:val="center" w:pos="4153"/>
        <w:tab w:val="right" w:pos="8306"/>
      </w:tabs>
      <w:snapToGrid w:val="0"/>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rPr>
  </w:style>
  <w:style w:type="paragraph" w:styleId="19">
    <w:name w:val="Subtitle"/>
    <w:basedOn w:val="1"/>
    <w:next w:val="1"/>
    <w:link w:val="45"/>
    <w:qFormat/>
    <w:uiPriority w:val="0"/>
    <w:pPr>
      <w:spacing w:before="240" w:after="60" w:line="312" w:lineRule="auto"/>
      <w:jc w:val="center"/>
      <w:outlineLvl w:val="1"/>
    </w:pPr>
    <w:rPr>
      <w:rFonts w:ascii="Cambria" w:hAnsi="Cambria" w:eastAsia="方正楷体简体"/>
      <w:bCs/>
      <w:kern w:val="28"/>
      <w:sz w:val="20"/>
      <w:szCs w:val="32"/>
    </w:rPr>
  </w:style>
  <w:style w:type="paragraph" w:styleId="20">
    <w:name w:val="toc 2"/>
    <w:basedOn w:val="1"/>
    <w:next w:val="1"/>
    <w:qFormat/>
    <w:uiPriority w:val="39"/>
    <w:pPr>
      <w:ind w:left="420" w:leftChars="200"/>
    </w:pPr>
    <w:rPr>
      <w:sz w:val="24"/>
    </w:rPr>
  </w:style>
  <w:style w:type="paragraph" w:styleId="21">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22">
    <w:name w:val="Title"/>
    <w:basedOn w:val="1"/>
    <w:next w:val="1"/>
    <w:link w:val="44"/>
    <w:qFormat/>
    <w:uiPriority w:val="99"/>
    <w:pPr>
      <w:spacing w:before="240" w:after="60"/>
      <w:jc w:val="center"/>
      <w:outlineLvl w:val="0"/>
    </w:pPr>
    <w:rPr>
      <w:rFonts w:ascii="Cambria" w:hAnsi="Cambria" w:eastAsia="方正小标宋简体"/>
      <w:b/>
      <w:bCs/>
      <w:kern w:val="0"/>
      <w:sz w:val="44"/>
      <w:szCs w:val="32"/>
    </w:rPr>
  </w:style>
  <w:style w:type="character" w:styleId="24">
    <w:name w:val="Strong"/>
    <w:qFormat/>
    <w:uiPriority w:val="22"/>
    <w:rPr>
      <w:b/>
    </w:rPr>
  </w:style>
  <w:style w:type="character" w:styleId="25">
    <w:name w:val="Emphasis"/>
    <w:qFormat/>
    <w:uiPriority w:val="0"/>
    <w:rPr>
      <w:rFonts w:hint="default" w:ascii="Times New Roman" w:hAnsi="Times New Roman" w:cs="Times New Roman"/>
    </w:rPr>
  </w:style>
  <w:style w:type="character" w:styleId="26">
    <w:name w:val="Hyperlink"/>
    <w:qFormat/>
    <w:uiPriority w:val="99"/>
    <w:rPr>
      <w:color w:val="0000FF"/>
      <w:u w:val="single"/>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
    <w:name w:val="列出段落1"/>
    <w:basedOn w:val="1"/>
    <w:qFormat/>
    <w:uiPriority w:val="34"/>
    <w:pPr>
      <w:ind w:firstLine="420" w:firstLineChars="200"/>
    </w:pPr>
    <w:rPr>
      <w:rFonts w:ascii="Calibri" w:hAnsi="Calibri"/>
      <w:szCs w:val="22"/>
    </w:rPr>
  </w:style>
  <w:style w:type="paragraph" w:customStyle="1" w:styleId="30">
    <w:name w:val="无间隔1"/>
    <w:link w:val="47"/>
    <w:qFormat/>
    <w:uiPriority w:val="0"/>
    <w:rPr>
      <w:rFonts w:ascii="Calibri" w:hAnsi="Calibri" w:eastAsia="宋体" w:cs="Times New Roman"/>
      <w:sz w:val="22"/>
      <w:lang w:val="en-US" w:eastAsia="zh-CN" w:bidi="ar-SA"/>
    </w:rPr>
  </w:style>
  <w:style w:type="paragraph" w:customStyle="1" w:styleId="31">
    <w:name w:val="列出段落2"/>
    <w:basedOn w:val="1"/>
    <w:qFormat/>
    <w:uiPriority w:val="34"/>
    <w:pPr>
      <w:ind w:firstLine="420" w:firstLineChars="200"/>
    </w:pPr>
    <w:rPr>
      <w:szCs w:val="21"/>
    </w:rPr>
  </w:style>
  <w:style w:type="paragraph" w:customStyle="1" w:styleId="3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3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标题 1 Char"/>
    <w:link w:val="2"/>
    <w:qFormat/>
    <w:uiPriority w:val="0"/>
    <w:rPr>
      <w:rFonts w:ascii="Times New Roman" w:hAnsi="Times New Roman"/>
      <w:b/>
      <w:bCs/>
      <w:kern w:val="44"/>
      <w:sz w:val="36"/>
      <w:szCs w:val="44"/>
      <w:lang w:val="zh-CN" w:eastAsia="zh-CN"/>
    </w:rPr>
  </w:style>
  <w:style w:type="character" w:customStyle="1" w:styleId="36">
    <w:name w:val="标题 2 Char"/>
    <w:link w:val="3"/>
    <w:qFormat/>
    <w:uiPriority w:val="0"/>
    <w:rPr>
      <w:rFonts w:ascii="Arial" w:hAnsi="Arial" w:eastAsia="黑体"/>
      <w:b/>
      <w:bCs/>
      <w:sz w:val="32"/>
      <w:szCs w:val="32"/>
      <w:lang w:val="zh-CN" w:eastAsia="zh-CN"/>
    </w:rPr>
  </w:style>
  <w:style w:type="character" w:customStyle="1" w:styleId="37">
    <w:name w:val="标题 3 Char"/>
    <w:link w:val="4"/>
    <w:qFormat/>
    <w:uiPriority w:val="0"/>
    <w:rPr>
      <w:rFonts w:ascii="Times New Roman" w:hAnsi="Times New Roman"/>
      <w:b/>
      <w:bCs/>
      <w:sz w:val="32"/>
      <w:szCs w:val="32"/>
    </w:rPr>
  </w:style>
  <w:style w:type="character" w:customStyle="1" w:styleId="38">
    <w:name w:val="标题 4 Char"/>
    <w:link w:val="5"/>
    <w:qFormat/>
    <w:uiPriority w:val="0"/>
    <w:rPr>
      <w:rFonts w:ascii="仿宋_GB2312" w:hAnsi="Times New Roman" w:eastAsia="仿宋_GB2312"/>
      <w:sz w:val="28"/>
      <w:szCs w:val="24"/>
    </w:rPr>
  </w:style>
  <w:style w:type="character" w:customStyle="1" w:styleId="39">
    <w:name w:val="标题 5 Char"/>
    <w:link w:val="6"/>
    <w:qFormat/>
    <w:uiPriority w:val="0"/>
    <w:rPr>
      <w:rFonts w:ascii="宋体" w:hAnsi="宋体"/>
      <w:b/>
      <w:kern w:val="21"/>
      <w:sz w:val="28"/>
      <w:lang w:eastAsia="ar-SA"/>
    </w:rPr>
  </w:style>
  <w:style w:type="character" w:customStyle="1" w:styleId="40">
    <w:name w:val="标题 6 Char"/>
    <w:link w:val="7"/>
    <w:qFormat/>
    <w:uiPriority w:val="0"/>
    <w:rPr>
      <w:rFonts w:ascii="Arial" w:hAnsi="Arial" w:eastAsia="黑体"/>
      <w:b/>
      <w:kern w:val="21"/>
      <w:sz w:val="24"/>
      <w:lang w:eastAsia="ar-SA"/>
    </w:rPr>
  </w:style>
  <w:style w:type="character" w:customStyle="1" w:styleId="41">
    <w:name w:val="标题 7 Char"/>
    <w:link w:val="8"/>
    <w:qFormat/>
    <w:uiPriority w:val="0"/>
    <w:rPr>
      <w:rFonts w:ascii="宋体" w:hAnsi="宋体"/>
      <w:b/>
      <w:kern w:val="21"/>
      <w:sz w:val="24"/>
      <w:lang w:eastAsia="ar-SA"/>
    </w:rPr>
  </w:style>
  <w:style w:type="character" w:customStyle="1" w:styleId="42">
    <w:name w:val="标题 8 Char"/>
    <w:link w:val="9"/>
    <w:qFormat/>
    <w:uiPriority w:val="0"/>
    <w:rPr>
      <w:rFonts w:ascii="Arial" w:hAnsi="Arial" w:eastAsia="黑体"/>
      <w:kern w:val="21"/>
      <w:sz w:val="24"/>
      <w:lang w:eastAsia="ar-SA"/>
    </w:rPr>
  </w:style>
  <w:style w:type="character" w:customStyle="1" w:styleId="43">
    <w:name w:val="标题 9 Char"/>
    <w:link w:val="10"/>
    <w:qFormat/>
    <w:uiPriority w:val="0"/>
    <w:rPr>
      <w:rFonts w:ascii="Arial" w:hAnsi="Arial" w:eastAsia="黑体"/>
      <w:kern w:val="21"/>
      <w:sz w:val="21"/>
      <w:lang w:eastAsia="ar-SA"/>
    </w:rPr>
  </w:style>
  <w:style w:type="character" w:customStyle="1" w:styleId="44">
    <w:name w:val="标题 Char"/>
    <w:link w:val="22"/>
    <w:qFormat/>
    <w:uiPriority w:val="99"/>
    <w:rPr>
      <w:rFonts w:ascii="Cambria" w:hAnsi="Cambria" w:eastAsia="方正小标宋简体"/>
      <w:b/>
      <w:bCs/>
      <w:sz w:val="44"/>
      <w:szCs w:val="32"/>
    </w:rPr>
  </w:style>
  <w:style w:type="character" w:customStyle="1" w:styleId="45">
    <w:name w:val="副标题 Char"/>
    <w:link w:val="19"/>
    <w:qFormat/>
    <w:uiPriority w:val="0"/>
    <w:rPr>
      <w:rFonts w:ascii="Cambria" w:hAnsi="Cambria" w:eastAsia="方正楷体简体"/>
      <w:bCs/>
      <w:kern w:val="28"/>
      <w:szCs w:val="32"/>
    </w:rPr>
  </w:style>
  <w:style w:type="character" w:customStyle="1" w:styleId="46">
    <w:name w:val="纯文本 Char"/>
    <w:link w:val="14"/>
    <w:qFormat/>
    <w:uiPriority w:val="99"/>
    <w:rPr>
      <w:rFonts w:ascii="宋体" w:hAnsi="Courier New" w:cs="Courier New"/>
      <w:szCs w:val="21"/>
    </w:rPr>
  </w:style>
  <w:style w:type="character" w:customStyle="1" w:styleId="47">
    <w:name w:val="无间隔 Char"/>
    <w:link w:val="30"/>
    <w:qFormat/>
    <w:uiPriority w:val="0"/>
    <w:rPr>
      <w:rFonts w:cs="Times New Roman"/>
      <w:sz w:val="22"/>
      <w:lang w:bidi="ar-SA"/>
    </w:rPr>
  </w:style>
  <w:style w:type="character" w:customStyle="1" w:styleId="48">
    <w:name w:val="正文文本 3 Char"/>
    <w:link w:val="11"/>
    <w:qFormat/>
    <w:uiPriority w:val="0"/>
    <w:rPr>
      <w:rFonts w:ascii="黑体" w:hAnsi="Arial" w:eastAsia="黑体"/>
      <w:b/>
      <w:sz w:val="28"/>
    </w:rPr>
  </w:style>
  <w:style w:type="character" w:customStyle="1" w:styleId="49">
    <w:name w:val="正文文本 3 Char1"/>
    <w:basedOn w:val="23"/>
    <w:semiHidden/>
    <w:qFormat/>
    <w:uiPriority w:val="99"/>
    <w:rPr>
      <w:rFonts w:ascii="Times New Roman" w:hAnsi="Times New Roman"/>
      <w:kern w:val="2"/>
      <w:sz w:val="16"/>
      <w:szCs w:val="16"/>
    </w:rPr>
  </w:style>
  <w:style w:type="character" w:customStyle="1" w:styleId="50">
    <w:name w:val="批注框文本 Char"/>
    <w:basedOn w:val="23"/>
    <w:link w:val="15"/>
    <w:qFormat/>
    <w:uiPriority w:val="99"/>
    <w:rPr>
      <w:rFonts w:ascii="Times New Roman" w:hAnsi="Times New Roman"/>
      <w:kern w:val="2"/>
      <w:sz w:val="18"/>
      <w:szCs w:val="18"/>
    </w:rPr>
  </w:style>
  <w:style w:type="character" w:customStyle="1" w:styleId="51">
    <w:name w:val="正文文本缩进 Char"/>
    <w:basedOn w:val="23"/>
    <w:link w:val="12"/>
    <w:qFormat/>
    <w:uiPriority w:val="99"/>
    <w:rPr>
      <w:rFonts w:ascii="Times New Roman" w:hAnsi="Times New Roman"/>
      <w:kern w:val="2"/>
      <w:sz w:val="28"/>
    </w:rPr>
  </w:style>
  <w:style w:type="character" w:customStyle="1" w:styleId="52">
    <w:name w:val="页眉 Char"/>
    <w:basedOn w:val="23"/>
    <w:link w:val="17"/>
    <w:qFormat/>
    <w:uiPriority w:val="99"/>
    <w:rPr>
      <w:rFonts w:ascii="Times New Roman" w:hAnsi="Times New Roman"/>
      <w:kern w:val="2"/>
      <w:sz w:val="18"/>
      <w:szCs w:val="18"/>
    </w:rPr>
  </w:style>
  <w:style w:type="character" w:customStyle="1" w:styleId="53">
    <w:name w:val="页脚 Char"/>
    <w:basedOn w:val="23"/>
    <w:link w:val="16"/>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4462</Words>
  <Characters>25437</Characters>
  <Lines>211</Lines>
  <Paragraphs>59</Paragraphs>
  <TotalTime>69</TotalTime>
  <ScaleCrop>false</ScaleCrop>
  <LinksUpToDate>false</LinksUpToDate>
  <CharactersWithSpaces>29840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dell</cp:lastModifiedBy>
  <dcterms:modified xsi:type="dcterms:W3CDTF">2018-11-07T02:09:42Z</dcterms:modified>
  <dc:title>准格尔旗公共资源交易中心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