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eastAsia="zh-CN"/>
        </w:rPr>
        <w:t>招标文件修改说明</w:t>
      </w:r>
    </w:p>
    <w:p>
      <w:pPr>
        <w:numPr>
          <w:ilvl w:val="0"/>
          <w:numId w:val="2"/>
        </w:numPr>
        <w:rPr>
          <w:rFonts w:hint="eastAsia"/>
          <w:sz w:val="32"/>
          <w:szCs w:val="32"/>
          <w:lang w:eastAsia="zh-CN"/>
        </w:rPr>
      </w:pPr>
      <w:r>
        <w:rPr>
          <w:rFonts w:hint="eastAsia"/>
          <w:sz w:val="32"/>
          <w:szCs w:val="32"/>
          <w:lang w:eastAsia="zh-CN"/>
        </w:rPr>
        <w:t>原文件</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482"/>
        <w:gridCol w:w="2176"/>
        <w:gridCol w:w="4011"/>
        <w:gridCol w:w="595"/>
        <w:gridCol w:w="606"/>
        <w:gridCol w:w="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5"/>
            <w:noWrap/>
            <w:vAlign w:val="bottom"/>
          </w:tcPr>
          <w:p>
            <w:pPr>
              <w:jc w:val="left"/>
              <w:rPr>
                <w:rFonts w:ascii="宋体" w:hAnsi="宋体" w:cs="宋体"/>
                <w:b/>
                <w:bCs/>
                <w:kern w:val="0"/>
                <w:sz w:val="20"/>
              </w:rPr>
            </w:pPr>
            <w:r>
              <w:rPr>
                <w:rFonts w:ascii="宋体" w:hAnsi="宋体" w:cs="宋体"/>
                <w:b/>
                <w:bCs/>
                <w:kern w:val="0"/>
                <w:sz w:val="20"/>
              </w:rPr>
              <w:t>2</w:t>
            </w:r>
            <w:r>
              <w:rPr>
                <w:rFonts w:hint="eastAsia" w:ascii="宋体" w:hAnsi="宋体" w:cs="宋体"/>
                <w:b/>
                <w:bCs/>
                <w:kern w:val="0"/>
                <w:sz w:val="20"/>
              </w:rPr>
              <w:t>、敏感区空气质量监控超级站</w:t>
            </w:r>
          </w:p>
        </w:tc>
        <w:tc>
          <w:tcPr>
            <w:tcW w:w="606" w:type="dxa"/>
          </w:tcPr>
          <w:p>
            <w:pPr>
              <w:jc w:val="left"/>
              <w:rPr>
                <w:rFonts w:ascii="宋体" w:hAnsi="宋体" w:cs="宋体"/>
                <w:b/>
                <w:bCs/>
                <w:kern w:val="0"/>
                <w:sz w:val="20"/>
              </w:rPr>
            </w:pPr>
          </w:p>
        </w:tc>
        <w:tc>
          <w:tcPr>
            <w:tcW w:w="308" w:type="dxa"/>
          </w:tcPr>
          <w:p>
            <w:pPr>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w:t>
            </w:r>
          </w:p>
        </w:tc>
        <w:tc>
          <w:tcPr>
            <w:tcW w:w="1482" w:type="dxa"/>
            <w:vMerge w:val="restart"/>
            <w:noWrap/>
            <w:vAlign w:val="center"/>
          </w:tcPr>
          <w:p>
            <w:pPr>
              <w:jc w:val="left"/>
              <w:rPr>
                <w:rFonts w:ascii="宋体" w:hAnsi="宋体" w:cs="宋体"/>
                <w:kern w:val="0"/>
                <w:sz w:val="20"/>
              </w:rPr>
            </w:pPr>
            <w:r>
              <w:rPr>
                <w:rFonts w:hint="eastAsia" w:ascii="宋体" w:hAnsi="宋体" w:cs="宋体"/>
                <w:kern w:val="0"/>
                <w:sz w:val="20"/>
              </w:rPr>
              <w:t>仪器配置(无机）</w:t>
            </w:r>
          </w:p>
        </w:tc>
        <w:tc>
          <w:tcPr>
            <w:tcW w:w="2176" w:type="dxa"/>
            <w:vAlign w:val="center"/>
          </w:tcPr>
          <w:p>
            <w:pPr>
              <w:jc w:val="left"/>
              <w:rPr>
                <w:rFonts w:ascii="宋体" w:hAnsi="宋体" w:cs="宋体"/>
                <w:kern w:val="0"/>
                <w:sz w:val="20"/>
              </w:rPr>
            </w:pPr>
            <w:r>
              <w:rPr>
                <w:rFonts w:hint="eastAsia" w:ascii="宋体" w:hAnsi="宋体" w:cs="宋体"/>
                <w:kern w:val="0"/>
                <w:sz w:val="20"/>
              </w:rPr>
              <w:t xml:space="preserve">H2S/SO2分析仪 </w:t>
            </w:r>
          </w:p>
        </w:tc>
        <w:tc>
          <w:tcPr>
            <w:tcW w:w="4011" w:type="dxa"/>
            <w:noWrap/>
            <w:vAlign w:val="center"/>
          </w:tcPr>
          <w:p>
            <w:pPr>
              <w:jc w:val="left"/>
              <w:rPr>
                <w:rFonts w:ascii="宋体" w:hAnsi="宋体" w:cs="宋体"/>
                <w:kern w:val="0"/>
                <w:sz w:val="20"/>
              </w:rPr>
            </w:pPr>
            <w:r>
              <w:rPr>
                <w:rFonts w:hint="eastAsia" w:ascii="宋体" w:hAnsi="宋体" w:cs="宋体"/>
                <w:kern w:val="0"/>
                <w:sz w:val="20"/>
              </w:rPr>
              <w:t>测量原理：紫外荧光法；</w:t>
            </w:r>
          </w:p>
          <w:p>
            <w:pPr>
              <w:jc w:val="left"/>
              <w:rPr>
                <w:rFonts w:ascii="宋体" w:hAnsi="宋体" w:cs="宋体"/>
                <w:kern w:val="0"/>
                <w:sz w:val="20"/>
              </w:rPr>
            </w:pPr>
            <w:r>
              <w:rPr>
                <w:rFonts w:hint="eastAsia" w:ascii="宋体" w:hAnsi="宋体" w:cs="宋体"/>
                <w:kern w:val="0"/>
                <w:sz w:val="20"/>
              </w:rPr>
              <w:t>量程：H2S：最小0～50ppb，最大0～10ppm；SO2：0-20ppm（可选，独立量程和自动量程设置）。</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NOx分析仪</w:t>
            </w:r>
          </w:p>
        </w:tc>
        <w:tc>
          <w:tcPr>
            <w:tcW w:w="4011" w:type="dxa"/>
            <w:noWrap/>
            <w:vAlign w:val="center"/>
          </w:tcPr>
          <w:p>
            <w:pPr>
              <w:jc w:val="left"/>
              <w:rPr>
                <w:rFonts w:ascii="宋体" w:hAnsi="宋体" w:cs="宋体"/>
                <w:kern w:val="0"/>
                <w:sz w:val="20"/>
              </w:rPr>
            </w:pPr>
            <w:r>
              <w:rPr>
                <w:rFonts w:hint="eastAsia" w:ascii="宋体" w:hAnsi="宋体" w:cs="宋体"/>
                <w:kern w:val="0"/>
                <w:sz w:val="20"/>
              </w:rPr>
              <w:t>测量原理：化学发光法；</w:t>
            </w:r>
          </w:p>
          <w:p>
            <w:pPr>
              <w:jc w:val="left"/>
              <w:rPr>
                <w:rFonts w:ascii="宋体" w:hAnsi="宋体" w:cs="宋体"/>
                <w:kern w:val="0"/>
                <w:sz w:val="20"/>
              </w:rPr>
            </w:pPr>
            <w:r>
              <w:rPr>
                <w:rFonts w:hint="eastAsia" w:ascii="宋体" w:hAnsi="宋体" w:cs="宋体"/>
                <w:kern w:val="0"/>
                <w:sz w:val="20"/>
              </w:rPr>
              <w:t>量程范围：0-500ppb到0-20ppm（可选双量程和自动量程）。</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3</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NH3分析仪</w:t>
            </w:r>
          </w:p>
        </w:tc>
        <w:tc>
          <w:tcPr>
            <w:tcW w:w="4011" w:type="dxa"/>
            <w:noWrap/>
            <w:vAlign w:val="center"/>
          </w:tcPr>
          <w:p>
            <w:pPr>
              <w:jc w:val="left"/>
              <w:rPr>
                <w:rFonts w:ascii="宋体" w:hAnsi="宋体" w:cs="宋体"/>
                <w:kern w:val="0"/>
                <w:sz w:val="20"/>
              </w:rPr>
            </w:pPr>
            <w:r>
              <w:rPr>
                <w:rFonts w:hint="eastAsia" w:ascii="宋体" w:hAnsi="宋体" w:cs="宋体"/>
                <w:kern w:val="0"/>
                <w:sz w:val="20"/>
              </w:rPr>
              <w:t>测量原理：可调制半导体激光吸收光谱；</w:t>
            </w:r>
          </w:p>
          <w:p>
            <w:pPr>
              <w:jc w:val="left"/>
              <w:rPr>
                <w:rFonts w:ascii="宋体" w:hAnsi="宋体" w:cs="宋体"/>
                <w:kern w:val="0"/>
                <w:sz w:val="20"/>
              </w:rPr>
            </w:pPr>
            <w:r>
              <w:rPr>
                <w:rFonts w:hint="eastAsia" w:ascii="宋体" w:hAnsi="宋体" w:cs="宋体"/>
                <w:kern w:val="0"/>
                <w:sz w:val="20"/>
              </w:rPr>
              <w:t>量程：0 ~ 2 ppm；</w:t>
            </w:r>
          </w:p>
          <w:p>
            <w:pPr>
              <w:jc w:val="left"/>
              <w:rPr>
                <w:rFonts w:ascii="宋体" w:hAnsi="宋体" w:cs="宋体"/>
                <w:kern w:val="0"/>
                <w:sz w:val="20"/>
              </w:rPr>
            </w:pPr>
            <w:r>
              <w:rPr>
                <w:rFonts w:hint="eastAsia" w:ascii="宋体" w:hAnsi="宋体" w:cs="宋体"/>
                <w:kern w:val="0"/>
                <w:sz w:val="20"/>
              </w:rPr>
              <w:t>检测限：1 ppb（1倍标准偏差）。</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4</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气象五参数</w:t>
            </w:r>
          </w:p>
        </w:tc>
        <w:tc>
          <w:tcPr>
            <w:tcW w:w="4011" w:type="dxa"/>
            <w:noWrap/>
            <w:vAlign w:val="center"/>
          </w:tcPr>
          <w:p>
            <w:pPr>
              <w:jc w:val="left"/>
              <w:rPr>
                <w:rFonts w:ascii="宋体" w:hAnsi="宋体" w:cs="宋体"/>
                <w:kern w:val="0"/>
                <w:sz w:val="20"/>
              </w:rPr>
            </w:pPr>
            <w:r>
              <w:rPr>
                <w:rFonts w:hint="eastAsia" w:ascii="宋体" w:hAnsi="宋体" w:cs="宋体"/>
                <w:kern w:val="0"/>
                <w:sz w:val="20"/>
              </w:rPr>
              <w:t>测量温度、湿度、气压、风向、风速。</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5</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动态校准仪（含臭氧模块）</w:t>
            </w:r>
          </w:p>
        </w:tc>
        <w:tc>
          <w:tcPr>
            <w:tcW w:w="4011" w:type="dxa"/>
            <w:noWrap/>
            <w:vAlign w:val="center"/>
          </w:tcPr>
          <w:p>
            <w:pPr>
              <w:jc w:val="left"/>
              <w:rPr>
                <w:rFonts w:ascii="宋体" w:hAnsi="宋体" w:cs="宋体"/>
                <w:kern w:val="0"/>
                <w:sz w:val="20"/>
              </w:rPr>
            </w:pPr>
            <w:r>
              <w:rPr>
                <w:rFonts w:hint="eastAsia" w:ascii="宋体" w:hAnsi="宋体" w:cs="宋体"/>
                <w:kern w:val="0"/>
                <w:sz w:val="20"/>
              </w:rPr>
              <w:t>稀释气流量范围：标配：0~10SLM；可选：0~5SLM0~20SLM；</w:t>
            </w:r>
          </w:p>
          <w:p>
            <w:pPr>
              <w:jc w:val="left"/>
              <w:rPr>
                <w:rFonts w:ascii="宋体" w:hAnsi="宋体" w:cs="宋体"/>
                <w:kern w:val="0"/>
                <w:sz w:val="20"/>
              </w:rPr>
            </w:pPr>
            <w:r>
              <w:rPr>
                <w:rFonts w:hint="eastAsia" w:ascii="宋体" w:hAnsi="宋体" w:cs="宋体"/>
                <w:kern w:val="0"/>
                <w:sz w:val="20"/>
              </w:rPr>
              <w:t>标气流量范围：标配：0~100sccm；可选：0~50sccm、0~200sccm。</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6</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渗透炉校准仪</w:t>
            </w:r>
          </w:p>
        </w:tc>
        <w:tc>
          <w:tcPr>
            <w:tcW w:w="4011" w:type="dxa"/>
            <w:noWrap/>
            <w:vAlign w:val="center"/>
          </w:tcPr>
          <w:p>
            <w:pPr>
              <w:jc w:val="left"/>
              <w:rPr>
                <w:rFonts w:ascii="宋体" w:hAnsi="宋体" w:cs="宋体"/>
                <w:kern w:val="0"/>
                <w:sz w:val="20"/>
              </w:rPr>
            </w:pPr>
            <w:r>
              <w:rPr>
                <w:rFonts w:hint="eastAsia" w:ascii="宋体" w:hAnsi="宋体" w:cs="宋体"/>
                <w:kern w:val="0"/>
                <w:sz w:val="20"/>
              </w:rPr>
              <w:t>温度控制精度：±0.01°C 在 110°C ；</w:t>
            </w:r>
          </w:p>
          <w:p>
            <w:pPr>
              <w:jc w:val="left"/>
              <w:rPr>
                <w:rFonts w:ascii="宋体" w:hAnsi="宋体" w:cs="宋体"/>
                <w:kern w:val="0"/>
                <w:sz w:val="20"/>
              </w:rPr>
            </w:pPr>
            <w:r>
              <w:rPr>
                <w:rFonts w:hint="eastAsia" w:ascii="宋体" w:hAnsi="宋体" w:cs="宋体"/>
                <w:kern w:val="0"/>
                <w:sz w:val="20"/>
              </w:rPr>
              <w:t>供气范围：PPB – 高浓度 PPM；两个独立的渗透腔。</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7</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零气发生器</w:t>
            </w:r>
          </w:p>
        </w:tc>
        <w:tc>
          <w:tcPr>
            <w:tcW w:w="4011" w:type="dxa"/>
            <w:noWrap/>
            <w:vAlign w:val="center"/>
          </w:tcPr>
          <w:p>
            <w:pPr>
              <w:jc w:val="left"/>
              <w:rPr>
                <w:rFonts w:ascii="宋体" w:hAnsi="宋体" w:cs="宋体"/>
                <w:kern w:val="0"/>
                <w:sz w:val="20"/>
              </w:rPr>
            </w:pPr>
            <w:r>
              <w:rPr>
                <w:rFonts w:hint="eastAsia" w:ascii="宋体" w:hAnsi="宋体" w:cs="宋体"/>
                <w:kern w:val="0"/>
                <w:sz w:val="20"/>
              </w:rPr>
              <w:t>输出流量：20SLPM，当30Psig 时；</w:t>
            </w:r>
          </w:p>
          <w:p>
            <w:pPr>
              <w:jc w:val="left"/>
              <w:rPr>
                <w:rFonts w:ascii="宋体" w:hAnsi="宋体" w:cs="宋体"/>
                <w:kern w:val="0"/>
                <w:sz w:val="20"/>
              </w:rPr>
            </w:pPr>
            <w:r>
              <w:rPr>
                <w:rFonts w:hint="eastAsia" w:ascii="宋体" w:hAnsi="宋体" w:cs="宋体"/>
                <w:kern w:val="0"/>
                <w:sz w:val="20"/>
              </w:rPr>
              <w:t>露点：&lt;-30℃（&lt;15L）；&lt;-20℃（＞15L）。</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8</w:t>
            </w:r>
          </w:p>
        </w:tc>
        <w:tc>
          <w:tcPr>
            <w:tcW w:w="1482" w:type="dxa"/>
            <w:vMerge w:val="restart"/>
            <w:noWrap/>
            <w:vAlign w:val="center"/>
          </w:tcPr>
          <w:p>
            <w:pPr>
              <w:jc w:val="left"/>
              <w:rPr>
                <w:rFonts w:ascii="宋体" w:hAnsi="宋体" w:cs="宋体"/>
                <w:kern w:val="0"/>
                <w:sz w:val="20"/>
              </w:rPr>
            </w:pPr>
            <w:r>
              <w:rPr>
                <w:rFonts w:hint="eastAsia" w:ascii="宋体" w:hAnsi="宋体" w:cs="宋体"/>
                <w:kern w:val="0"/>
                <w:sz w:val="20"/>
              </w:rPr>
              <w:t>仪器配置(有机）</w:t>
            </w:r>
          </w:p>
        </w:tc>
        <w:tc>
          <w:tcPr>
            <w:tcW w:w="2176" w:type="dxa"/>
            <w:vAlign w:val="center"/>
          </w:tcPr>
          <w:p>
            <w:pPr>
              <w:jc w:val="left"/>
              <w:rPr>
                <w:rFonts w:ascii="宋体" w:hAnsi="宋体" w:cs="宋体"/>
                <w:kern w:val="0"/>
                <w:sz w:val="20"/>
              </w:rPr>
            </w:pPr>
            <w:r>
              <w:rPr>
                <w:rFonts w:hint="eastAsia" w:ascii="宋体" w:hAnsi="宋体" w:cs="宋体"/>
                <w:kern w:val="0"/>
                <w:sz w:val="20"/>
              </w:rPr>
              <w:t>甲烷/非甲烷总烃在线分析仪</w:t>
            </w:r>
          </w:p>
        </w:tc>
        <w:tc>
          <w:tcPr>
            <w:tcW w:w="4011" w:type="dxa"/>
            <w:noWrap/>
            <w:vAlign w:val="center"/>
          </w:tcPr>
          <w:p>
            <w:pPr>
              <w:jc w:val="left"/>
              <w:rPr>
                <w:rFonts w:ascii="宋体" w:hAnsi="宋体" w:cs="宋体"/>
                <w:kern w:val="0"/>
                <w:sz w:val="20"/>
              </w:rPr>
            </w:pPr>
            <w:r>
              <w:rPr>
                <w:rFonts w:hint="eastAsia" w:ascii="宋体" w:hAnsi="宋体" w:cs="宋体"/>
                <w:kern w:val="0"/>
                <w:sz w:val="20"/>
              </w:rPr>
              <w:t>分析方法：气相色谱法；</w:t>
            </w:r>
          </w:p>
          <w:p>
            <w:pPr>
              <w:jc w:val="left"/>
              <w:rPr>
                <w:rFonts w:ascii="宋体" w:hAnsi="宋体" w:cs="宋体"/>
                <w:kern w:val="0"/>
                <w:sz w:val="20"/>
              </w:rPr>
            </w:pPr>
            <w:r>
              <w:rPr>
                <w:rFonts w:hint="eastAsia" w:ascii="宋体" w:hAnsi="宋体" w:cs="宋体"/>
                <w:kern w:val="0"/>
                <w:sz w:val="20"/>
              </w:rPr>
              <w:t>检出限：非甲烷总烃（以甲烷计）≤0.05ppm。</w:t>
            </w:r>
          </w:p>
        </w:tc>
        <w:tc>
          <w:tcPr>
            <w:tcW w:w="595" w:type="dxa"/>
            <w:noWrap/>
            <w:vAlign w:val="center"/>
          </w:tcPr>
          <w:p>
            <w:pPr>
              <w:jc w:val="center"/>
              <w:rPr>
                <w:rFonts w:ascii="宋体" w:hAnsi="宋体" w:cs="宋体"/>
                <w:kern w:val="0"/>
                <w:sz w:val="20"/>
              </w:rPr>
            </w:pPr>
            <w:r>
              <w:rPr>
                <w:rFonts w:hint="eastAsia" w:ascii="宋体" w:hAnsi="宋体" w:cs="宋体"/>
                <w:kern w:val="0"/>
                <w:sz w:val="20"/>
                <w:lang w:eastAsia="zh-CN"/>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9</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VOCs在线质谱分析仪(GC-FID/MS)</w:t>
            </w:r>
          </w:p>
        </w:tc>
        <w:tc>
          <w:tcPr>
            <w:tcW w:w="4011" w:type="dxa"/>
            <w:noWrap/>
            <w:vAlign w:val="center"/>
          </w:tcPr>
          <w:p>
            <w:pPr>
              <w:jc w:val="left"/>
              <w:rPr>
                <w:rFonts w:ascii="宋体" w:hAnsi="宋体" w:cs="宋体"/>
                <w:kern w:val="0"/>
                <w:sz w:val="20"/>
              </w:rPr>
            </w:pPr>
            <w:r>
              <w:rPr>
                <w:rFonts w:hint="eastAsia" w:ascii="宋体" w:hAnsi="宋体" w:cs="宋体"/>
                <w:kern w:val="0"/>
                <w:sz w:val="20"/>
              </w:rPr>
              <w:t>分析方法：气相色谱质谱联用法；</w:t>
            </w:r>
          </w:p>
          <w:p>
            <w:pPr>
              <w:jc w:val="left"/>
              <w:rPr>
                <w:rFonts w:ascii="宋体" w:hAnsi="宋体" w:cs="宋体"/>
                <w:kern w:val="0"/>
                <w:sz w:val="20"/>
              </w:rPr>
            </w:pPr>
            <w:r>
              <w:rPr>
                <w:rFonts w:hint="eastAsia" w:ascii="宋体" w:hAnsi="宋体" w:cs="宋体"/>
                <w:kern w:val="0"/>
                <w:sz w:val="20"/>
              </w:rPr>
              <w:t>可分析组分：大气中挥发性有机物，包括PAMS（57种），TO15组分（65种），OVOC（12种）等有机物。</w:t>
            </w:r>
          </w:p>
        </w:tc>
        <w:tc>
          <w:tcPr>
            <w:tcW w:w="595" w:type="dxa"/>
            <w:noWrap/>
            <w:vAlign w:val="center"/>
          </w:tcPr>
          <w:p>
            <w:pPr>
              <w:jc w:val="center"/>
              <w:rPr>
                <w:rFonts w:ascii="宋体" w:hAnsi="宋体" w:cs="宋体"/>
                <w:kern w:val="0"/>
                <w:sz w:val="20"/>
              </w:rPr>
            </w:pPr>
            <w:r>
              <w:rPr>
                <w:rFonts w:hint="eastAsia" w:ascii="宋体" w:hAnsi="宋体" w:cs="宋体"/>
                <w:kern w:val="0"/>
                <w:sz w:val="20"/>
                <w:lang w:eastAsia="zh-CN"/>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10</w:t>
            </w:r>
          </w:p>
        </w:tc>
        <w:tc>
          <w:tcPr>
            <w:tcW w:w="1482" w:type="dxa"/>
            <w:vMerge w:val="continue"/>
            <w:vAlign w:val="center"/>
          </w:tcPr>
          <w:p>
            <w:pPr>
              <w:jc w:val="left"/>
              <w:rPr>
                <w:rFonts w:ascii="宋体" w:hAnsi="宋体" w:cs="宋体"/>
                <w:kern w:val="0"/>
                <w:sz w:val="20"/>
              </w:rPr>
            </w:pPr>
          </w:p>
        </w:tc>
        <w:tc>
          <w:tcPr>
            <w:tcW w:w="2176" w:type="dxa"/>
            <w:noWrap/>
            <w:vAlign w:val="bottom"/>
          </w:tcPr>
          <w:p>
            <w:pPr>
              <w:jc w:val="left"/>
              <w:rPr>
                <w:rFonts w:ascii="宋体" w:hAnsi="宋体" w:cs="宋体"/>
                <w:kern w:val="0"/>
                <w:sz w:val="20"/>
              </w:rPr>
            </w:pPr>
            <w:r>
              <w:rPr>
                <w:rFonts w:hint="eastAsia" w:ascii="宋体" w:hAnsi="宋体" w:cs="宋体"/>
                <w:kern w:val="0"/>
                <w:sz w:val="20"/>
              </w:rPr>
              <w:t>动态校准仪（VOC版）</w:t>
            </w:r>
          </w:p>
        </w:tc>
        <w:tc>
          <w:tcPr>
            <w:tcW w:w="4011" w:type="dxa"/>
            <w:noWrap/>
            <w:vAlign w:val="center"/>
          </w:tcPr>
          <w:p>
            <w:pPr>
              <w:jc w:val="left"/>
              <w:rPr>
                <w:rFonts w:ascii="宋体" w:hAnsi="宋体" w:cs="宋体"/>
                <w:kern w:val="0"/>
                <w:sz w:val="20"/>
              </w:rPr>
            </w:pPr>
            <w:r>
              <w:rPr>
                <w:rFonts w:hint="eastAsia" w:ascii="宋体" w:hAnsi="宋体" w:cs="宋体"/>
                <w:kern w:val="0"/>
                <w:sz w:val="20"/>
              </w:rPr>
              <w:t>稀释气流量范围：标配：0~10SLM；可选：0~5SLM、0~20SLM；</w:t>
            </w:r>
          </w:p>
          <w:p>
            <w:pPr>
              <w:jc w:val="left"/>
              <w:rPr>
                <w:rFonts w:ascii="宋体" w:hAnsi="宋体" w:cs="宋体"/>
                <w:kern w:val="0"/>
                <w:sz w:val="20"/>
              </w:rPr>
            </w:pPr>
            <w:r>
              <w:rPr>
                <w:rFonts w:hint="eastAsia" w:ascii="宋体" w:hAnsi="宋体" w:cs="宋体"/>
                <w:kern w:val="0"/>
                <w:sz w:val="20"/>
              </w:rPr>
              <w:t>标气流量范围：标配：0~100sccm；可选：0~50sccm0~200sccm。</w:t>
            </w:r>
          </w:p>
        </w:tc>
        <w:tc>
          <w:tcPr>
            <w:tcW w:w="595" w:type="dxa"/>
            <w:noWrap/>
            <w:vAlign w:val="center"/>
          </w:tcPr>
          <w:p>
            <w:pPr>
              <w:jc w:val="center"/>
              <w:rPr>
                <w:rFonts w:ascii="宋体" w:hAnsi="宋体" w:cs="宋体"/>
                <w:kern w:val="0"/>
                <w:sz w:val="20"/>
              </w:rPr>
            </w:pPr>
            <w:r>
              <w:rPr>
                <w:rFonts w:hint="eastAsia" w:ascii="宋体" w:hAnsi="宋体" w:cs="宋体"/>
                <w:kern w:val="0"/>
                <w:sz w:val="20"/>
                <w:lang w:eastAsia="zh-CN"/>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11</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全惰性化精密动态校准仪</w:t>
            </w:r>
          </w:p>
        </w:tc>
        <w:tc>
          <w:tcPr>
            <w:tcW w:w="4011" w:type="dxa"/>
            <w:noWrap/>
            <w:vAlign w:val="center"/>
          </w:tcPr>
          <w:p>
            <w:pPr>
              <w:jc w:val="left"/>
              <w:rPr>
                <w:rFonts w:ascii="宋体" w:hAnsi="宋体" w:cs="宋体"/>
                <w:kern w:val="0"/>
                <w:sz w:val="20"/>
              </w:rPr>
            </w:pPr>
            <w:r>
              <w:rPr>
                <w:rFonts w:hint="eastAsia" w:ascii="宋体" w:hAnsi="宋体" w:cs="宋体"/>
                <w:kern w:val="0"/>
                <w:sz w:val="20"/>
              </w:rPr>
              <w:t>通过气体质量流量控制器精确控制气体流量，将高浓度样品动态稀释至所需低浓度气体，内部管路和接头全部经过严格惰性化处理，降低VOCs气体在管路中吸附残留的影响。</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12</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氢气发生器</w:t>
            </w:r>
          </w:p>
        </w:tc>
        <w:tc>
          <w:tcPr>
            <w:tcW w:w="4011" w:type="dxa"/>
            <w:noWrap/>
            <w:vAlign w:val="center"/>
          </w:tcPr>
          <w:p>
            <w:pPr>
              <w:jc w:val="left"/>
              <w:rPr>
                <w:rFonts w:ascii="宋体" w:hAnsi="宋体" w:cs="宋体"/>
                <w:kern w:val="0"/>
                <w:sz w:val="20"/>
              </w:rPr>
            </w:pPr>
            <w:r>
              <w:rPr>
                <w:rFonts w:hint="eastAsia" w:ascii="宋体" w:hAnsi="宋体" w:cs="宋体"/>
                <w:kern w:val="0"/>
                <w:sz w:val="20"/>
              </w:rPr>
              <w:t>氢气纯度：99.999%；</w:t>
            </w:r>
          </w:p>
          <w:p>
            <w:pPr>
              <w:jc w:val="left"/>
              <w:rPr>
                <w:rFonts w:ascii="宋体" w:hAnsi="宋体" w:cs="宋体"/>
                <w:kern w:val="0"/>
                <w:sz w:val="20"/>
              </w:rPr>
            </w:pPr>
            <w:r>
              <w:rPr>
                <w:rFonts w:hint="eastAsia" w:ascii="宋体" w:hAnsi="宋体" w:cs="宋体"/>
                <w:kern w:val="0"/>
                <w:sz w:val="20"/>
              </w:rPr>
              <w:t>氢气流量：0-500ml/min。</w:t>
            </w:r>
          </w:p>
        </w:tc>
        <w:tc>
          <w:tcPr>
            <w:tcW w:w="595" w:type="dxa"/>
            <w:noWrap/>
            <w:vAlign w:val="center"/>
          </w:tcPr>
          <w:p>
            <w:pPr>
              <w:jc w:val="center"/>
              <w:rPr>
                <w:rFonts w:ascii="宋体" w:hAnsi="宋体" w:cs="宋体"/>
                <w:kern w:val="0"/>
                <w:sz w:val="20"/>
              </w:rPr>
            </w:pPr>
            <w:r>
              <w:rPr>
                <w:rFonts w:hint="eastAsia" w:ascii="宋体" w:hAnsi="宋体" w:cs="宋体"/>
                <w:kern w:val="0"/>
                <w:sz w:val="20"/>
                <w:lang w:eastAsia="zh-CN"/>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13</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零气发生器（用于GC-MS）</w:t>
            </w:r>
          </w:p>
        </w:tc>
        <w:tc>
          <w:tcPr>
            <w:tcW w:w="4011" w:type="dxa"/>
            <w:noWrap/>
            <w:vAlign w:val="center"/>
          </w:tcPr>
          <w:p>
            <w:pPr>
              <w:jc w:val="left"/>
              <w:rPr>
                <w:rFonts w:ascii="宋体" w:hAnsi="宋体" w:cs="宋体"/>
                <w:kern w:val="0"/>
                <w:sz w:val="20"/>
              </w:rPr>
            </w:pPr>
            <w:r>
              <w:rPr>
                <w:rFonts w:hint="eastAsia" w:ascii="宋体" w:hAnsi="宋体" w:cs="宋体"/>
                <w:kern w:val="0"/>
                <w:sz w:val="20"/>
              </w:rPr>
              <w:t>输出零气流量：0-5000ml/min；</w:t>
            </w:r>
          </w:p>
          <w:p>
            <w:pPr>
              <w:jc w:val="left"/>
              <w:rPr>
                <w:rFonts w:ascii="宋体" w:hAnsi="宋体" w:cs="宋体"/>
                <w:kern w:val="0"/>
                <w:sz w:val="20"/>
              </w:rPr>
            </w:pPr>
            <w:r>
              <w:rPr>
                <w:rFonts w:hint="eastAsia" w:ascii="宋体" w:hAnsi="宋体" w:cs="宋体"/>
                <w:kern w:val="0"/>
                <w:sz w:val="20"/>
              </w:rPr>
              <w:t>输出零气烃类含量：＜10ppb。</w:t>
            </w:r>
          </w:p>
        </w:tc>
        <w:tc>
          <w:tcPr>
            <w:tcW w:w="595" w:type="dxa"/>
            <w:noWrap/>
            <w:vAlign w:val="center"/>
          </w:tcPr>
          <w:p>
            <w:pPr>
              <w:jc w:val="center"/>
              <w:rPr>
                <w:rFonts w:ascii="宋体" w:hAnsi="宋体" w:cs="宋体"/>
                <w:kern w:val="0"/>
                <w:sz w:val="20"/>
              </w:rPr>
            </w:pPr>
            <w:r>
              <w:rPr>
                <w:rFonts w:hint="eastAsia" w:ascii="宋体" w:hAnsi="宋体" w:cs="宋体"/>
                <w:kern w:val="0"/>
                <w:sz w:val="20"/>
                <w:lang w:eastAsia="zh-CN"/>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14</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氦气(含减压阀）</w:t>
            </w:r>
          </w:p>
        </w:tc>
        <w:tc>
          <w:tcPr>
            <w:tcW w:w="4011" w:type="dxa"/>
            <w:noWrap/>
            <w:vAlign w:val="center"/>
          </w:tcPr>
          <w:p>
            <w:pPr>
              <w:jc w:val="left"/>
              <w:rPr>
                <w:rFonts w:ascii="宋体" w:hAnsi="宋体" w:cs="宋体"/>
                <w:kern w:val="0"/>
                <w:sz w:val="20"/>
              </w:rPr>
            </w:pPr>
            <w:r>
              <w:rPr>
                <w:rFonts w:ascii="宋体" w:hAnsi="宋体" w:cs="宋体"/>
                <w:kern w:val="0"/>
                <w:sz w:val="20"/>
              </w:rPr>
              <w:t>99.999%,40L</w:t>
            </w:r>
            <w:r>
              <w:rPr>
                <w:rFonts w:hint="eastAsia" w:ascii="宋体" w:hAnsi="宋体" w:cs="宋体"/>
                <w:kern w:val="0"/>
                <w:sz w:val="20"/>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15</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氮气（含减压阀）</w:t>
            </w:r>
          </w:p>
        </w:tc>
        <w:tc>
          <w:tcPr>
            <w:tcW w:w="4011" w:type="dxa"/>
            <w:noWrap/>
            <w:vAlign w:val="center"/>
          </w:tcPr>
          <w:p>
            <w:pPr>
              <w:jc w:val="left"/>
              <w:rPr>
                <w:rFonts w:ascii="宋体" w:hAnsi="宋体" w:cs="宋体"/>
                <w:kern w:val="0"/>
                <w:sz w:val="20"/>
              </w:rPr>
            </w:pPr>
            <w:r>
              <w:rPr>
                <w:rFonts w:ascii="宋体" w:hAnsi="宋体" w:cs="宋体"/>
                <w:kern w:val="0"/>
                <w:sz w:val="20"/>
              </w:rPr>
              <w:t>99.999%,40L</w:t>
            </w:r>
            <w:r>
              <w:rPr>
                <w:rFonts w:hint="eastAsia" w:ascii="宋体" w:hAnsi="宋体" w:cs="宋体"/>
                <w:kern w:val="0"/>
                <w:sz w:val="20"/>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16</w:t>
            </w:r>
          </w:p>
        </w:tc>
        <w:tc>
          <w:tcPr>
            <w:tcW w:w="1482" w:type="dxa"/>
            <w:vMerge w:val="restart"/>
            <w:noWrap/>
            <w:vAlign w:val="center"/>
          </w:tcPr>
          <w:p>
            <w:pPr>
              <w:jc w:val="left"/>
              <w:rPr>
                <w:rFonts w:ascii="宋体" w:hAnsi="宋体" w:cs="宋体"/>
                <w:kern w:val="0"/>
                <w:sz w:val="20"/>
              </w:rPr>
            </w:pPr>
            <w:r>
              <w:rPr>
                <w:rFonts w:hint="eastAsia" w:ascii="宋体" w:hAnsi="宋体" w:cs="宋体"/>
                <w:kern w:val="0"/>
                <w:sz w:val="20"/>
              </w:rPr>
              <w:t>标气系统</w:t>
            </w:r>
          </w:p>
        </w:tc>
        <w:tc>
          <w:tcPr>
            <w:tcW w:w="2176" w:type="dxa"/>
            <w:vAlign w:val="center"/>
          </w:tcPr>
          <w:p>
            <w:pPr>
              <w:jc w:val="left"/>
              <w:rPr>
                <w:rFonts w:ascii="宋体" w:hAnsi="宋体" w:cs="宋体"/>
                <w:kern w:val="0"/>
                <w:sz w:val="20"/>
              </w:rPr>
            </w:pPr>
            <w:r>
              <w:rPr>
                <w:rFonts w:hint="eastAsia" w:ascii="宋体" w:hAnsi="宋体" w:cs="宋体"/>
                <w:kern w:val="0"/>
                <w:sz w:val="20"/>
              </w:rPr>
              <w:t>SO2标气</w:t>
            </w:r>
          </w:p>
        </w:tc>
        <w:tc>
          <w:tcPr>
            <w:tcW w:w="4011" w:type="dxa"/>
            <w:noWrap/>
            <w:vAlign w:val="center"/>
          </w:tcPr>
          <w:p>
            <w:pPr>
              <w:jc w:val="left"/>
              <w:rPr>
                <w:rFonts w:ascii="宋体" w:hAnsi="宋体" w:cs="宋体"/>
                <w:kern w:val="0"/>
                <w:sz w:val="20"/>
              </w:rPr>
            </w:pPr>
            <w:r>
              <w:rPr>
                <w:rFonts w:hint="eastAsia" w:ascii="宋体" w:hAnsi="宋体" w:cs="宋体"/>
                <w:kern w:val="0"/>
                <w:sz w:val="20"/>
              </w:rPr>
              <w:t>50ppm，8L。</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17</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NO标气</w:t>
            </w:r>
          </w:p>
        </w:tc>
        <w:tc>
          <w:tcPr>
            <w:tcW w:w="4011" w:type="dxa"/>
            <w:noWrap/>
            <w:vAlign w:val="center"/>
          </w:tcPr>
          <w:p>
            <w:pPr>
              <w:jc w:val="left"/>
              <w:rPr>
                <w:rFonts w:ascii="宋体" w:hAnsi="宋体" w:cs="宋体"/>
                <w:kern w:val="0"/>
                <w:sz w:val="20"/>
              </w:rPr>
            </w:pPr>
            <w:r>
              <w:rPr>
                <w:rFonts w:hint="eastAsia" w:ascii="宋体" w:hAnsi="宋体" w:cs="宋体"/>
                <w:kern w:val="0"/>
                <w:sz w:val="20"/>
              </w:rPr>
              <w:t>50ppm，8L。</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18</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NH3标气</w:t>
            </w:r>
          </w:p>
        </w:tc>
        <w:tc>
          <w:tcPr>
            <w:tcW w:w="4011" w:type="dxa"/>
            <w:noWrap/>
            <w:vAlign w:val="center"/>
          </w:tcPr>
          <w:p>
            <w:pPr>
              <w:jc w:val="left"/>
              <w:rPr>
                <w:rFonts w:ascii="宋体" w:hAnsi="宋体" w:cs="宋体"/>
                <w:kern w:val="0"/>
                <w:sz w:val="20"/>
              </w:rPr>
            </w:pPr>
            <w:r>
              <w:rPr>
                <w:rFonts w:hint="eastAsia" w:ascii="宋体" w:hAnsi="宋体" w:cs="宋体"/>
                <w:kern w:val="0"/>
                <w:sz w:val="20"/>
              </w:rPr>
              <w:t>30ppm，8L</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19</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甲烷、丙烷标气</w:t>
            </w:r>
          </w:p>
        </w:tc>
        <w:tc>
          <w:tcPr>
            <w:tcW w:w="4011" w:type="dxa"/>
            <w:noWrap/>
            <w:vAlign w:val="center"/>
          </w:tcPr>
          <w:p>
            <w:pPr>
              <w:jc w:val="left"/>
              <w:rPr>
                <w:rFonts w:ascii="宋体" w:hAnsi="宋体" w:cs="宋体"/>
                <w:kern w:val="0"/>
                <w:sz w:val="20"/>
              </w:rPr>
            </w:pPr>
            <w:r>
              <w:rPr>
                <w:rFonts w:hint="eastAsia" w:ascii="宋体" w:hAnsi="宋体" w:cs="宋体"/>
                <w:kern w:val="0"/>
                <w:sz w:val="20"/>
              </w:rPr>
              <w:t>400ppm甲烷，30ppm丙烷。</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20</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PAMS标气</w:t>
            </w:r>
          </w:p>
        </w:tc>
        <w:tc>
          <w:tcPr>
            <w:tcW w:w="4011" w:type="dxa"/>
            <w:noWrap/>
            <w:vAlign w:val="center"/>
          </w:tcPr>
          <w:p>
            <w:pPr>
              <w:jc w:val="left"/>
              <w:rPr>
                <w:rFonts w:ascii="宋体" w:hAnsi="宋体" w:cs="宋体"/>
                <w:kern w:val="0"/>
                <w:sz w:val="20"/>
              </w:rPr>
            </w:pPr>
            <w:r>
              <w:rPr>
                <w:rFonts w:hint="eastAsia" w:ascii="宋体" w:hAnsi="宋体" w:cs="宋体"/>
                <w:kern w:val="0"/>
                <w:sz w:val="20"/>
              </w:rPr>
              <w:t>1ppm，1L。</w:t>
            </w:r>
          </w:p>
        </w:tc>
        <w:tc>
          <w:tcPr>
            <w:tcW w:w="595" w:type="dxa"/>
            <w:noWrap/>
            <w:vAlign w:val="center"/>
          </w:tcPr>
          <w:p>
            <w:pPr>
              <w:jc w:val="center"/>
              <w:rPr>
                <w:rFonts w:ascii="宋体" w:hAnsi="宋体" w:cs="宋体"/>
                <w:kern w:val="0"/>
                <w:sz w:val="20"/>
              </w:rPr>
            </w:pPr>
            <w:r>
              <w:rPr>
                <w:rFonts w:hint="eastAsia" w:ascii="宋体" w:hAnsi="宋体" w:cs="宋体"/>
                <w:kern w:val="0"/>
                <w:sz w:val="20"/>
              </w:rPr>
              <w:t>瓶</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21</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TO-15标气</w:t>
            </w:r>
          </w:p>
        </w:tc>
        <w:tc>
          <w:tcPr>
            <w:tcW w:w="4011" w:type="dxa"/>
            <w:noWrap/>
            <w:vAlign w:val="center"/>
          </w:tcPr>
          <w:p>
            <w:pPr>
              <w:jc w:val="left"/>
              <w:rPr>
                <w:rFonts w:ascii="宋体" w:hAnsi="宋体" w:cs="宋体"/>
                <w:kern w:val="0"/>
                <w:sz w:val="20"/>
              </w:rPr>
            </w:pPr>
            <w:r>
              <w:rPr>
                <w:rFonts w:hint="eastAsia" w:ascii="宋体" w:hAnsi="宋体" w:cs="宋体"/>
                <w:kern w:val="0"/>
                <w:sz w:val="20"/>
              </w:rPr>
              <w:t>1ppm，1L。</w:t>
            </w:r>
          </w:p>
        </w:tc>
        <w:tc>
          <w:tcPr>
            <w:tcW w:w="595" w:type="dxa"/>
            <w:noWrap/>
            <w:vAlign w:val="center"/>
          </w:tcPr>
          <w:p>
            <w:pPr>
              <w:jc w:val="center"/>
              <w:rPr>
                <w:rFonts w:ascii="宋体" w:hAnsi="宋体" w:cs="宋体"/>
                <w:kern w:val="0"/>
                <w:sz w:val="20"/>
              </w:rPr>
            </w:pPr>
            <w:r>
              <w:rPr>
                <w:rFonts w:hint="eastAsia" w:ascii="宋体" w:hAnsi="宋体" w:cs="宋体"/>
                <w:kern w:val="0"/>
                <w:sz w:val="20"/>
              </w:rPr>
              <w:t>瓶</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22</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不锈钢减压阀</w:t>
            </w:r>
          </w:p>
        </w:tc>
        <w:tc>
          <w:tcPr>
            <w:tcW w:w="4011" w:type="dxa"/>
            <w:noWrap/>
            <w:vAlign w:val="center"/>
          </w:tcPr>
          <w:p>
            <w:pPr>
              <w:jc w:val="left"/>
              <w:rPr>
                <w:rFonts w:ascii="宋体" w:hAnsi="宋体" w:cs="宋体"/>
                <w:kern w:val="0"/>
                <w:sz w:val="20"/>
              </w:rPr>
            </w:pPr>
            <w:r>
              <w:rPr>
                <w:rFonts w:hint="eastAsia" w:ascii="宋体" w:hAnsi="宋体" w:cs="宋体"/>
                <w:kern w:val="0"/>
                <w:sz w:val="20"/>
              </w:rPr>
              <w:t>与PAMS和TO15钢瓶配套。</w:t>
            </w:r>
          </w:p>
        </w:tc>
        <w:tc>
          <w:tcPr>
            <w:tcW w:w="595" w:type="dxa"/>
            <w:noWrap/>
            <w:vAlign w:val="center"/>
          </w:tcPr>
          <w:p>
            <w:pPr>
              <w:jc w:val="center"/>
              <w:rPr>
                <w:rFonts w:ascii="宋体" w:hAnsi="宋体" w:cs="宋体"/>
                <w:kern w:val="0"/>
                <w:sz w:val="20"/>
              </w:rPr>
            </w:pPr>
            <w:r>
              <w:rPr>
                <w:rFonts w:hint="eastAsia" w:ascii="宋体" w:hAnsi="宋体" w:cs="宋体"/>
                <w:kern w:val="0"/>
                <w:sz w:val="20"/>
              </w:rPr>
              <w:t>个</w:t>
            </w:r>
          </w:p>
        </w:tc>
        <w:tc>
          <w:tcPr>
            <w:tcW w:w="606" w:type="dxa"/>
            <w:vAlign w:val="center"/>
          </w:tcPr>
          <w:p>
            <w:pPr>
              <w:jc w:val="center"/>
              <w:rPr>
                <w:rFonts w:ascii="宋体" w:hAnsi="宋体" w:cs="宋体"/>
                <w:kern w:val="0"/>
                <w:sz w:val="20"/>
              </w:rPr>
            </w:pPr>
            <w:r>
              <w:rPr>
                <w:rFonts w:hint="eastAsia" w:ascii="宋体" w:hAnsi="宋体" w:cs="宋体"/>
                <w:kern w:val="0"/>
                <w:sz w:val="20"/>
              </w:rPr>
              <w:t>2</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23</w:t>
            </w:r>
          </w:p>
        </w:tc>
        <w:tc>
          <w:tcPr>
            <w:tcW w:w="1482" w:type="dxa"/>
            <w:vMerge w:val="restart"/>
            <w:vAlign w:val="center"/>
          </w:tcPr>
          <w:p>
            <w:pPr>
              <w:jc w:val="left"/>
              <w:rPr>
                <w:rFonts w:ascii="宋体" w:hAnsi="宋体" w:cs="宋体"/>
                <w:kern w:val="0"/>
                <w:sz w:val="20"/>
              </w:rPr>
            </w:pPr>
            <w:r>
              <w:rPr>
                <w:rFonts w:hint="eastAsia" w:ascii="宋体" w:hAnsi="宋体" w:cs="宋体"/>
                <w:kern w:val="0"/>
                <w:sz w:val="20"/>
              </w:rPr>
              <w:t>配套采样系统、机柜、稳压电源、UPS电源等辅助设施</w:t>
            </w:r>
          </w:p>
        </w:tc>
        <w:tc>
          <w:tcPr>
            <w:tcW w:w="2176" w:type="dxa"/>
            <w:vAlign w:val="center"/>
          </w:tcPr>
          <w:p>
            <w:pPr>
              <w:jc w:val="left"/>
              <w:rPr>
                <w:rFonts w:ascii="宋体" w:hAnsi="宋体" w:cs="宋体"/>
                <w:kern w:val="0"/>
                <w:sz w:val="20"/>
              </w:rPr>
            </w:pPr>
            <w:r>
              <w:rPr>
                <w:rFonts w:hint="eastAsia" w:ascii="宋体" w:hAnsi="宋体" w:cs="宋体"/>
                <w:kern w:val="0"/>
                <w:sz w:val="20"/>
              </w:rPr>
              <w:t>采样系统</w:t>
            </w:r>
          </w:p>
        </w:tc>
        <w:tc>
          <w:tcPr>
            <w:tcW w:w="4011" w:type="dxa"/>
            <w:noWrap/>
            <w:vAlign w:val="center"/>
          </w:tcPr>
          <w:p>
            <w:pPr>
              <w:jc w:val="left"/>
              <w:rPr>
                <w:rFonts w:ascii="宋体" w:hAnsi="宋体" w:cs="宋体"/>
                <w:kern w:val="0"/>
                <w:sz w:val="20"/>
              </w:rPr>
            </w:pPr>
            <w:r>
              <w:rPr>
                <w:rFonts w:hint="eastAsia" w:ascii="宋体" w:hAnsi="宋体" w:cs="宋体"/>
                <w:kern w:val="0"/>
                <w:sz w:val="20"/>
              </w:rPr>
              <w:t>采样装置：垂直层流式采样总管；</w:t>
            </w:r>
          </w:p>
          <w:p>
            <w:pPr>
              <w:jc w:val="left"/>
              <w:rPr>
                <w:rFonts w:ascii="宋体" w:hAnsi="宋体" w:cs="宋体"/>
                <w:kern w:val="0"/>
                <w:sz w:val="20"/>
              </w:rPr>
            </w:pPr>
            <w:r>
              <w:rPr>
                <w:rFonts w:hint="eastAsia" w:ascii="宋体" w:hAnsi="宋体" w:cs="宋体"/>
                <w:kern w:val="0"/>
                <w:sz w:val="20"/>
              </w:rPr>
              <w:t>制作材料：不锈钢内衬聚四氟乙烯。</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24</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 xml:space="preserve">机柜 </w:t>
            </w:r>
          </w:p>
        </w:tc>
        <w:tc>
          <w:tcPr>
            <w:tcW w:w="4011" w:type="dxa"/>
            <w:noWrap/>
            <w:vAlign w:val="center"/>
          </w:tcPr>
          <w:p>
            <w:pPr>
              <w:jc w:val="left"/>
              <w:rPr>
                <w:rFonts w:ascii="宋体" w:hAnsi="宋体" w:cs="宋体"/>
                <w:kern w:val="0"/>
                <w:sz w:val="20"/>
              </w:rPr>
            </w:pPr>
            <w:r>
              <w:rPr>
                <w:rFonts w:ascii="宋体" w:hAnsi="宋体" w:cs="宋体"/>
                <w:kern w:val="0"/>
                <w:sz w:val="20"/>
              </w:rPr>
              <w:t>2000*600*900mm</w:t>
            </w:r>
            <w:r>
              <w:rPr>
                <w:rFonts w:hint="eastAsia" w:ascii="宋体" w:hAnsi="宋体" w:cs="宋体"/>
                <w:kern w:val="0"/>
                <w:sz w:val="20"/>
              </w:rPr>
              <w:t>。</w:t>
            </w:r>
          </w:p>
        </w:tc>
        <w:tc>
          <w:tcPr>
            <w:tcW w:w="595" w:type="dxa"/>
            <w:noWrap/>
            <w:vAlign w:val="center"/>
          </w:tcPr>
          <w:p>
            <w:pPr>
              <w:jc w:val="center"/>
              <w:rPr>
                <w:rFonts w:hint="eastAsia" w:ascii="宋体" w:hAnsi="宋体" w:eastAsia="宋体" w:cs="宋体"/>
                <w:kern w:val="0"/>
                <w:sz w:val="20"/>
                <w:lang w:eastAsia="zh-CN"/>
              </w:rPr>
            </w:pPr>
            <w:r>
              <w:rPr>
                <w:rFonts w:hint="eastAsia" w:ascii="宋体" w:hAnsi="宋体" w:cs="宋体"/>
                <w:kern w:val="0"/>
                <w:sz w:val="20"/>
                <w:lang w:eastAsia="zh-CN"/>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25</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 xml:space="preserve">稳压电源 </w:t>
            </w:r>
          </w:p>
        </w:tc>
        <w:tc>
          <w:tcPr>
            <w:tcW w:w="4011" w:type="dxa"/>
            <w:noWrap/>
            <w:vAlign w:val="center"/>
          </w:tcPr>
          <w:p>
            <w:pPr>
              <w:jc w:val="left"/>
              <w:rPr>
                <w:rFonts w:ascii="宋体" w:hAnsi="宋体" w:cs="宋体"/>
                <w:kern w:val="0"/>
                <w:sz w:val="20"/>
              </w:rPr>
            </w:pPr>
            <w:r>
              <w:rPr>
                <w:rFonts w:hint="eastAsia" w:ascii="宋体" w:hAnsi="宋体" w:cs="宋体"/>
                <w:kern w:val="0"/>
                <w:sz w:val="20"/>
              </w:rPr>
              <w:t>满足H2S\SO2、NOX、NH3、甲烷非甲烷总烃分析仪、GC-MS、零气发生器、校准仪、数采仪等设备需求，确保上述仪器设备长期稳定运行，不受感应电影响跳变电压，稳压电源可负载超过5KW 以上，供仪器正常使用，稳压电源接地。</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26</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UPS电源</w:t>
            </w:r>
          </w:p>
        </w:tc>
        <w:tc>
          <w:tcPr>
            <w:tcW w:w="4011" w:type="dxa"/>
            <w:noWrap/>
            <w:vAlign w:val="center"/>
          </w:tcPr>
          <w:p>
            <w:pPr>
              <w:jc w:val="left"/>
              <w:rPr>
                <w:rFonts w:ascii="宋体" w:hAnsi="宋体" w:cs="宋体"/>
                <w:kern w:val="0"/>
                <w:sz w:val="20"/>
              </w:rPr>
            </w:pPr>
            <w:r>
              <w:rPr>
                <w:rFonts w:hint="eastAsia" w:ascii="宋体" w:hAnsi="宋体" w:cs="宋体"/>
                <w:kern w:val="0"/>
                <w:sz w:val="20"/>
              </w:rPr>
              <w:t>6KVA，延时2小时。</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27</w:t>
            </w:r>
          </w:p>
        </w:tc>
        <w:tc>
          <w:tcPr>
            <w:tcW w:w="1482" w:type="dxa"/>
            <w:vMerge w:val="restart"/>
            <w:noWrap/>
            <w:vAlign w:val="center"/>
          </w:tcPr>
          <w:p>
            <w:pPr>
              <w:jc w:val="left"/>
              <w:rPr>
                <w:rFonts w:ascii="宋体" w:hAnsi="宋体" w:cs="宋体"/>
                <w:kern w:val="0"/>
                <w:sz w:val="20"/>
              </w:rPr>
            </w:pPr>
            <w:r>
              <w:rPr>
                <w:rFonts w:hint="eastAsia" w:ascii="宋体" w:hAnsi="宋体" w:cs="宋体"/>
                <w:kern w:val="0"/>
                <w:sz w:val="20"/>
              </w:rPr>
              <w:t>数据传输与网络化</w:t>
            </w:r>
          </w:p>
        </w:tc>
        <w:tc>
          <w:tcPr>
            <w:tcW w:w="2176" w:type="dxa"/>
            <w:vAlign w:val="center"/>
          </w:tcPr>
          <w:p>
            <w:pPr>
              <w:jc w:val="left"/>
              <w:rPr>
                <w:rFonts w:ascii="宋体" w:hAnsi="宋体" w:cs="宋体"/>
                <w:kern w:val="0"/>
                <w:sz w:val="20"/>
              </w:rPr>
            </w:pPr>
            <w:r>
              <w:rPr>
                <w:rFonts w:hint="eastAsia" w:ascii="宋体" w:hAnsi="宋体" w:cs="宋体"/>
                <w:kern w:val="0"/>
                <w:sz w:val="20"/>
              </w:rPr>
              <w:t xml:space="preserve">数据采集及传输软件 </w:t>
            </w:r>
          </w:p>
        </w:tc>
        <w:tc>
          <w:tcPr>
            <w:tcW w:w="4011" w:type="dxa"/>
            <w:noWrap/>
            <w:vAlign w:val="center"/>
          </w:tcPr>
          <w:p>
            <w:pPr>
              <w:jc w:val="left"/>
              <w:rPr>
                <w:rFonts w:ascii="宋体" w:hAnsi="宋体" w:cs="宋体"/>
                <w:kern w:val="0"/>
                <w:sz w:val="20"/>
              </w:rPr>
            </w:pPr>
            <w:r>
              <w:rPr>
                <w:rFonts w:hint="eastAsia" w:ascii="宋体" w:hAnsi="宋体" w:cs="宋体"/>
                <w:kern w:val="0"/>
                <w:sz w:val="20"/>
              </w:rPr>
              <w:t>用于监测站内所有在线分析仪器和校准设备的工作控制、数据采集、零气和标准气的供给时序、数据通讯等任务的执行。控制功能满足空气质量自动监测系统的数据采集、控制、通讯等。</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28</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子站工控机</w:t>
            </w:r>
          </w:p>
        </w:tc>
        <w:tc>
          <w:tcPr>
            <w:tcW w:w="4011" w:type="dxa"/>
            <w:noWrap/>
            <w:vAlign w:val="center"/>
          </w:tcPr>
          <w:p>
            <w:pPr>
              <w:jc w:val="left"/>
              <w:rPr>
                <w:rFonts w:ascii="宋体" w:hAnsi="宋体" w:cs="宋体"/>
                <w:kern w:val="0"/>
                <w:sz w:val="20"/>
              </w:rPr>
            </w:pPr>
            <w:r>
              <w:rPr>
                <w:rFonts w:hint="eastAsia" w:ascii="宋体" w:hAnsi="宋体" w:cs="宋体"/>
                <w:kern w:val="0"/>
                <w:sz w:val="20"/>
              </w:rPr>
              <w:t>CPU主频</w:t>
            </w:r>
            <w:r>
              <w:rPr>
                <w:rFonts w:hint="eastAsia" w:ascii="宋体" w:hAnsi="宋体" w:cs="宋体"/>
                <w:kern w:val="0"/>
                <w:sz w:val="20"/>
                <w:lang w:val="en-US" w:eastAsia="zh-CN"/>
              </w:rPr>
              <w:t>不低于</w:t>
            </w:r>
            <w:r>
              <w:rPr>
                <w:rFonts w:hint="eastAsia" w:ascii="宋体" w:hAnsi="宋体" w:cs="宋体"/>
                <w:kern w:val="0"/>
                <w:sz w:val="20"/>
              </w:rPr>
              <w:t>3.1GHz，内存</w:t>
            </w:r>
            <w:r>
              <w:rPr>
                <w:rFonts w:hint="eastAsia" w:ascii="宋体" w:hAnsi="宋体" w:cs="宋体"/>
                <w:kern w:val="0"/>
                <w:sz w:val="20"/>
                <w:lang w:val="en-US" w:eastAsia="zh-CN"/>
              </w:rPr>
              <w:t>不低于</w:t>
            </w:r>
            <w:r>
              <w:rPr>
                <w:rFonts w:hint="eastAsia" w:ascii="宋体" w:hAnsi="宋体" w:cs="宋体"/>
                <w:kern w:val="0"/>
                <w:sz w:val="20"/>
              </w:rPr>
              <w:t>2G，硬盘容量</w:t>
            </w:r>
            <w:r>
              <w:rPr>
                <w:rFonts w:hint="eastAsia" w:ascii="宋体" w:hAnsi="宋体" w:cs="宋体"/>
                <w:kern w:val="0"/>
                <w:sz w:val="20"/>
                <w:lang w:val="en-US" w:eastAsia="zh-CN"/>
              </w:rPr>
              <w:t>不低于</w:t>
            </w:r>
            <w:r>
              <w:rPr>
                <w:rFonts w:hint="eastAsia" w:ascii="宋体" w:hAnsi="宋体" w:cs="宋体"/>
                <w:kern w:val="0"/>
                <w:sz w:val="20"/>
              </w:rPr>
              <w:t>500G；</w:t>
            </w:r>
          </w:p>
          <w:p>
            <w:pPr>
              <w:jc w:val="left"/>
              <w:rPr>
                <w:rFonts w:ascii="宋体" w:hAnsi="宋体" w:cs="宋体"/>
                <w:kern w:val="0"/>
                <w:sz w:val="20"/>
              </w:rPr>
            </w:pPr>
            <w:r>
              <w:rPr>
                <w:rFonts w:hint="eastAsia" w:ascii="宋体" w:hAnsi="宋体" w:cs="宋体"/>
                <w:kern w:val="0"/>
                <w:sz w:val="20"/>
              </w:rPr>
              <w:t>串口情况：类型为RS232、数量</w:t>
            </w:r>
            <w:r>
              <w:rPr>
                <w:rFonts w:hint="eastAsia" w:ascii="宋体" w:hAnsi="宋体" w:cs="宋体"/>
                <w:kern w:val="0"/>
                <w:sz w:val="20"/>
                <w:lang w:val="en-US" w:eastAsia="zh-CN"/>
              </w:rPr>
              <w:t>不少于</w:t>
            </w:r>
            <w:r>
              <w:rPr>
                <w:rFonts w:hint="eastAsia" w:ascii="宋体" w:hAnsi="宋体" w:cs="宋体"/>
                <w:kern w:val="0"/>
                <w:sz w:val="20"/>
              </w:rPr>
              <w:t>6个；</w:t>
            </w:r>
          </w:p>
          <w:p>
            <w:pPr>
              <w:jc w:val="left"/>
              <w:rPr>
                <w:rFonts w:ascii="宋体" w:hAnsi="宋体" w:cs="宋体"/>
                <w:kern w:val="0"/>
                <w:sz w:val="20"/>
              </w:rPr>
            </w:pPr>
            <w:r>
              <w:rPr>
                <w:rFonts w:hint="eastAsia" w:ascii="宋体" w:hAnsi="宋体" w:cs="宋体"/>
                <w:kern w:val="0"/>
                <w:sz w:val="20"/>
              </w:rPr>
              <w:t>配备键盘、鼠标、</w:t>
            </w:r>
            <w:r>
              <w:rPr>
                <w:rFonts w:hint="eastAsia" w:ascii="宋体" w:hAnsi="宋体" w:cs="宋体"/>
                <w:kern w:val="0"/>
                <w:sz w:val="20"/>
                <w:lang w:val="en-US" w:eastAsia="zh-CN"/>
              </w:rPr>
              <w:t>不小于</w:t>
            </w:r>
            <w:r>
              <w:rPr>
                <w:rFonts w:hint="eastAsia" w:ascii="宋体" w:hAnsi="宋体" w:cs="宋体"/>
                <w:kern w:val="0"/>
                <w:sz w:val="20"/>
              </w:rPr>
              <w:t>17寸显示器。</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29</w:t>
            </w:r>
          </w:p>
        </w:tc>
        <w:tc>
          <w:tcPr>
            <w:tcW w:w="1482" w:type="dxa"/>
            <w:vAlign w:val="center"/>
          </w:tcPr>
          <w:p>
            <w:pPr>
              <w:jc w:val="left"/>
              <w:rPr>
                <w:rFonts w:ascii="宋体" w:hAnsi="宋体" w:cs="宋体"/>
                <w:kern w:val="0"/>
                <w:sz w:val="20"/>
              </w:rPr>
            </w:pPr>
            <w:r>
              <w:rPr>
                <w:rFonts w:hint="eastAsia" w:ascii="宋体" w:hAnsi="宋体" w:cs="宋体"/>
                <w:kern w:val="0"/>
                <w:sz w:val="20"/>
              </w:rPr>
              <w:t>生物多模态识别门禁</w:t>
            </w:r>
          </w:p>
        </w:tc>
        <w:tc>
          <w:tcPr>
            <w:tcW w:w="2176" w:type="dxa"/>
            <w:vAlign w:val="center"/>
          </w:tcPr>
          <w:p>
            <w:pPr>
              <w:jc w:val="left"/>
              <w:rPr>
                <w:rFonts w:ascii="宋体" w:hAnsi="宋体" w:cs="宋体"/>
                <w:kern w:val="0"/>
                <w:sz w:val="20"/>
              </w:rPr>
            </w:pPr>
            <w:r>
              <w:rPr>
                <w:rFonts w:hint="eastAsia" w:ascii="宋体" w:hAnsi="宋体" w:cs="宋体"/>
                <w:kern w:val="0"/>
                <w:sz w:val="20"/>
              </w:rPr>
              <w:t>人脸+虹膜识别门禁设备超级站里</w:t>
            </w:r>
          </w:p>
        </w:tc>
        <w:tc>
          <w:tcPr>
            <w:tcW w:w="4011" w:type="dxa"/>
            <w:noWrap/>
            <w:vAlign w:val="bottom"/>
          </w:tcPr>
          <w:p>
            <w:pPr>
              <w:jc w:val="left"/>
              <w:rPr>
                <w:rFonts w:ascii="宋体" w:hAnsi="宋体" w:cs="宋体"/>
                <w:kern w:val="0"/>
                <w:sz w:val="20"/>
              </w:rPr>
            </w:pPr>
            <w:r>
              <w:rPr>
                <w:rFonts w:hint="eastAsia" w:ascii="宋体" w:hAnsi="宋体" w:cs="宋体"/>
                <w:kern w:val="0"/>
                <w:sz w:val="20"/>
              </w:rPr>
              <w:t>人脸产品技术参数：</w:t>
            </w:r>
          </w:p>
          <w:p>
            <w:pPr>
              <w:jc w:val="left"/>
              <w:rPr>
                <w:rFonts w:ascii="宋体" w:hAnsi="宋体" w:cs="宋体"/>
                <w:kern w:val="0"/>
                <w:sz w:val="20"/>
              </w:rPr>
            </w:pPr>
            <w:r>
              <w:rPr>
                <w:rFonts w:hint="eastAsia" w:ascii="宋体" w:hAnsi="宋体" w:cs="宋体"/>
                <w:kern w:val="0"/>
                <w:sz w:val="20"/>
              </w:rPr>
              <w:t>产品类型：双模摄像头：近红外和可见光；传感器</w:t>
            </w:r>
            <w:r>
              <w:rPr>
                <w:rFonts w:hint="eastAsia" w:ascii="宋体" w:hAnsi="宋体" w:cs="宋体"/>
                <w:kern w:val="0"/>
                <w:sz w:val="20"/>
              </w:rPr>
              <w:tab/>
            </w:r>
            <w:r>
              <w:rPr>
                <w:rFonts w:hint="eastAsia" w:ascii="宋体" w:hAnsi="宋体" w:cs="宋体"/>
                <w:kern w:val="0"/>
                <w:sz w:val="20"/>
              </w:rPr>
              <w:t>CMOS；</w:t>
            </w:r>
          </w:p>
          <w:p>
            <w:pPr>
              <w:jc w:val="left"/>
              <w:rPr>
                <w:rFonts w:ascii="宋体" w:hAnsi="宋体" w:cs="宋体"/>
                <w:kern w:val="0"/>
                <w:sz w:val="20"/>
              </w:rPr>
            </w:pPr>
            <w:r>
              <w:rPr>
                <w:rFonts w:hint="eastAsia" w:ascii="宋体" w:hAnsi="宋体" w:cs="宋体"/>
                <w:kern w:val="0"/>
                <w:sz w:val="20"/>
              </w:rPr>
              <w:t>像素</w:t>
            </w:r>
            <w:r>
              <w:rPr>
                <w:rFonts w:hint="eastAsia" w:ascii="宋体" w:hAnsi="宋体" w:cs="宋体"/>
                <w:kern w:val="0"/>
                <w:sz w:val="20"/>
              </w:rPr>
              <w:tab/>
            </w:r>
            <w:r>
              <w:rPr>
                <w:rFonts w:hint="eastAsia" w:ascii="宋体" w:hAnsi="宋体" w:cs="宋体"/>
                <w:kern w:val="0"/>
                <w:sz w:val="20"/>
              </w:rPr>
              <w:t>彩色：</w:t>
            </w:r>
            <w:r>
              <w:rPr>
                <w:rFonts w:hint="eastAsia" w:ascii="宋体" w:hAnsi="宋体" w:cs="宋体"/>
                <w:kern w:val="0"/>
                <w:sz w:val="20"/>
                <w:lang w:val="en-US" w:eastAsia="zh-CN"/>
              </w:rPr>
              <w:t>不低于</w:t>
            </w:r>
            <w:r>
              <w:rPr>
                <w:rFonts w:hint="eastAsia" w:ascii="宋体" w:hAnsi="宋体" w:cs="宋体"/>
                <w:kern w:val="0"/>
                <w:sz w:val="20"/>
              </w:rPr>
              <w:t>300万像素、红外：</w:t>
            </w:r>
            <w:r>
              <w:rPr>
                <w:rFonts w:hint="eastAsia" w:ascii="宋体" w:hAnsi="宋体" w:cs="宋体"/>
                <w:kern w:val="0"/>
                <w:sz w:val="20"/>
                <w:lang w:val="en-US" w:eastAsia="zh-CN"/>
              </w:rPr>
              <w:t>不低于</w:t>
            </w:r>
            <w:r>
              <w:rPr>
                <w:rFonts w:hint="eastAsia" w:ascii="宋体" w:hAnsi="宋体" w:cs="宋体"/>
                <w:kern w:val="0"/>
                <w:sz w:val="20"/>
              </w:rPr>
              <w:t>200万像素；</w:t>
            </w:r>
          </w:p>
          <w:p>
            <w:pPr>
              <w:jc w:val="left"/>
              <w:rPr>
                <w:rFonts w:ascii="宋体" w:hAnsi="宋体" w:cs="宋体"/>
                <w:kern w:val="0"/>
                <w:sz w:val="20"/>
              </w:rPr>
            </w:pPr>
            <w:r>
              <w:rPr>
                <w:rFonts w:hint="eastAsia" w:ascii="宋体" w:hAnsi="宋体" w:cs="宋体"/>
                <w:kern w:val="0"/>
                <w:sz w:val="20"/>
              </w:rPr>
              <w:t>虹膜产品技术参数：</w:t>
            </w:r>
          </w:p>
          <w:p>
            <w:pPr>
              <w:jc w:val="left"/>
              <w:rPr>
                <w:rFonts w:ascii="宋体" w:hAnsi="宋体" w:cs="宋体"/>
                <w:kern w:val="0"/>
                <w:sz w:val="20"/>
              </w:rPr>
            </w:pPr>
            <w:r>
              <w:rPr>
                <w:rFonts w:hint="eastAsia" w:ascii="宋体" w:hAnsi="宋体" w:cs="宋体"/>
                <w:kern w:val="0"/>
                <w:sz w:val="20"/>
              </w:rPr>
              <w:t>摄像头类型：单模近红外镜头；</w:t>
            </w:r>
          </w:p>
          <w:p>
            <w:pPr>
              <w:jc w:val="left"/>
              <w:rPr>
                <w:rFonts w:ascii="宋体" w:hAnsi="宋体" w:cs="宋体"/>
                <w:kern w:val="0"/>
                <w:sz w:val="20"/>
              </w:rPr>
            </w:pPr>
            <w:r>
              <w:rPr>
                <w:rFonts w:hint="eastAsia" w:ascii="宋体" w:hAnsi="宋体" w:cs="宋体"/>
                <w:kern w:val="0"/>
                <w:sz w:val="20"/>
              </w:rPr>
              <w:t>像素：</w:t>
            </w:r>
            <w:r>
              <w:rPr>
                <w:rFonts w:hint="eastAsia" w:ascii="宋体" w:hAnsi="宋体" w:cs="宋体"/>
                <w:kern w:val="0"/>
                <w:sz w:val="20"/>
                <w:lang w:val="en-US" w:eastAsia="zh-CN"/>
              </w:rPr>
              <w:t>不低于</w:t>
            </w:r>
            <w:r>
              <w:rPr>
                <w:rFonts w:hint="eastAsia" w:ascii="宋体" w:hAnsi="宋体" w:cs="宋体"/>
                <w:kern w:val="0"/>
                <w:sz w:val="20"/>
              </w:rPr>
              <w:t>200万像素；</w:t>
            </w:r>
          </w:p>
          <w:p>
            <w:pPr>
              <w:jc w:val="left"/>
              <w:rPr>
                <w:rFonts w:ascii="宋体" w:hAnsi="宋体" w:cs="宋体"/>
                <w:kern w:val="0"/>
                <w:sz w:val="20"/>
              </w:rPr>
            </w:pPr>
            <w:r>
              <w:rPr>
                <w:rFonts w:hint="eastAsia" w:ascii="宋体" w:hAnsi="宋体" w:cs="宋体"/>
                <w:kern w:val="0"/>
                <w:sz w:val="20"/>
              </w:rPr>
              <w:t>分辨率：</w:t>
            </w:r>
            <w:r>
              <w:rPr>
                <w:rFonts w:hint="eastAsia" w:ascii="宋体" w:hAnsi="宋体" w:cs="宋体"/>
                <w:kern w:val="0"/>
                <w:sz w:val="20"/>
                <w:lang w:val="en-US" w:eastAsia="zh-CN"/>
              </w:rPr>
              <w:t>不小于</w:t>
            </w:r>
            <w:r>
              <w:rPr>
                <w:rFonts w:hint="eastAsia" w:ascii="宋体" w:hAnsi="宋体" w:cs="宋体"/>
                <w:kern w:val="0"/>
                <w:sz w:val="20"/>
              </w:rPr>
              <w:t>1920*1080；</w:t>
            </w:r>
          </w:p>
          <w:p>
            <w:pPr>
              <w:jc w:val="left"/>
              <w:rPr>
                <w:rFonts w:ascii="宋体" w:hAnsi="宋体" w:cs="宋体"/>
                <w:kern w:val="0"/>
                <w:sz w:val="20"/>
                <w:szCs w:val="22"/>
              </w:rPr>
            </w:pPr>
            <w:r>
              <w:rPr>
                <w:rFonts w:hint="eastAsia" w:ascii="宋体" w:hAnsi="宋体" w:cs="宋体"/>
                <w:kern w:val="0"/>
                <w:sz w:val="20"/>
              </w:rPr>
              <w:t>最大帧率</w:t>
            </w:r>
            <w:r>
              <w:rPr>
                <w:rFonts w:hint="eastAsia" w:ascii="宋体" w:hAnsi="宋体" w:cs="宋体"/>
                <w:kern w:val="0"/>
                <w:sz w:val="20"/>
              </w:rPr>
              <w:tab/>
            </w:r>
            <w:r>
              <w:rPr>
                <w:rFonts w:hint="eastAsia" w:ascii="宋体" w:hAnsi="宋体" w:cs="宋体"/>
                <w:kern w:val="0"/>
                <w:sz w:val="20"/>
                <w:lang w:eastAsia="zh-CN"/>
              </w:rPr>
              <w:t>：</w:t>
            </w:r>
            <w:r>
              <w:rPr>
                <w:rFonts w:hint="eastAsia" w:ascii="宋体" w:hAnsi="宋体" w:cs="宋体"/>
                <w:kern w:val="0"/>
                <w:sz w:val="20"/>
                <w:lang w:val="en-US" w:eastAsia="zh-CN"/>
              </w:rPr>
              <w:t>不低于</w:t>
            </w:r>
            <w:r>
              <w:rPr>
                <w:rFonts w:hint="eastAsia" w:ascii="宋体" w:hAnsi="宋体" w:cs="宋体"/>
                <w:kern w:val="0"/>
                <w:sz w:val="20"/>
              </w:rPr>
              <w:t>1920*1080@30fps。</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30</w:t>
            </w:r>
          </w:p>
        </w:tc>
        <w:tc>
          <w:tcPr>
            <w:tcW w:w="3658" w:type="dxa"/>
            <w:gridSpan w:val="2"/>
            <w:noWrap/>
            <w:vAlign w:val="center"/>
          </w:tcPr>
          <w:p>
            <w:pPr>
              <w:jc w:val="left"/>
              <w:rPr>
                <w:rFonts w:ascii="宋体" w:hAnsi="宋体" w:cs="宋体"/>
                <w:kern w:val="0"/>
                <w:sz w:val="20"/>
              </w:rPr>
            </w:pPr>
            <w:r>
              <w:rPr>
                <w:rFonts w:hint="eastAsia" w:ascii="宋体" w:hAnsi="宋体" w:cs="宋体"/>
                <w:kern w:val="0"/>
                <w:sz w:val="20"/>
              </w:rPr>
              <w:t>彩钢板站房（含空调、灭火器等站房配套设施）</w:t>
            </w:r>
          </w:p>
        </w:tc>
        <w:tc>
          <w:tcPr>
            <w:tcW w:w="4011" w:type="dxa"/>
            <w:noWrap/>
            <w:vAlign w:val="bottom"/>
          </w:tcPr>
          <w:p>
            <w:pPr>
              <w:jc w:val="left"/>
              <w:rPr>
                <w:rFonts w:ascii="宋体" w:hAnsi="宋体" w:cs="宋体"/>
                <w:kern w:val="0"/>
                <w:sz w:val="20"/>
                <w:szCs w:val="22"/>
              </w:rPr>
            </w:pPr>
            <w:r>
              <w:rPr>
                <w:rFonts w:hint="eastAsia" w:ascii="宋体" w:hAnsi="宋体" w:cs="宋体"/>
                <w:kern w:val="0"/>
                <w:sz w:val="20"/>
                <w:szCs w:val="22"/>
              </w:rPr>
              <w:t>1、彩钢板站房；</w:t>
            </w:r>
          </w:p>
          <w:p>
            <w:pPr>
              <w:jc w:val="left"/>
              <w:rPr>
                <w:rFonts w:ascii="宋体" w:hAnsi="宋体" w:cs="宋体"/>
                <w:kern w:val="0"/>
                <w:sz w:val="20"/>
                <w:szCs w:val="22"/>
              </w:rPr>
            </w:pPr>
            <w:r>
              <w:rPr>
                <w:rFonts w:hint="eastAsia" w:ascii="宋体" w:hAnsi="宋体" w:cs="宋体"/>
                <w:kern w:val="0"/>
                <w:sz w:val="20"/>
                <w:szCs w:val="22"/>
              </w:rPr>
              <w:t>2、含空调、灭火器等配套设施；</w:t>
            </w:r>
          </w:p>
          <w:p>
            <w:pPr>
              <w:jc w:val="left"/>
              <w:rPr>
                <w:rFonts w:ascii="宋体" w:hAnsi="宋体" w:cs="宋体"/>
                <w:kern w:val="0"/>
                <w:sz w:val="20"/>
                <w:szCs w:val="22"/>
              </w:rPr>
            </w:pPr>
            <w:r>
              <w:rPr>
                <w:rFonts w:hint="eastAsia" w:ascii="宋体" w:hAnsi="宋体" w:cs="宋体"/>
                <w:kern w:val="0"/>
                <w:sz w:val="20"/>
                <w:szCs w:val="22"/>
              </w:rPr>
              <w:t>3、使用面积不小于15㎡，高度不低于2.5</w:t>
            </w:r>
            <w:r>
              <w:rPr>
                <w:rFonts w:hint="eastAsia" w:ascii="宋体" w:hAnsi="宋体" w:cs="宋体"/>
                <w:kern w:val="0"/>
                <w:sz w:val="20"/>
                <w:szCs w:val="22"/>
                <w:lang w:val="en-US" w:eastAsia="zh-CN"/>
              </w:rPr>
              <w:t>m</w:t>
            </w:r>
            <w:r>
              <w:rPr>
                <w:rFonts w:hint="eastAsia" w:ascii="宋体" w:hAnsi="宋体" w:cs="宋体"/>
                <w:kern w:val="0"/>
                <w:sz w:val="20"/>
                <w:szCs w:val="22"/>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bl>
    <w:p>
      <w:pPr>
        <w:numPr>
          <w:ilvl w:val="0"/>
          <w:numId w:val="0"/>
        </w:numPr>
        <w:rPr>
          <w:rFonts w:hint="eastAsia"/>
          <w:sz w:val="32"/>
          <w:szCs w:val="32"/>
          <w:lang w:eastAsia="zh-CN"/>
        </w:rPr>
      </w:pPr>
      <w:r>
        <w:rPr>
          <w:rFonts w:hint="eastAsia"/>
          <w:sz w:val="32"/>
          <w:szCs w:val="32"/>
          <w:lang w:eastAsia="zh-CN"/>
        </w:rPr>
        <w:t>修改后：</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482"/>
        <w:gridCol w:w="2176"/>
        <w:gridCol w:w="4011"/>
        <w:gridCol w:w="595"/>
        <w:gridCol w:w="606"/>
        <w:gridCol w:w="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5"/>
            <w:noWrap/>
            <w:vAlign w:val="bottom"/>
          </w:tcPr>
          <w:p>
            <w:pPr>
              <w:jc w:val="left"/>
              <w:rPr>
                <w:rFonts w:ascii="宋体" w:hAnsi="宋体" w:cs="宋体"/>
                <w:b/>
                <w:bCs/>
                <w:kern w:val="0"/>
                <w:sz w:val="20"/>
              </w:rPr>
            </w:pPr>
            <w:r>
              <w:rPr>
                <w:rFonts w:hint="eastAsia" w:ascii="宋体" w:hAnsi="宋体" w:eastAsia="宋体" w:cs="宋体"/>
                <w:b/>
                <w:bCs/>
                <w:color w:val="FF0000"/>
                <w:kern w:val="0"/>
                <w:sz w:val="20"/>
              </w:rPr>
              <w:t>Δ</w:t>
            </w:r>
            <w:r>
              <w:rPr>
                <w:rFonts w:ascii="宋体" w:hAnsi="宋体" w:cs="宋体"/>
                <w:b/>
                <w:bCs/>
                <w:color w:val="FF0000"/>
                <w:kern w:val="0"/>
                <w:sz w:val="20"/>
              </w:rPr>
              <w:t>2</w:t>
            </w:r>
            <w:r>
              <w:rPr>
                <w:rFonts w:hint="eastAsia" w:ascii="宋体" w:hAnsi="宋体" w:cs="宋体"/>
                <w:b/>
                <w:bCs/>
                <w:color w:val="FF0000"/>
                <w:kern w:val="0"/>
                <w:sz w:val="20"/>
              </w:rPr>
              <w:t>、敏感区空气质量监控超级站</w:t>
            </w:r>
          </w:p>
        </w:tc>
        <w:tc>
          <w:tcPr>
            <w:tcW w:w="606" w:type="dxa"/>
          </w:tcPr>
          <w:p>
            <w:pPr>
              <w:jc w:val="left"/>
              <w:rPr>
                <w:rFonts w:ascii="宋体" w:hAnsi="宋体" w:cs="宋体"/>
                <w:b/>
                <w:bCs/>
                <w:kern w:val="0"/>
                <w:sz w:val="20"/>
              </w:rPr>
            </w:pPr>
          </w:p>
        </w:tc>
        <w:tc>
          <w:tcPr>
            <w:tcW w:w="308" w:type="dxa"/>
          </w:tcPr>
          <w:p>
            <w:pPr>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w:t>
            </w:r>
          </w:p>
        </w:tc>
        <w:tc>
          <w:tcPr>
            <w:tcW w:w="1482" w:type="dxa"/>
            <w:vMerge w:val="restart"/>
            <w:noWrap/>
            <w:vAlign w:val="center"/>
          </w:tcPr>
          <w:p>
            <w:pPr>
              <w:jc w:val="left"/>
              <w:rPr>
                <w:rFonts w:ascii="宋体" w:hAnsi="宋体" w:cs="宋体"/>
                <w:kern w:val="0"/>
                <w:sz w:val="20"/>
              </w:rPr>
            </w:pPr>
            <w:r>
              <w:rPr>
                <w:rFonts w:hint="eastAsia" w:ascii="宋体" w:hAnsi="宋体" w:cs="宋体"/>
                <w:kern w:val="0"/>
                <w:sz w:val="20"/>
              </w:rPr>
              <w:t>仪器配置(无机）</w:t>
            </w:r>
          </w:p>
        </w:tc>
        <w:tc>
          <w:tcPr>
            <w:tcW w:w="2176" w:type="dxa"/>
            <w:vAlign w:val="center"/>
          </w:tcPr>
          <w:p>
            <w:pPr>
              <w:jc w:val="left"/>
              <w:rPr>
                <w:rFonts w:ascii="宋体" w:hAnsi="宋体" w:cs="宋体"/>
                <w:kern w:val="0"/>
                <w:sz w:val="20"/>
              </w:rPr>
            </w:pPr>
            <w:r>
              <w:rPr>
                <w:rFonts w:hint="eastAsia" w:ascii="宋体" w:hAnsi="宋体" w:cs="宋体"/>
                <w:kern w:val="0"/>
                <w:sz w:val="20"/>
              </w:rPr>
              <w:t xml:space="preserve">H2S/SO2分析仪 </w:t>
            </w:r>
          </w:p>
        </w:tc>
        <w:tc>
          <w:tcPr>
            <w:tcW w:w="4011" w:type="dxa"/>
            <w:noWrap/>
            <w:vAlign w:val="center"/>
          </w:tcPr>
          <w:p>
            <w:pPr>
              <w:jc w:val="left"/>
              <w:rPr>
                <w:rFonts w:ascii="宋体" w:hAnsi="宋体" w:cs="宋体"/>
                <w:kern w:val="0"/>
                <w:sz w:val="20"/>
              </w:rPr>
            </w:pPr>
            <w:r>
              <w:rPr>
                <w:rFonts w:hint="eastAsia" w:ascii="宋体" w:hAnsi="宋体" w:cs="宋体"/>
                <w:kern w:val="0"/>
                <w:sz w:val="20"/>
              </w:rPr>
              <w:t>测量原理：紫外荧光法；</w:t>
            </w:r>
          </w:p>
          <w:p>
            <w:pPr>
              <w:jc w:val="left"/>
              <w:rPr>
                <w:rFonts w:ascii="宋体" w:hAnsi="宋体" w:cs="宋体"/>
                <w:kern w:val="0"/>
                <w:sz w:val="20"/>
              </w:rPr>
            </w:pPr>
            <w:r>
              <w:rPr>
                <w:rFonts w:hint="eastAsia" w:ascii="宋体" w:hAnsi="宋体" w:cs="宋体"/>
                <w:kern w:val="0"/>
                <w:sz w:val="20"/>
              </w:rPr>
              <w:t>量程：H2S：最小0～50ppb，最大0～10ppm；SO2：0-20ppm（可选，独立量程和自动量程设置）。</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NOx分析仪</w:t>
            </w:r>
          </w:p>
        </w:tc>
        <w:tc>
          <w:tcPr>
            <w:tcW w:w="4011" w:type="dxa"/>
            <w:noWrap/>
            <w:vAlign w:val="center"/>
          </w:tcPr>
          <w:p>
            <w:pPr>
              <w:jc w:val="left"/>
              <w:rPr>
                <w:rFonts w:ascii="宋体" w:hAnsi="宋体" w:cs="宋体"/>
                <w:kern w:val="0"/>
                <w:sz w:val="20"/>
              </w:rPr>
            </w:pPr>
            <w:r>
              <w:rPr>
                <w:rFonts w:hint="eastAsia" w:ascii="宋体" w:hAnsi="宋体" w:cs="宋体"/>
                <w:kern w:val="0"/>
                <w:sz w:val="20"/>
              </w:rPr>
              <w:t>测量原理：化学发光法；</w:t>
            </w:r>
          </w:p>
          <w:p>
            <w:pPr>
              <w:jc w:val="left"/>
              <w:rPr>
                <w:rFonts w:ascii="宋体" w:hAnsi="宋体" w:cs="宋体"/>
                <w:kern w:val="0"/>
                <w:sz w:val="20"/>
              </w:rPr>
            </w:pPr>
            <w:r>
              <w:rPr>
                <w:rFonts w:hint="eastAsia" w:ascii="宋体" w:hAnsi="宋体" w:cs="宋体"/>
                <w:kern w:val="0"/>
                <w:sz w:val="20"/>
              </w:rPr>
              <w:t>量程范围：0-500ppb到0-20ppm（可选双量程和自动量程）。</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3</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NH3分析仪</w:t>
            </w:r>
          </w:p>
        </w:tc>
        <w:tc>
          <w:tcPr>
            <w:tcW w:w="4011" w:type="dxa"/>
            <w:noWrap/>
            <w:vAlign w:val="center"/>
          </w:tcPr>
          <w:p>
            <w:pPr>
              <w:jc w:val="left"/>
              <w:rPr>
                <w:rFonts w:ascii="宋体" w:hAnsi="宋体" w:cs="宋体"/>
                <w:kern w:val="0"/>
                <w:sz w:val="20"/>
              </w:rPr>
            </w:pPr>
            <w:r>
              <w:rPr>
                <w:rFonts w:hint="eastAsia" w:ascii="宋体" w:hAnsi="宋体" w:cs="宋体"/>
                <w:kern w:val="0"/>
                <w:sz w:val="20"/>
              </w:rPr>
              <w:t>测量原理：可调制半导体激光吸收光谱；</w:t>
            </w:r>
          </w:p>
          <w:p>
            <w:pPr>
              <w:jc w:val="left"/>
              <w:rPr>
                <w:rFonts w:ascii="宋体" w:hAnsi="宋体" w:cs="宋体"/>
                <w:kern w:val="0"/>
                <w:sz w:val="20"/>
              </w:rPr>
            </w:pPr>
            <w:r>
              <w:rPr>
                <w:rFonts w:hint="eastAsia" w:ascii="宋体" w:hAnsi="宋体" w:cs="宋体"/>
                <w:kern w:val="0"/>
                <w:sz w:val="20"/>
              </w:rPr>
              <w:t>量程：0 ~ 2 ppm；</w:t>
            </w:r>
          </w:p>
          <w:p>
            <w:pPr>
              <w:jc w:val="left"/>
              <w:rPr>
                <w:rFonts w:ascii="宋体" w:hAnsi="宋体" w:cs="宋体"/>
                <w:kern w:val="0"/>
                <w:sz w:val="20"/>
              </w:rPr>
            </w:pPr>
            <w:r>
              <w:rPr>
                <w:rFonts w:hint="eastAsia" w:ascii="宋体" w:hAnsi="宋体" w:cs="宋体"/>
                <w:kern w:val="0"/>
                <w:sz w:val="20"/>
              </w:rPr>
              <w:t>检测限：1 ppb（1倍标准偏差）。</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4</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气象五参数</w:t>
            </w:r>
          </w:p>
        </w:tc>
        <w:tc>
          <w:tcPr>
            <w:tcW w:w="4011" w:type="dxa"/>
            <w:noWrap/>
            <w:vAlign w:val="center"/>
          </w:tcPr>
          <w:p>
            <w:pPr>
              <w:jc w:val="left"/>
              <w:rPr>
                <w:rFonts w:ascii="宋体" w:hAnsi="宋体" w:cs="宋体"/>
                <w:kern w:val="0"/>
                <w:sz w:val="20"/>
              </w:rPr>
            </w:pPr>
            <w:r>
              <w:rPr>
                <w:rFonts w:hint="eastAsia" w:ascii="宋体" w:hAnsi="宋体" w:cs="宋体"/>
                <w:kern w:val="0"/>
                <w:sz w:val="20"/>
              </w:rPr>
              <w:t>测量温度、湿度、气压、风向、风速。</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5</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动态校准仪（含臭氧模块）</w:t>
            </w:r>
          </w:p>
        </w:tc>
        <w:tc>
          <w:tcPr>
            <w:tcW w:w="4011" w:type="dxa"/>
            <w:noWrap/>
            <w:vAlign w:val="center"/>
          </w:tcPr>
          <w:p>
            <w:pPr>
              <w:jc w:val="left"/>
              <w:rPr>
                <w:rFonts w:ascii="宋体" w:hAnsi="宋体" w:cs="宋体"/>
                <w:kern w:val="0"/>
                <w:sz w:val="20"/>
              </w:rPr>
            </w:pPr>
            <w:r>
              <w:rPr>
                <w:rFonts w:hint="eastAsia" w:ascii="宋体" w:hAnsi="宋体" w:cs="宋体"/>
                <w:kern w:val="0"/>
                <w:sz w:val="20"/>
              </w:rPr>
              <w:t>稀释气流量范围：标配：0~10SLM；可选：0~5SLM0~20SLM；</w:t>
            </w:r>
          </w:p>
          <w:p>
            <w:pPr>
              <w:jc w:val="left"/>
              <w:rPr>
                <w:rFonts w:ascii="宋体" w:hAnsi="宋体" w:cs="宋体"/>
                <w:kern w:val="0"/>
                <w:sz w:val="20"/>
              </w:rPr>
            </w:pPr>
            <w:r>
              <w:rPr>
                <w:rFonts w:hint="eastAsia" w:ascii="宋体" w:hAnsi="宋体" w:cs="宋体"/>
                <w:kern w:val="0"/>
                <w:sz w:val="20"/>
              </w:rPr>
              <w:t>标气流量范围：标配：0~100sccm；可选：0~50sccm、0~200sccm。</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6</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渗透炉校准仪</w:t>
            </w:r>
          </w:p>
        </w:tc>
        <w:tc>
          <w:tcPr>
            <w:tcW w:w="4011" w:type="dxa"/>
            <w:noWrap/>
            <w:vAlign w:val="center"/>
          </w:tcPr>
          <w:p>
            <w:pPr>
              <w:jc w:val="left"/>
              <w:rPr>
                <w:rFonts w:ascii="宋体" w:hAnsi="宋体" w:cs="宋体"/>
                <w:kern w:val="0"/>
                <w:sz w:val="20"/>
              </w:rPr>
            </w:pPr>
            <w:r>
              <w:rPr>
                <w:rFonts w:hint="eastAsia" w:ascii="宋体" w:hAnsi="宋体" w:cs="宋体"/>
                <w:kern w:val="0"/>
                <w:sz w:val="20"/>
              </w:rPr>
              <w:t>温度控制精度：±0.01°C 在 110°C ；</w:t>
            </w:r>
          </w:p>
          <w:p>
            <w:pPr>
              <w:jc w:val="left"/>
              <w:rPr>
                <w:rFonts w:ascii="宋体" w:hAnsi="宋体" w:cs="宋体"/>
                <w:kern w:val="0"/>
                <w:sz w:val="20"/>
              </w:rPr>
            </w:pPr>
            <w:r>
              <w:rPr>
                <w:rFonts w:hint="eastAsia" w:ascii="宋体" w:hAnsi="宋体" w:cs="宋体"/>
                <w:kern w:val="0"/>
                <w:sz w:val="20"/>
              </w:rPr>
              <w:t>供气范围：PPB – 高浓度 PPM；两个独立的渗透腔。</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7</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零气发生器</w:t>
            </w:r>
          </w:p>
        </w:tc>
        <w:tc>
          <w:tcPr>
            <w:tcW w:w="4011" w:type="dxa"/>
            <w:noWrap/>
            <w:vAlign w:val="center"/>
          </w:tcPr>
          <w:p>
            <w:pPr>
              <w:jc w:val="left"/>
              <w:rPr>
                <w:rFonts w:ascii="宋体" w:hAnsi="宋体" w:cs="宋体"/>
                <w:kern w:val="0"/>
                <w:sz w:val="20"/>
              </w:rPr>
            </w:pPr>
            <w:r>
              <w:rPr>
                <w:rFonts w:hint="eastAsia" w:ascii="宋体" w:hAnsi="宋体" w:cs="宋体"/>
                <w:kern w:val="0"/>
                <w:sz w:val="20"/>
              </w:rPr>
              <w:t>输出流量：20SLPM，当30Psig 时；</w:t>
            </w:r>
          </w:p>
          <w:p>
            <w:pPr>
              <w:jc w:val="left"/>
              <w:rPr>
                <w:rFonts w:ascii="宋体" w:hAnsi="宋体" w:cs="宋体"/>
                <w:kern w:val="0"/>
                <w:sz w:val="20"/>
              </w:rPr>
            </w:pPr>
            <w:r>
              <w:rPr>
                <w:rFonts w:hint="eastAsia" w:ascii="宋体" w:hAnsi="宋体" w:cs="宋体"/>
                <w:kern w:val="0"/>
                <w:sz w:val="20"/>
              </w:rPr>
              <w:t>露点：&lt;-30℃（&lt;15L）；&lt;-20℃（＞15L）。</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8</w:t>
            </w:r>
          </w:p>
        </w:tc>
        <w:tc>
          <w:tcPr>
            <w:tcW w:w="1482" w:type="dxa"/>
            <w:vMerge w:val="restart"/>
            <w:noWrap/>
            <w:vAlign w:val="center"/>
          </w:tcPr>
          <w:p>
            <w:pPr>
              <w:jc w:val="left"/>
              <w:rPr>
                <w:rFonts w:ascii="宋体" w:hAnsi="宋体" w:cs="宋体"/>
                <w:kern w:val="0"/>
                <w:sz w:val="20"/>
              </w:rPr>
            </w:pPr>
            <w:r>
              <w:rPr>
                <w:rFonts w:hint="eastAsia" w:ascii="宋体" w:hAnsi="宋体" w:cs="宋体"/>
                <w:kern w:val="0"/>
                <w:sz w:val="20"/>
              </w:rPr>
              <w:t>仪器配置(有机）</w:t>
            </w:r>
          </w:p>
        </w:tc>
        <w:tc>
          <w:tcPr>
            <w:tcW w:w="2176" w:type="dxa"/>
            <w:vAlign w:val="center"/>
          </w:tcPr>
          <w:p>
            <w:pPr>
              <w:jc w:val="left"/>
              <w:rPr>
                <w:rFonts w:ascii="宋体" w:hAnsi="宋体" w:cs="宋体"/>
                <w:kern w:val="0"/>
                <w:sz w:val="20"/>
              </w:rPr>
            </w:pPr>
            <w:r>
              <w:rPr>
                <w:rFonts w:hint="eastAsia" w:ascii="宋体" w:hAnsi="宋体" w:cs="宋体"/>
                <w:kern w:val="0"/>
                <w:sz w:val="20"/>
              </w:rPr>
              <w:t>甲烷/非甲烷总烃在线分析仪</w:t>
            </w:r>
          </w:p>
        </w:tc>
        <w:tc>
          <w:tcPr>
            <w:tcW w:w="4011" w:type="dxa"/>
            <w:noWrap/>
            <w:vAlign w:val="center"/>
          </w:tcPr>
          <w:p>
            <w:pPr>
              <w:jc w:val="left"/>
              <w:rPr>
                <w:rFonts w:ascii="宋体" w:hAnsi="宋体" w:cs="宋体"/>
                <w:kern w:val="0"/>
                <w:sz w:val="20"/>
              </w:rPr>
            </w:pPr>
            <w:r>
              <w:rPr>
                <w:rFonts w:hint="eastAsia" w:ascii="宋体" w:hAnsi="宋体" w:cs="宋体"/>
                <w:kern w:val="0"/>
                <w:sz w:val="20"/>
              </w:rPr>
              <w:t>分析方法：气相色谱法；</w:t>
            </w:r>
          </w:p>
          <w:p>
            <w:pPr>
              <w:jc w:val="left"/>
              <w:rPr>
                <w:rFonts w:ascii="宋体" w:hAnsi="宋体" w:cs="宋体"/>
                <w:kern w:val="0"/>
                <w:sz w:val="20"/>
              </w:rPr>
            </w:pPr>
            <w:r>
              <w:rPr>
                <w:rFonts w:hint="eastAsia" w:ascii="宋体" w:hAnsi="宋体" w:cs="宋体"/>
                <w:kern w:val="0"/>
                <w:sz w:val="20"/>
              </w:rPr>
              <w:t>检出限：非甲烷总烃（以甲烷计）≤0.05ppm。</w:t>
            </w:r>
          </w:p>
        </w:tc>
        <w:tc>
          <w:tcPr>
            <w:tcW w:w="595" w:type="dxa"/>
            <w:noWrap/>
            <w:vAlign w:val="center"/>
          </w:tcPr>
          <w:p>
            <w:pPr>
              <w:jc w:val="center"/>
              <w:rPr>
                <w:rFonts w:ascii="宋体" w:hAnsi="宋体" w:cs="宋体"/>
                <w:kern w:val="0"/>
                <w:sz w:val="20"/>
              </w:rPr>
            </w:pPr>
            <w:r>
              <w:rPr>
                <w:rFonts w:hint="eastAsia" w:ascii="宋体" w:hAnsi="宋体" w:cs="宋体"/>
                <w:kern w:val="0"/>
                <w:sz w:val="20"/>
                <w:lang w:eastAsia="zh-CN"/>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9</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VOCs在线质谱分析仪(GC-FID/MS)</w:t>
            </w:r>
          </w:p>
        </w:tc>
        <w:tc>
          <w:tcPr>
            <w:tcW w:w="4011" w:type="dxa"/>
            <w:noWrap/>
            <w:vAlign w:val="center"/>
          </w:tcPr>
          <w:p>
            <w:pPr>
              <w:jc w:val="left"/>
              <w:rPr>
                <w:rFonts w:ascii="宋体" w:hAnsi="宋体" w:cs="宋体"/>
                <w:kern w:val="0"/>
                <w:sz w:val="20"/>
              </w:rPr>
            </w:pPr>
            <w:r>
              <w:rPr>
                <w:rFonts w:hint="eastAsia" w:ascii="宋体" w:hAnsi="宋体" w:cs="宋体"/>
                <w:kern w:val="0"/>
                <w:sz w:val="20"/>
              </w:rPr>
              <w:t>分析方法：气相色谱质谱联用法；</w:t>
            </w:r>
          </w:p>
          <w:p>
            <w:pPr>
              <w:jc w:val="left"/>
              <w:rPr>
                <w:rFonts w:ascii="宋体" w:hAnsi="宋体" w:cs="宋体"/>
                <w:kern w:val="0"/>
                <w:sz w:val="20"/>
              </w:rPr>
            </w:pPr>
            <w:r>
              <w:rPr>
                <w:rFonts w:hint="eastAsia" w:ascii="宋体" w:hAnsi="宋体" w:cs="宋体"/>
                <w:kern w:val="0"/>
                <w:sz w:val="20"/>
              </w:rPr>
              <w:t>可分析组分：大气中挥发性有机物，包括PAMS（57种），TO15组分（65种），OVOC（12种）等有机物。</w:t>
            </w:r>
          </w:p>
        </w:tc>
        <w:tc>
          <w:tcPr>
            <w:tcW w:w="595" w:type="dxa"/>
            <w:noWrap/>
            <w:vAlign w:val="center"/>
          </w:tcPr>
          <w:p>
            <w:pPr>
              <w:jc w:val="center"/>
              <w:rPr>
                <w:rFonts w:ascii="宋体" w:hAnsi="宋体" w:cs="宋体"/>
                <w:kern w:val="0"/>
                <w:sz w:val="20"/>
              </w:rPr>
            </w:pPr>
            <w:r>
              <w:rPr>
                <w:rFonts w:hint="eastAsia" w:ascii="宋体" w:hAnsi="宋体" w:cs="宋体"/>
                <w:kern w:val="0"/>
                <w:sz w:val="20"/>
                <w:lang w:eastAsia="zh-CN"/>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10</w:t>
            </w:r>
          </w:p>
        </w:tc>
        <w:tc>
          <w:tcPr>
            <w:tcW w:w="1482" w:type="dxa"/>
            <w:vMerge w:val="continue"/>
            <w:vAlign w:val="center"/>
          </w:tcPr>
          <w:p>
            <w:pPr>
              <w:jc w:val="left"/>
              <w:rPr>
                <w:rFonts w:ascii="宋体" w:hAnsi="宋体" w:cs="宋体"/>
                <w:kern w:val="0"/>
                <w:sz w:val="20"/>
              </w:rPr>
            </w:pPr>
          </w:p>
        </w:tc>
        <w:tc>
          <w:tcPr>
            <w:tcW w:w="2176" w:type="dxa"/>
            <w:noWrap/>
            <w:vAlign w:val="bottom"/>
          </w:tcPr>
          <w:p>
            <w:pPr>
              <w:jc w:val="left"/>
              <w:rPr>
                <w:rFonts w:ascii="宋体" w:hAnsi="宋体" w:cs="宋体"/>
                <w:kern w:val="0"/>
                <w:sz w:val="20"/>
              </w:rPr>
            </w:pPr>
            <w:r>
              <w:rPr>
                <w:rFonts w:hint="eastAsia" w:ascii="宋体" w:hAnsi="宋体" w:cs="宋体"/>
                <w:kern w:val="0"/>
                <w:sz w:val="20"/>
              </w:rPr>
              <w:t>动态校准仪（VOC版）</w:t>
            </w:r>
          </w:p>
        </w:tc>
        <w:tc>
          <w:tcPr>
            <w:tcW w:w="4011" w:type="dxa"/>
            <w:noWrap/>
            <w:vAlign w:val="center"/>
          </w:tcPr>
          <w:p>
            <w:pPr>
              <w:jc w:val="left"/>
              <w:rPr>
                <w:rFonts w:ascii="宋体" w:hAnsi="宋体" w:cs="宋体"/>
                <w:kern w:val="0"/>
                <w:sz w:val="20"/>
              </w:rPr>
            </w:pPr>
            <w:r>
              <w:rPr>
                <w:rFonts w:hint="eastAsia" w:ascii="宋体" w:hAnsi="宋体" w:cs="宋体"/>
                <w:kern w:val="0"/>
                <w:sz w:val="20"/>
              </w:rPr>
              <w:t>稀释气流量范围：标配：0~10SLM；可选：0~5SLM、0~20SLM；</w:t>
            </w:r>
          </w:p>
          <w:p>
            <w:pPr>
              <w:jc w:val="left"/>
              <w:rPr>
                <w:rFonts w:ascii="宋体" w:hAnsi="宋体" w:cs="宋体"/>
                <w:kern w:val="0"/>
                <w:sz w:val="20"/>
              </w:rPr>
            </w:pPr>
            <w:r>
              <w:rPr>
                <w:rFonts w:hint="eastAsia" w:ascii="宋体" w:hAnsi="宋体" w:cs="宋体"/>
                <w:kern w:val="0"/>
                <w:sz w:val="20"/>
              </w:rPr>
              <w:t>标气流量范围：标配：0~100sccm；可选：0~50sccm0~200sccm。</w:t>
            </w:r>
          </w:p>
        </w:tc>
        <w:tc>
          <w:tcPr>
            <w:tcW w:w="595" w:type="dxa"/>
            <w:noWrap/>
            <w:vAlign w:val="center"/>
          </w:tcPr>
          <w:p>
            <w:pPr>
              <w:jc w:val="center"/>
              <w:rPr>
                <w:rFonts w:ascii="宋体" w:hAnsi="宋体" w:cs="宋体"/>
                <w:kern w:val="0"/>
                <w:sz w:val="20"/>
              </w:rPr>
            </w:pPr>
            <w:r>
              <w:rPr>
                <w:rFonts w:hint="eastAsia" w:ascii="宋体" w:hAnsi="宋体" w:cs="宋体"/>
                <w:kern w:val="0"/>
                <w:sz w:val="20"/>
                <w:lang w:eastAsia="zh-CN"/>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11</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全惰性化精密动态校准仪</w:t>
            </w:r>
          </w:p>
        </w:tc>
        <w:tc>
          <w:tcPr>
            <w:tcW w:w="4011" w:type="dxa"/>
            <w:noWrap/>
            <w:vAlign w:val="center"/>
          </w:tcPr>
          <w:p>
            <w:pPr>
              <w:jc w:val="left"/>
              <w:rPr>
                <w:rFonts w:ascii="宋体" w:hAnsi="宋体" w:cs="宋体"/>
                <w:kern w:val="0"/>
                <w:sz w:val="20"/>
              </w:rPr>
            </w:pPr>
            <w:r>
              <w:rPr>
                <w:rFonts w:hint="eastAsia" w:ascii="宋体" w:hAnsi="宋体" w:cs="宋体"/>
                <w:kern w:val="0"/>
                <w:sz w:val="20"/>
              </w:rPr>
              <w:t>通过气体质量流量控制器精确控制气体流量，将高浓度样品动态稀释至所需低浓度气体，内部管路和接头全部经过严格惰性化处理，降低VOCs气体在管路中吸附残留的影响。</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12</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氢气发生器</w:t>
            </w:r>
          </w:p>
        </w:tc>
        <w:tc>
          <w:tcPr>
            <w:tcW w:w="4011" w:type="dxa"/>
            <w:noWrap/>
            <w:vAlign w:val="center"/>
          </w:tcPr>
          <w:p>
            <w:pPr>
              <w:jc w:val="left"/>
              <w:rPr>
                <w:rFonts w:ascii="宋体" w:hAnsi="宋体" w:cs="宋体"/>
                <w:kern w:val="0"/>
                <w:sz w:val="20"/>
              </w:rPr>
            </w:pPr>
            <w:r>
              <w:rPr>
                <w:rFonts w:hint="eastAsia" w:ascii="宋体" w:hAnsi="宋体" w:cs="宋体"/>
                <w:kern w:val="0"/>
                <w:sz w:val="20"/>
              </w:rPr>
              <w:t>氢气纯度：99.999%；</w:t>
            </w:r>
          </w:p>
          <w:p>
            <w:pPr>
              <w:jc w:val="left"/>
              <w:rPr>
                <w:rFonts w:ascii="宋体" w:hAnsi="宋体" w:cs="宋体"/>
                <w:kern w:val="0"/>
                <w:sz w:val="20"/>
              </w:rPr>
            </w:pPr>
            <w:r>
              <w:rPr>
                <w:rFonts w:hint="eastAsia" w:ascii="宋体" w:hAnsi="宋体" w:cs="宋体"/>
                <w:kern w:val="0"/>
                <w:sz w:val="20"/>
              </w:rPr>
              <w:t>氢气流量：0-500ml/min。</w:t>
            </w:r>
          </w:p>
        </w:tc>
        <w:tc>
          <w:tcPr>
            <w:tcW w:w="595" w:type="dxa"/>
            <w:noWrap/>
            <w:vAlign w:val="center"/>
          </w:tcPr>
          <w:p>
            <w:pPr>
              <w:jc w:val="center"/>
              <w:rPr>
                <w:rFonts w:ascii="宋体" w:hAnsi="宋体" w:cs="宋体"/>
                <w:kern w:val="0"/>
                <w:sz w:val="20"/>
              </w:rPr>
            </w:pPr>
            <w:r>
              <w:rPr>
                <w:rFonts w:hint="eastAsia" w:ascii="宋体" w:hAnsi="宋体" w:cs="宋体"/>
                <w:kern w:val="0"/>
                <w:sz w:val="20"/>
                <w:lang w:eastAsia="zh-CN"/>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13</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零气发生器（用于GC-MS）</w:t>
            </w:r>
          </w:p>
        </w:tc>
        <w:tc>
          <w:tcPr>
            <w:tcW w:w="4011" w:type="dxa"/>
            <w:noWrap/>
            <w:vAlign w:val="center"/>
          </w:tcPr>
          <w:p>
            <w:pPr>
              <w:jc w:val="left"/>
              <w:rPr>
                <w:rFonts w:ascii="宋体" w:hAnsi="宋体" w:cs="宋体"/>
                <w:kern w:val="0"/>
                <w:sz w:val="20"/>
              </w:rPr>
            </w:pPr>
            <w:r>
              <w:rPr>
                <w:rFonts w:hint="eastAsia" w:ascii="宋体" w:hAnsi="宋体" w:cs="宋体"/>
                <w:kern w:val="0"/>
                <w:sz w:val="20"/>
              </w:rPr>
              <w:t>输出零气流量：0-5000ml/min；</w:t>
            </w:r>
          </w:p>
          <w:p>
            <w:pPr>
              <w:jc w:val="left"/>
              <w:rPr>
                <w:rFonts w:ascii="宋体" w:hAnsi="宋体" w:cs="宋体"/>
                <w:kern w:val="0"/>
                <w:sz w:val="20"/>
              </w:rPr>
            </w:pPr>
            <w:r>
              <w:rPr>
                <w:rFonts w:hint="eastAsia" w:ascii="宋体" w:hAnsi="宋体" w:cs="宋体"/>
                <w:kern w:val="0"/>
                <w:sz w:val="20"/>
              </w:rPr>
              <w:t>输出零气烃类含量：＜10ppb。</w:t>
            </w:r>
          </w:p>
        </w:tc>
        <w:tc>
          <w:tcPr>
            <w:tcW w:w="595" w:type="dxa"/>
            <w:noWrap/>
            <w:vAlign w:val="center"/>
          </w:tcPr>
          <w:p>
            <w:pPr>
              <w:jc w:val="center"/>
              <w:rPr>
                <w:rFonts w:ascii="宋体" w:hAnsi="宋体" w:cs="宋体"/>
                <w:kern w:val="0"/>
                <w:sz w:val="20"/>
              </w:rPr>
            </w:pPr>
            <w:r>
              <w:rPr>
                <w:rFonts w:hint="eastAsia" w:ascii="宋体" w:hAnsi="宋体" w:cs="宋体"/>
                <w:kern w:val="0"/>
                <w:sz w:val="20"/>
                <w:lang w:eastAsia="zh-CN"/>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14</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氦气(含减压阀）</w:t>
            </w:r>
          </w:p>
        </w:tc>
        <w:tc>
          <w:tcPr>
            <w:tcW w:w="4011" w:type="dxa"/>
            <w:noWrap/>
            <w:vAlign w:val="center"/>
          </w:tcPr>
          <w:p>
            <w:pPr>
              <w:jc w:val="left"/>
              <w:rPr>
                <w:rFonts w:ascii="宋体" w:hAnsi="宋体" w:cs="宋体"/>
                <w:kern w:val="0"/>
                <w:sz w:val="20"/>
              </w:rPr>
            </w:pPr>
            <w:r>
              <w:rPr>
                <w:rFonts w:ascii="宋体" w:hAnsi="宋体" w:cs="宋体"/>
                <w:kern w:val="0"/>
                <w:sz w:val="20"/>
              </w:rPr>
              <w:t>99.999%,40L</w:t>
            </w:r>
            <w:r>
              <w:rPr>
                <w:rFonts w:hint="eastAsia" w:ascii="宋体" w:hAnsi="宋体" w:cs="宋体"/>
                <w:kern w:val="0"/>
                <w:sz w:val="20"/>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15</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氮气（含减压阀）</w:t>
            </w:r>
          </w:p>
        </w:tc>
        <w:tc>
          <w:tcPr>
            <w:tcW w:w="4011" w:type="dxa"/>
            <w:noWrap/>
            <w:vAlign w:val="center"/>
          </w:tcPr>
          <w:p>
            <w:pPr>
              <w:jc w:val="left"/>
              <w:rPr>
                <w:rFonts w:ascii="宋体" w:hAnsi="宋体" w:cs="宋体"/>
                <w:kern w:val="0"/>
                <w:sz w:val="20"/>
              </w:rPr>
            </w:pPr>
            <w:r>
              <w:rPr>
                <w:rFonts w:ascii="宋体" w:hAnsi="宋体" w:cs="宋体"/>
                <w:kern w:val="0"/>
                <w:sz w:val="20"/>
              </w:rPr>
              <w:t>99.999%,40L</w:t>
            </w:r>
            <w:r>
              <w:rPr>
                <w:rFonts w:hint="eastAsia" w:ascii="宋体" w:hAnsi="宋体" w:cs="宋体"/>
                <w:kern w:val="0"/>
                <w:sz w:val="20"/>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16</w:t>
            </w:r>
          </w:p>
        </w:tc>
        <w:tc>
          <w:tcPr>
            <w:tcW w:w="1482" w:type="dxa"/>
            <w:vMerge w:val="restart"/>
            <w:noWrap/>
            <w:vAlign w:val="center"/>
          </w:tcPr>
          <w:p>
            <w:pPr>
              <w:jc w:val="left"/>
              <w:rPr>
                <w:rFonts w:ascii="宋体" w:hAnsi="宋体" w:cs="宋体"/>
                <w:kern w:val="0"/>
                <w:sz w:val="20"/>
              </w:rPr>
            </w:pPr>
            <w:r>
              <w:rPr>
                <w:rFonts w:hint="eastAsia" w:ascii="宋体" w:hAnsi="宋体" w:cs="宋体"/>
                <w:kern w:val="0"/>
                <w:sz w:val="20"/>
              </w:rPr>
              <w:t>标气系统</w:t>
            </w:r>
          </w:p>
        </w:tc>
        <w:tc>
          <w:tcPr>
            <w:tcW w:w="2176" w:type="dxa"/>
            <w:vAlign w:val="center"/>
          </w:tcPr>
          <w:p>
            <w:pPr>
              <w:jc w:val="left"/>
              <w:rPr>
                <w:rFonts w:ascii="宋体" w:hAnsi="宋体" w:cs="宋体"/>
                <w:kern w:val="0"/>
                <w:sz w:val="20"/>
              </w:rPr>
            </w:pPr>
            <w:r>
              <w:rPr>
                <w:rFonts w:hint="eastAsia" w:ascii="宋体" w:hAnsi="宋体" w:cs="宋体"/>
                <w:kern w:val="0"/>
                <w:sz w:val="20"/>
              </w:rPr>
              <w:t>SO2标气</w:t>
            </w:r>
          </w:p>
        </w:tc>
        <w:tc>
          <w:tcPr>
            <w:tcW w:w="4011" w:type="dxa"/>
            <w:noWrap/>
            <w:vAlign w:val="center"/>
          </w:tcPr>
          <w:p>
            <w:pPr>
              <w:jc w:val="left"/>
              <w:rPr>
                <w:rFonts w:ascii="宋体" w:hAnsi="宋体" w:cs="宋体"/>
                <w:kern w:val="0"/>
                <w:sz w:val="20"/>
              </w:rPr>
            </w:pPr>
            <w:r>
              <w:rPr>
                <w:rFonts w:hint="eastAsia" w:ascii="宋体" w:hAnsi="宋体" w:cs="宋体"/>
                <w:kern w:val="0"/>
                <w:sz w:val="20"/>
              </w:rPr>
              <w:t>50ppm，8L。</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17</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NO标气</w:t>
            </w:r>
          </w:p>
        </w:tc>
        <w:tc>
          <w:tcPr>
            <w:tcW w:w="4011" w:type="dxa"/>
            <w:noWrap/>
            <w:vAlign w:val="center"/>
          </w:tcPr>
          <w:p>
            <w:pPr>
              <w:jc w:val="left"/>
              <w:rPr>
                <w:rFonts w:ascii="宋体" w:hAnsi="宋体" w:cs="宋体"/>
                <w:kern w:val="0"/>
                <w:sz w:val="20"/>
              </w:rPr>
            </w:pPr>
            <w:r>
              <w:rPr>
                <w:rFonts w:hint="eastAsia" w:ascii="宋体" w:hAnsi="宋体" w:cs="宋体"/>
                <w:kern w:val="0"/>
                <w:sz w:val="20"/>
              </w:rPr>
              <w:t>50ppm，8L。</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18</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NH3标气</w:t>
            </w:r>
          </w:p>
        </w:tc>
        <w:tc>
          <w:tcPr>
            <w:tcW w:w="4011" w:type="dxa"/>
            <w:noWrap/>
            <w:vAlign w:val="center"/>
          </w:tcPr>
          <w:p>
            <w:pPr>
              <w:jc w:val="left"/>
              <w:rPr>
                <w:rFonts w:ascii="宋体" w:hAnsi="宋体" w:cs="宋体"/>
                <w:kern w:val="0"/>
                <w:sz w:val="20"/>
              </w:rPr>
            </w:pPr>
            <w:r>
              <w:rPr>
                <w:rFonts w:hint="eastAsia" w:ascii="宋体" w:hAnsi="宋体" w:cs="宋体"/>
                <w:kern w:val="0"/>
                <w:sz w:val="20"/>
              </w:rPr>
              <w:t>30ppm，8L</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19</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甲烷、丙烷标气</w:t>
            </w:r>
          </w:p>
        </w:tc>
        <w:tc>
          <w:tcPr>
            <w:tcW w:w="4011" w:type="dxa"/>
            <w:noWrap/>
            <w:vAlign w:val="center"/>
          </w:tcPr>
          <w:p>
            <w:pPr>
              <w:jc w:val="left"/>
              <w:rPr>
                <w:rFonts w:ascii="宋体" w:hAnsi="宋体" w:cs="宋体"/>
                <w:kern w:val="0"/>
                <w:sz w:val="20"/>
              </w:rPr>
            </w:pPr>
            <w:r>
              <w:rPr>
                <w:rFonts w:hint="eastAsia" w:ascii="宋体" w:hAnsi="宋体" w:cs="宋体"/>
                <w:kern w:val="0"/>
                <w:sz w:val="20"/>
              </w:rPr>
              <w:t>400ppm甲烷，30ppm丙烷。</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20</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PAMS标气</w:t>
            </w:r>
          </w:p>
        </w:tc>
        <w:tc>
          <w:tcPr>
            <w:tcW w:w="4011" w:type="dxa"/>
            <w:noWrap/>
            <w:vAlign w:val="center"/>
          </w:tcPr>
          <w:p>
            <w:pPr>
              <w:jc w:val="left"/>
              <w:rPr>
                <w:rFonts w:ascii="宋体" w:hAnsi="宋体" w:cs="宋体"/>
                <w:kern w:val="0"/>
                <w:sz w:val="20"/>
              </w:rPr>
            </w:pPr>
            <w:r>
              <w:rPr>
                <w:rFonts w:hint="eastAsia" w:ascii="宋体" w:hAnsi="宋体" w:cs="宋体"/>
                <w:kern w:val="0"/>
                <w:sz w:val="20"/>
              </w:rPr>
              <w:t>1ppm，1L。</w:t>
            </w:r>
          </w:p>
        </w:tc>
        <w:tc>
          <w:tcPr>
            <w:tcW w:w="595" w:type="dxa"/>
            <w:noWrap/>
            <w:vAlign w:val="center"/>
          </w:tcPr>
          <w:p>
            <w:pPr>
              <w:jc w:val="center"/>
              <w:rPr>
                <w:rFonts w:ascii="宋体" w:hAnsi="宋体" w:cs="宋体"/>
                <w:kern w:val="0"/>
                <w:sz w:val="20"/>
              </w:rPr>
            </w:pPr>
            <w:r>
              <w:rPr>
                <w:rFonts w:hint="eastAsia" w:ascii="宋体" w:hAnsi="宋体" w:cs="宋体"/>
                <w:kern w:val="0"/>
                <w:sz w:val="20"/>
              </w:rPr>
              <w:t>瓶</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21</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TO-15标气</w:t>
            </w:r>
          </w:p>
        </w:tc>
        <w:tc>
          <w:tcPr>
            <w:tcW w:w="4011" w:type="dxa"/>
            <w:noWrap/>
            <w:vAlign w:val="center"/>
          </w:tcPr>
          <w:p>
            <w:pPr>
              <w:jc w:val="left"/>
              <w:rPr>
                <w:rFonts w:ascii="宋体" w:hAnsi="宋体" w:cs="宋体"/>
                <w:kern w:val="0"/>
                <w:sz w:val="20"/>
              </w:rPr>
            </w:pPr>
            <w:r>
              <w:rPr>
                <w:rFonts w:hint="eastAsia" w:ascii="宋体" w:hAnsi="宋体" w:cs="宋体"/>
                <w:kern w:val="0"/>
                <w:sz w:val="20"/>
              </w:rPr>
              <w:t>1ppm，1L。</w:t>
            </w:r>
          </w:p>
        </w:tc>
        <w:tc>
          <w:tcPr>
            <w:tcW w:w="595" w:type="dxa"/>
            <w:noWrap/>
            <w:vAlign w:val="center"/>
          </w:tcPr>
          <w:p>
            <w:pPr>
              <w:jc w:val="center"/>
              <w:rPr>
                <w:rFonts w:ascii="宋体" w:hAnsi="宋体" w:cs="宋体"/>
                <w:kern w:val="0"/>
                <w:sz w:val="20"/>
              </w:rPr>
            </w:pPr>
            <w:r>
              <w:rPr>
                <w:rFonts w:hint="eastAsia" w:ascii="宋体" w:hAnsi="宋体" w:cs="宋体"/>
                <w:kern w:val="0"/>
                <w:sz w:val="20"/>
              </w:rPr>
              <w:t>瓶</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22</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不锈钢减压阀</w:t>
            </w:r>
          </w:p>
        </w:tc>
        <w:tc>
          <w:tcPr>
            <w:tcW w:w="4011" w:type="dxa"/>
            <w:noWrap/>
            <w:vAlign w:val="center"/>
          </w:tcPr>
          <w:p>
            <w:pPr>
              <w:jc w:val="left"/>
              <w:rPr>
                <w:rFonts w:ascii="宋体" w:hAnsi="宋体" w:cs="宋体"/>
                <w:kern w:val="0"/>
                <w:sz w:val="20"/>
              </w:rPr>
            </w:pPr>
            <w:r>
              <w:rPr>
                <w:rFonts w:hint="eastAsia" w:ascii="宋体" w:hAnsi="宋体" w:cs="宋体"/>
                <w:kern w:val="0"/>
                <w:sz w:val="20"/>
              </w:rPr>
              <w:t>与PAMS和TO15钢瓶配套。</w:t>
            </w:r>
          </w:p>
        </w:tc>
        <w:tc>
          <w:tcPr>
            <w:tcW w:w="595" w:type="dxa"/>
            <w:noWrap/>
            <w:vAlign w:val="center"/>
          </w:tcPr>
          <w:p>
            <w:pPr>
              <w:jc w:val="center"/>
              <w:rPr>
                <w:rFonts w:ascii="宋体" w:hAnsi="宋体" w:cs="宋体"/>
                <w:kern w:val="0"/>
                <w:sz w:val="20"/>
              </w:rPr>
            </w:pPr>
            <w:r>
              <w:rPr>
                <w:rFonts w:hint="eastAsia" w:ascii="宋体" w:hAnsi="宋体" w:cs="宋体"/>
                <w:kern w:val="0"/>
                <w:sz w:val="20"/>
              </w:rPr>
              <w:t>个</w:t>
            </w:r>
          </w:p>
        </w:tc>
        <w:tc>
          <w:tcPr>
            <w:tcW w:w="606" w:type="dxa"/>
            <w:vAlign w:val="center"/>
          </w:tcPr>
          <w:p>
            <w:pPr>
              <w:jc w:val="center"/>
              <w:rPr>
                <w:rFonts w:ascii="宋体" w:hAnsi="宋体" w:cs="宋体"/>
                <w:kern w:val="0"/>
                <w:sz w:val="20"/>
              </w:rPr>
            </w:pPr>
            <w:r>
              <w:rPr>
                <w:rFonts w:hint="eastAsia" w:ascii="宋体" w:hAnsi="宋体" w:cs="宋体"/>
                <w:kern w:val="0"/>
                <w:sz w:val="20"/>
              </w:rPr>
              <w:t>2</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23</w:t>
            </w:r>
          </w:p>
        </w:tc>
        <w:tc>
          <w:tcPr>
            <w:tcW w:w="1482" w:type="dxa"/>
            <w:vMerge w:val="restart"/>
            <w:vAlign w:val="center"/>
          </w:tcPr>
          <w:p>
            <w:pPr>
              <w:jc w:val="left"/>
              <w:rPr>
                <w:rFonts w:ascii="宋体" w:hAnsi="宋体" w:cs="宋体"/>
                <w:kern w:val="0"/>
                <w:sz w:val="20"/>
              </w:rPr>
            </w:pPr>
            <w:r>
              <w:rPr>
                <w:rFonts w:hint="eastAsia" w:ascii="宋体" w:hAnsi="宋体" w:cs="宋体"/>
                <w:kern w:val="0"/>
                <w:sz w:val="20"/>
              </w:rPr>
              <w:t>配套采样系统、机柜、稳压电源、UPS电源等辅助设施</w:t>
            </w:r>
          </w:p>
        </w:tc>
        <w:tc>
          <w:tcPr>
            <w:tcW w:w="2176" w:type="dxa"/>
            <w:vAlign w:val="center"/>
          </w:tcPr>
          <w:p>
            <w:pPr>
              <w:jc w:val="left"/>
              <w:rPr>
                <w:rFonts w:ascii="宋体" w:hAnsi="宋体" w:cs="宋体"/>
                <w:kern w:val="0"/>
                <w:sz w:val="20"/>
              </w:rPr>
            </w:pPr>
            <w:r>
              <w:rPr>
                <w:rFonts w:hint="eastAsia" w:ascii="宋体" w:hAnsi="宋体" w:cs="宋体"/>
                <w:kern w:val="0"/>
                <w:sz w:val="20"/>
              </w:rPr>
              <w:t>采样系统</w:t>
            </w:r>
          </w:p>
        </w:tc>
        <w:tc>
          <w:tcPr>
            <w:tcW w:w="4011" w:type="dxa"/>
            <w:noWrap/>
            <w:vAlign w:val="center"/>
          </w:tcPr>
          <w:p>
            <w:pPr>
              <w:jc w:val="left"/>
              <w:rPr>
                <w:rFonts w:ascii="宋体" w:hAnsi="宋体" w:cs="宋体"/>
                <w:kern w:val="0"/>
                <w:sz w:val="20"/>
              </w:rPr>
            </w:pPr>
            <w:r>
              <w:rPr>
                <w:rFonts w:hint="eastAsia" w:ascii="宋体" w:hAnsi="宋体" w:cs="宋体"/>
                <w:kern w:val="0"/>
                <w:sz w:val="20"/>
              </w:rPr>
              <w:t>采样装置：垂直层流式采样总管；</w:t>
            </w:r>
          </w:p>
          <w:p>
            <w:pPr>
              <w:jc w:val="left"/>
              <w:rPr>
                <w:rFonts w:ascii="宋体" w:hAnsi="宋体" w:cs="宋体"/>
                <w:kern w:val="0"/>
                <w:sz w:val="20"/>
              </w:rPr>
            </w:pPr>
            <w:r>
              <w:rPr>
                <w:rFonts w:hint="eastAsia" w:ascii="宋体" w:hAnsi="宋体" w:cs="宋体"/>
                <w:kern w:val="0"/>
                <w:sz w:val="20"/>
              </w:rPr>
              <w:t>制作材料：不锈钢内衬聚四氟乙烯。</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24</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 xml:space="preserve">机柜 </w:t>
            </w:r>
          </w:p>
        </w:tc>
        <w:tc>
          <w:tcPr>
            <w:tcW w:w="4011" w:type="dxa"/>
            <w:noWrap/>
            <w:vAlign w:val="center"/>
          </w:tcPr>
          <w:p>
            <w:pPr>
              <w:jc w:val="left"/>
              <w:rPr>
                <w:rFonts w:ascii="宋体" w:hAnsi="宋体" w:cs="宋体"/>
                <w:kern w:val="0"/>
                <w:sz w:val="20"/>
              </w:rPr>
            </w:pPr>
            <w:r>
              <w:rPr>
                <w:rFonts w:ascii="宋体" w:hAnsi="宋体" w:cs="宋体"/>
                <w:kern w:val="0"/>
                <w:sz w:val="20"/>
              </w:rPr>
              <w:t>2000*600*900mm</w:t>
            </w:r>
            <w:r>
              <w:rPr>
                <w:rFonts w:hint="eastAsia" w:ascii="宋体" w:hAnsi="宋体" w:cs="宋体"/>
                <w:kern w:val="0"/>
                <w:sz w:val="20"/>
              </w:rPr>
              <w:t>。</w:t>
            </w:r>
          </w:p>
        </w:tc>
        <w:tc>
          <w:tcPr>
            <w:tcW w:w="595" w:type="dxa"/>
            <w:noWrap/>
            <w:vAlign w:val="center"/>
          </w:tcPr>
          <w:p>
            <w:pPr>
              <w:jc w:val="center"/>
              <w:rPr>
                <w:rFonts w:hint="eastAsia" w:ascii="宋体" w:hAnsi="宋体" w:eastAsia="宋体" w:cs="宋体"/>
                <w:kern w:val="0"/>
                <w:sz w:val="20"/>
                <w:lang w:eastAsia="zh-CN"/>
              </w:rPr>
            </w:pPr>
            <w:r>
              <w:rPr>
                <w:rFonts w:hint="eastAsia" w:ascii="宋体" w:hAnsi="宋体" w:cs="宋体"/>
                <w:kern w:val="0"/>
                <w:sz w:val="20"/>
                <w:lang w:eastAsia="zh-CN"/>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25</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 xml:space="preserve">稳压电源 </w:t>
            </w:r>
          </w:p>
        </w:tc>
        <w:tc>
          <w:tcPr>
            <w:tcW w:w="4011" w:type="dxa"/>
            <w:noWrap/>
            <w:vAlign w:val="center"/>
          </w:tcPr>
          <w:p>
            <w:pPr>
              <w:jc w:val="left"/>
              <w:rPr>
                <w:rFonts w:ascii="宋体" w:hAnsi="宋体" w:cs="宋体"/>
                <w:kern w:val="0"/>
                <w:sz w:val="20"/>
              </w:rPr>
            </w:pPr>
            <w:r>
              <w:rPr>
                <w:rFonts w:hint="eastAsia" w:ascii="宋体" w:hAnsi="宋体" w:cs="宋体"/>
                <w:kern w:val="0"/>
                <w:sz w:val="20"/>
              </w:rPr>
              <w:t>满足H2S\SO2、NOX、NH3、甲烷非甲烷总烃分析仪、GC-MS、零气发生器、校准仪、数采仪等设备需求，确保上述仪器设备长期稳定运行，不受感应电影响跳变电压，稳压电源可负载超过5KW 以上，供仪器正常使用，稳压电源接地。</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26</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UPS电源</w:t>
            </w:r>
          </w:p>
        </w:tc>
        <w:tc>
          <w:tcPr>
            <w:tcW w:w="4011" w:type="dxa"/>
            <w:noWrap/>
            <w:vAlign w:val="center"/>
          </w:tcPr>
          <w:p>
            <w:pPr>
              <w:jc w:val="left"/>
              <w:rPr>
                <w:rFonts w:ascii="宋体" w:hAnsi="宋体" w:cs="宋体"/>
                <w:kern w:val="0"/>
                <w:sz w:val="20"/>
              </w:rPr>
            </w:pPr>
            <w:r>
              <w:rPr>
                <w:rFonts w:hint="eastAsia" w:ascii="宋体" w:hAnsi="宋体" w:cs="宋体"/>
                <w:kern w:val="0"/>
                <w:sz w:val="20"/>
              </w:rPr>
              <w:t>6KVA，延时2小时。</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27</w:t>
            </w:r>
          </w:p>
        </w:tc>
        <w:tc>
          <w:tcPr>
            <w:tcW w:w="1482" w:type="dxa"/>
            <w:vMerge w:val="restart"/>
            <w:noWrap/>
            <w:vAlign w:val="center"/>
          </w:tcPr>
          <w:p>
            <w:pPr>
              <w:jc w:val="left"/>
              <w:rPr>
                <w:rFonts w:ascii="宋体" w:hAnsi="宋体" w:cs="宋体"/>
                <w:kern w:val="0"/>
                <w:sz w:val="20"/>
              </w:rPr>
            </w:pPr>
            <w:r>
              <w:rPr>
                <w:rFonts w:hint="eastAsia" w:ascii="宋体" w:hAnsi="宋体" w:cs="宋体"/>
                <w:kern w:val="0"/>
                <w:sz w:val="20"/>
              </w:rPr>
              <w:t>数据传输与网络化</w:t>
            </w:r>
          </w:p>
        </w:tc>
        <w:tc>
          <w:tcPr>
            <w:tcW w:w="2176" w:type="dxa"/>
            <w:vAlign w:val="center"/>
          </w:tcPr>
          <w:p>
            <w:pPr>
              <w:jc w:val="left"/>
              <w:rPr>
                <w:rFonts w:ascii="宋体" w:hAnsi="宋体" w:cs="宋体"/>
                <w:kern w:val="0"/>
                <w:sz w:val="20"/>
              </w:rPr>
            </w:pPr>
            <w:r>
              <w:rPr>
                <w:rFonts w:hint="eastAsia" w:ascii="宋体" w:hAnsi="宋体" w:cs="宋体"/>
                <w:kern w:val="0"/>
                <w:sz w:val="20"/>
              </w:rPr>
              <w:t xml:space="preserve">数据采集及传输软件 </w:t>
            </w:r>
          </w:p>
        </w:tc>
        <w:tc>
          <w:tcPr>
            <w:tcW w:w="4011" w:type="dxa"/>
            <w:noWrap/>
            <w:vAlign w:val="center"/>
          </w:tcPr>
          <w:p>
            <w:pPr>
              <w:jc w:val="left"/>
              <w:rPr>
                <w:rFonts w:ascii="宋体" w:hAnsi="宋体" w:cs="宋体"/>
                <w:kern w:val="0"/>
                <w:sz w:val="20"/>
              </w:rPr>
            </w:pPr>
            <w:r>
              <w:rPr>
                <w:rFonts w:hint="eastAsia" w:ascii="宋体" w:hAnsi="宋体" w:cs="宋体"/>
                <w:kern w:val="0"/>
                <w:sz w:val="20"/>
              </w:rPr>
              <w:t>用于监测站内所有在线分析仪器和校准设备的工作控制、数据采集、零气和标准气的供给时序、数据通讯等任务的执行。控制功能满足空气质量自动监测系统的数据采集、控制、通讯等。</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28</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子站工控机</w:t>
            </w:r>
          </w:p>
        </w:tc>
        <w:tc>
          <w:tcPr>
            <w:tcW w:w="4011" w:type="dxa"/>
            <w:noWrap/>
            <w:vAlign w:val="center"/>
          </w:tcPr>
          <w:p>
            <w:pPr>
              <w:jc w:val="left"/>
              <w:rPr>
                <w:rFonts w:ascii="宋体" w:hAnsi="宋体" w:cs="宋体"/>
                <w:kern w:val="0"/>
                <w:sz w:val="20"/>
              </w:rPr>
            </w:pPr>
            <w:r>
              <w:rPr>
                <w:rFonts w:hint="eastAsia" w:ascii="宋体" w:hAnsi="宋体" w:cs="宋体"/>
                <w:kern w:val="0"/>
                <w:sz w:val="20"/>
              </w:rPr>
              <w:t>CPU主频</w:t>
            </w:r>
            <w:r>
              <w:rPr>
                <w:rFonts w:hint="eastAsia" w:ascii="宋体" w:hAnsi="宋体" w:cs="宋体"/>
                <w:kern w:val="0"/>
                <w:sz w:val="20"/>
                <w:lang w:val="en-US" w:eastAsia="zh-CN"/>
              </w:rPr>
              <w:t>不低于</w:t>
            </w:r>
            <w:r>
              <w:rPr>
                <w:rFonts w:hint="eastAsia" w:ascii="宋体" w:hAnsi="宋体" w:cs="宋体"/>
                <w:kern w:val="0"/>
                <w:sz w:val="20"/>
              </w:rPr>
              <w:t>3.1GHz，内存</w:t>
            </w:r>
            <w:r>
              <w:rPr>
                <w:rFonts w:hint="eastAsia" w:ascii="宋体" w:hAnsi="宋体" w:cs="宋体"/>
                <w:kern w:val="0"/>
                <w:sz w:val="20"/>
                <w:lang w:val="en-US" w:eastAsia="zh-CN"/>
              </w:rPr>
              <w:t>不低于</w:t>
            </w:r>
            <w:r>
              <w:rPr>
                <w:rFonts w:hint="eastAsia" w:ascii="宋体" w:hAnsi="宋体" w:cs="宋体"/>
                <w:kern w:val="0"/>
                <w:sz w:val="20"/>
              </w:rPr>
              <w:t>2G，硬盘容量</w:t>
            </w:r>
            <w:r>
              <w:rPr>
                <w:rFonts w:hint="eastAsia" w:ascii="宋体" w:hAnsi="宋体" w:cs="宋体"/>
                <w:kern w:val="0"/>
                <w:sz w:val="20"/>
                <w:lang w:val="en-US" w:eastAsia="zh-CN"/>
              </w:rPr>
              <w:t>不低于</w:t>
            </w:r>
            <w:r>
              <w:rPr>
                <w:rFonts w:hint="eastAsia" w:ascii="宋体" w:hAnsi="宋体" w:cs="宋体"/>
                <w:kern w:val="0"/>
                <w:sz w:val="20"/>
              </w:rPr>
              <w:t>500G；</w:t>
            </w:r>
          </w:p>
          <w:p>
            <w:pPr>
              <w:jc w:val="left"/>
              <w:rPr>
                <w:rFonts w:ascii="宋体" w:hAnsi="宋体" w:cs="宋体"/>
                <w:kern w:val="0"/>
                <w:sz w:val="20"/>
              </w:rPr>
            </w:pPr>
            <w:r>
              <w:rPr>
                <w:rFonts w:hint="eastAsia" w:ascii="宋体" w:hAnsi="宋体" w:cs="宋体"/>
                <w:kern w:val="0"/>
                <w:sz w:val="20"/>
              </w:rPr>
              <w:t>串口情况：类型为RS232、数量</w:t>
            </w:r>
            <w:r>
              <w:rPr>
                <w:rFonts w:hint="eastAsia" w:ascii="宋体" w:hAnsi="宋体" w:cs="宋体"/>
                <w:kern w:val="0"/>
                <w:sz w:val="20"/>
                <w:lang w:val="en-US" w:eastAsia="zh-CN"/>
              </w:rPr>
              <w:t>不少于</w:t>
            </w:r>
            <w:r>
              <w:rPr>
                <w:rFonts w:hint="eastAsia" w:ascii="宋体" w:hAnsi="宋体" w:cs="宋体"/>
                <w:kern w:val="0"/>
                <w:sz w:val="20"/>
              </w:rPr>
              <w:t>6个；</w:t>
            </w:r>
          </w:p>
          <w:p>
            <w:pPr>
              <w:jc w:val="left"/>
              <w:rPr>
                <w:rFonts w:ascii="宋体" w:hAnsi="宋体" w:cs="宋体"/>
                <w:kern w:val="0"/>
                <w:sz w:val="20"/>
              </w:rPr>
            </w:pPr>
            <w:r>
              <w:rPr>
                <w:rFonts w:hint="eastAsia" w:ascii="宋体" w:hAnsi="宋体" w:cs="宋体"/>
                <w:kern w:val="0"/>
                <w:sz w:val="20"/>
              </w:rPr>
              <w:t>配备键盘、鼠标、</w:t>
            </w:r>
            <w:r>
              <w:rPr>
                <w:rFonts w:hint="eastAsia" w:ascii="宋体" w:hAnsi="宋体" w:cs="宋体"/>
                <w:kern w:val="0"/>
                <w:sz w:val="20"/>
                <w:lang w:val="en-US" w:eastAsia="zh-CN"/>
              </w:rPr>
              <w:t>不小于</w:t>
            </w:r>
            <w:r>
              <w:rPr>
                <w:rFonts w:hint="eastAsia" w:ascii="宋体" w:hAnsi="宋体" w:cs="宋体"/>
                <w:kern w:val="0"/>
                <w:sz w:val="20"/>
              </w:rPr>
              <w:t>17寸显示器。</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29</w:t>
            </w:r>
          </w:p>
        </w:tc>
        <w:tc>
          <w:tcPr>
            <w:tcW w:w="1482" w:type="dxa"/>
            <w:vAlign w:val="center"/>
          </w:tcPr>
          <w:p>
            <w:pPr>
              <w:jc w:val="left"/>
              <w:rPr>
                <w:rFonts w:ascii="宋体" w:hAnsi="宋体" w:cs="宋体"/>
                <w:kern w:val="0"/>
                <w:sz w:val="20"/>
              </w:rPr>
            </w:pPr>
            <w:r>
              <w:rPr>
                <w:rFonts w:hint="eastAsia" w:ascii="宋体" w:hAnsi="宋体" w:cs="宋体"/>
                <w:kern w:val="0"/>
                <w:sz w:val="20"/>
              </w:rPr>
              <w:t>生物多模态识别门禁</w:t>
            </w:r>
          </w:p>
        </w:tc>
        <w:tc>
          <w:tcPr>
            <w:tcW w:w="2176" w:type="dxa"/>
            <w:vAlign w:val="center"/>
          </w:tcPr>
          <w:p>
            <w:pPr>
              <w:jc w:val="left"/>
              <w:rPr>
                <w:rFonts w:ascii="宋体" w:hAnsi="宋体" w:cs="宋体"/>
                <w:kern w:val="0"/>
                <w:sz w:val="20"/>
              </w:rPr>
            </w:pPr>
            <w:r>
              <w:rPr>
                <w:rFonts w:hint="eastAsia" w:ascii="宋体" w:hAnsi="宋体" w:cs="宋体"/>
                <w:kern w:val="0"/>
                <w:sz w:val="20"/>
              </w:rPr>
              <w:t>人脸+虹膜识别门禁设备超级站里</w:t>
            </w:r>
          </w:p>
        </w:tc>
        <w:tc>
          <w:tcPr>
            <w:tcW w:w="4011" w:type="dxa"/>
            <w:noWrap/>
            <w:vAlign w:val="bottom"/>
          </w:tcPr>
          <w:p>
            <w:pPr>
              <w:jc w:val="left"/>
              <w:rPr>
                <w:rFonts w:ascii="宋体" w:hAnsi="宋体" w:cs="宋体"/>
                <w:kern w:val="0"/>
                <w:sz w:val="20"/>
              </w:rPr>
            </w:pPr>
            <w:r>
              <w:rPr>
                <w:rFonts w:hint="eastAsia" w:ascii="宋体" w:hAnsi="宋体" w:cs="宋体"/>
                <w:kern w:val="0"/>
                <w:sz w:val="20"/>
              </w:rPr>
              <w:t>人脸产品技术参数：</w:t>
            </w:r>
          </w:p>
          <w:p>
            <w:pPr>
              <w:jc w:val="left"/>
              <w:rPr>
                <w:rFonts w:ascii="宋体" w:hAnsi="宋体" w:cs="宋体"/>
                <w:kern w:val="0"/>
                <w:sz w:val="20"/>
              </w:rPr>
            </w:pPr>
            <w:r>
              <w:rPr>
                <w:rFonts w:hint="eastAsia" w:ascii="宋体" w:hAnsi="宋体" w:cs="宋体"/>
                <w:kern w:val="0"/>
                <w:sz w:val="20"/>
              </w:rPr>
              <w:t>产品类型：双模摄像头：近红外和可见光；传感器</w:t>
            </w:r>
            <w:r>
              <w:rPr>
                <w:rFonts w:hint="eastAsia" w:ascii="宋体" w:hAnsi="宋体" w:cs="宋体"/>
                <w:kern w:val="0"/>
                <w:sz w:val="20"/>
              </w:rPr>
              <w:tab/>
            </w:r>
            <w:r>
              <w:rPr>
                <w:rFonts w:hint="eastAsia" w:ascii="宋体" w:hAnsi="宋体" w:cs="宋体"/>
                <w:kern w:val="0"/>
                <w:sz w:val="20"/>
              </w:rPr>
              <w:t>CMOS；</w:t>
            </w:r>
          </w:p>
          <w:p>
            <w:pPr>
              <w:jc w:val="left"/>
              <w:rPr>
                <w:rFonts w:ascii="宋体" w:hAnsi="宋体" w:cs="宋体"/>
                <w:kern w:val="0"/>
                <w:sz w:val="20"/>
              </w:rPr>
            </w:pPr>
            <w:r>
              <w:rPr>
                <w:rFonts w:hint="eastAsia" w:ascii="宋体" w:hAnsi="宋体" w:cs="宋体"/>
                <w:kern w:val="0"/>
                <w:sz w:val="20"/>
              </w:rPr>
              <w:t>像素</w:t>
            </w:r>
            <w:r>
              <w:rPr>
                <w:rFonts w:hint="eastAsia" w:ascii="宋体" w:hAnsi="宋体" w:cs="宋体"/>
                <w:kern w:val="0"/>
                <w:sz w:val="20"/>
              </w:rPr>
              <w:tab/>
            </w:r>
            <w:r>
              <w:rPr>
                <w:rFonts w:hint="eastAsia" w:ascii="宋体" w:hAnsi="宋体" w:cs="宋体"/>
                <w:kern w:val="0"/>
                <w:sz w:val="20"/>
              </w:rPr>
              <w:t>彩色：</w:t>
            </w:r>
            <w:r>
              <w:rPr>
                <w:rFonts w:hint="eastAsia" w:ascii="宋体" w:hAnsi="宋体" w:cs="宋体"/>
                <w:kern w:val="0"/>
                <w:sz w:val="20"/>
                <w:lang w:val="en-US" w:eastAsia="zh-CN"/>
              </w:rPr>
              <w:t>不低于</w:t>
            </w:r>
            <w:r>
              <w:rPr>
                <w:rFonts w:hint="eastAsia" w:ascii="宋体" w:hAnsi="宋体" w:cs="宋体"/>
                <w:kern w:val="0"/>
                <w:sz w:val="20"/>
              </w:rPr>
              <w:t>300万像素、红外：</w:t>
            </w:r>
            <w:r>
              <w:rPr>
                <w:rFonts w:hint="eastAsia" w:ascii="宋体" w:hAnsi="宋体" w:cs="宋体"/>
                <w:kern w:val="0"/>
                <w:sz w:val="20"/>
                <w:lang w:val="en-US" w:eastAsia="zh-CN"/>
              </w:rPr>
              <w:t>不低于</w:t>
            </w:r>
            <w:r>
              <w:rPr>
                <w:rFonts w:hint="eastAsia" w:ascii="宋体" w:hAnsi="宋体" w:cs="宋体"/>
                <w:kern w:val="0"/>
                <w:sz w:val="20"/>
              </w:rPr>
              <w:t>200万像素；</w:t>
            </w:r>
          </w:p>
          <w:p>
            <w:pPr>
              <w:jc w:val="left"/>
              <w:rPr>
                <w:rFonts w:ascii="宋体" w:hAnsi="宋体" w:cs="宋体"/>
                <w:kern w:val="0"/>
                <w:sz w:val="20"/>
              </w:rPr>
            </w:pPr>
            <w:r>
              <w:rPr>
                <w:rFonts w:hint="eastAsia" w:ascii="宋体" w:hAnsi="宋体" w:cs="宋体"/>
                <w:kern w:val="0"/>
                <w:sz w:val="20"/>
              </w:rPr>
              <w:t>虹膜产品技术参数：</w:t>
            </w:r>
          </w:p>
          <w:p>
            <w:pPr>
              <w:jc w:val="left"/>
              <w:rPr>
                <w:rFonts w:ascii="宋体" w:hAnsi="宋体" w:cs="宋体"/>
                <w:kern w:val="0"/>
                <w:sz w:val="20"/>
              </w:rPr>
            </w:pPr>
            <w:r>
              <w:rPr>
                <w:rFonts w:hint="eastAsia" w:ascii="宋体" w:hAnsi="宋体" w:cs="宋体"/>
                <w:kern w:val="0"/>
                <w:sz w:val="20"/>
              </w:rPr>
              <w:t>摄像头类型：单模近红外镜头；</w:t>
            </w:r>
          </w:p>
          <w:p>
            <w:pPr>
              <w:jc w:val="left"/>
              <w:rPr>
                <w:rFonts w:ascii="宋体" w:hAnsi="宋体" w:cs="宋体"/>
                <w:kern w:val="0"/>
                <w:sz w:val="20"/>
              </w:rPr>
            </w:pPr>
            <w:r>
              <w:rPr>
                <w:rFonts w:hint="eastAsia" w:ascii="宋体" w:hAnsi="宋体" w:cs="宋体"/>
                <w:kern w:val="0"/>
                <w:sz w:val="20"/>
              </w:rPr>
              <w:t>像素：</w:t>
            </w:r>
            <w:r>
              <w:rPr>
                <w:rFonts w:hint="eastAsia" w:ascii="宋体" w:hAnsi="宋体" w:cs="宋体"/>
                <w:kern w:val="0"/>
                <w:sz w:val="20"/>
                <w:lang w:val="en-US" w:eastAsia="zh-CN"/>
              </w:rPr>
              <w:t>不低于</w:t>
            </w:r>
            <w:r>
              <w:rPr>
                <w:rFonts w:hint="eastAsia" w:ascii="宋体" w:hAnsi="宋体" w:cs="宋体"/>
                <w:kern w:val="0"/>
                <w:sz w:val="20"/>
              </w:rPr>
              <w:t>200万像素；</w:t>
            </w:r>
          </w:p>
          <w:p>
            <w:pPr>
              <w:jc w:val="left"/>
              <w:rPr>
                <w:rFonts w:ascii="宋体" w:hAnsi="宋体" w:cs="宋体"/>
                <w:kern w:val="0"/>
                <w:sz w:val="20"/>
              </w:rPr>
            </w:pPr>
            <w:r>
              <w:rPr>
                <w:rFonts w:hint="eastAsia" w:ascii="宋体" w:hAnsi="宋体" w:cs="宋体"/>
                <w:kern w:val="0"/>
                <w:sz w:val="20"/>
              </w:rPr>
              <w:t>分辨率：</w:t>
            </w:r>
            <w:r>
              <w:rPr>
                <w:rFonts w:hint="eastAsia" w:ascii="宋体" w:hAnsi="宋体" w:cs="宋体"/>
                <w:kern w:val="0"/>
                <w:sz w:val="20"/>
                <w:lang w:val="en-US" w:eastAsia="zh-CN"/>
              </w:rPr>
              <w:t>不小于</w:t>
            </w:r>
            <w:r>
              <w:rPr>
                <w:rFonts w:hint="eastAsia" w:ascii="宋体" w:hAnsi="宋体" w:cs="宋体"/>
                <w:kern w:val="0"/>
                <w:sz w:val="20"/>
              </w:rPr>
              <w:t>1920*1080；</w:t>
            </w:r>
          </w:p>
          <w:p>
            <w:pPr>
              <w:jc w:val="left"/>
              <w:rPr>
                <w:rFonts w:ascii="宋体" w:hAnsi="宋体" w:cs="宋体"/>
                <w:kern w:val="0"/>
                <w:sz w:val="20"/>
                <w:szCs w:val="22"/>
              </w:rPr>
            </w:pPr>
            <w:r>
              <w:rPr>
                <w:rFonts w:hint="eastAsia" w:ascii="宋体" w:hAnsi="宋体" w:cs="宋体"/>
                <w:kern w:val="0"/>
                <w:sz w:val="20"/>
              </w:rPr>
              <w:t>最大帧率</w:t>
            </w:r>
            <w:r>
              <w:rPr>
                <w:rFonts w:hint="eastAsia" w:ascii="宋体" w:hAnsi="宋体" w:cs="宋体"/>
                <w:kern w:val="0"/>
                <w:sz w:val="20"/>
              </w:rPr>
              <w:tab/>
            </w:r>
            <w:r>
              <w:rPr>
                <w:rFonts w:hint="eastAsia" w:ascii="宋体" w:hAnsi="宋体" w:cs="宋体"/>
                <w:kern w:val="0"/>
                <w:sz w:val="20"/>
                <w:lang w:eastAsia="zh-CN"/>
              </w:rPr>
              <w:t>：</w:t>
            </w:r>
            <w:r>
              <w:rPr>
                <w:rFonts w:hint="eastAsia" w:ascii="宋体" w:hAnsi="宋体" w:cs="宋体"/>
                <w:kern w:val="0"/>
                <w:sz w:val="20"/>
                <w:lang w:val="en-US" w:eastAsia="zh-CN"/>
              </w:rPr>
              <w:t>不低于</w:t>
            </w:r>
            <w:r>
              <w:rPr>
                <w:rFonts w:hint="eastAsia" w:ascii="宋体" w:hAnsi="宋体" w:cs="宋体"/>
                <w:kern w:val="0"/>
                <w:sz w:val="20"/>
              </w:rPr>
              <w:t>1920*1080@30fps。</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bottom"/>
          </w:tcPr>
          <w:p>
            <w:pPr>
              <w:jc w:val="center"/>
              <w:rPr>
                <w:rFonts w:ascii="宋体" w:hAnsi="宋体" w:cs="宋体"/>
                <w:kern w:val="0"/>
                <w:sz w:val="20"/>
              </w:rPr>
            </w:pPr>
            <w:r>
              <w:rPr>
                <w:rFonts w:hint="eastAsia" w:ascii="宋体" w:hAnsi="宋体" w:cs="宋体"/>
                <w:kern w:val="0"/>
                <w:sz w:val="20"/>
              </w:rPr>
              <w:t>30</w:t>
            </w:r>
          </w:p>
        </w:tc>
        <w:tc>
          <w:tcPr>
            <w:tcW w:w="3658" w:type="dxa"/>
            <w:gridSpan w:val="2"/>
            <w:noWrap/>
            <w:vAlign w:val="center"/>
          </w:tcPr>
          <w:p>
            <w:pPr>
              <w:jc w:val="left"/>
              <w:rPr>
                <w:rFonts w:ascii="宋体" w:hAnsi="宋体" w:cs="宋体"/>
                <w:kern w:val="0"/>
                <w:sz w:val="20"/>
              </w:rPr>
            </w:pPr>
            <w:r>
              <w:rPr>
                <w:rFonts w:hint="eastAsia" w:ascii="宋体" w:hAnsi="宋体" w:cs="宋体"/>
                <w:kern w:val="0"/>
                <w:sz w:val="20"/>
              </w:rPr>
              <w:t>彩钢板站房（含空调、灭火器等站房配套设施）</w:t>
            </w:r>
          </w:p>
        </w:tc>
        <w:tc>
          <w:tcPr>
            <w:tcW w:w="4011" w:type="dxa"/>
            <w:noWrap/>
            <w:vAlign w:val="bottom"/>
          </w:tcPr>
          <w:p>
            <w:pPr>
              <w:jc w:val="left"/>
              <w:rPr>
                <w:rFonts w:ascii="宋体" w:hAnsi="宋体" w:cs="宋体"/>
                <w:kern w:val="0"/>
                <w:sz w:val="20"/>
                <w:szCs w:val="22"/>
              </w:rPr>
            </w:pPr>
            <w:r>
              <w:rPr>
                <w:rFonts w:hint="eastAsia" w:ascii="宋体" w:hAnsi="宋体" w:cs="宋体"/>
                <w:kern w:val="0"/>
                <w:sz w:val="20"/>
                <w:szCs w:val="22"/>
              </w:rPr>
              <w:t>1、彩钢板站房；</w:t>
            </w:r>
          </w:p>
          <w:p>
            <w:pPr>
              <w:jc w:val="left"/>
              <w:rPr>
                <w:rFonts w:ascii="宋体" w:hAnsi="宋体" w:cs="宋体"/>
                <w:kern w:val="0"/>
                <w:sz w:val="20"/>
                <w:szCs w:val="22"/>
              </w:rPr>
            </w:pPr>
            <w:r>
              <w:rPr>
                <w:rFonts w:hint="eastAsia" w:ascii="宋体" w:hAnsi="宋体" w:cs="宋体"/>
                <w:kern w:val="0"/>
                <w:sz w:val="20"/>
                <w:szCs w:val="22"/>
              </w:rPr>
              <w:t>2、含空调、灭火器等配套设施；</w:t>
            </w:r>
          </w:p>
          <w:p>
            <w:pPr>
              <w:jc w:val="left"/>
              <w:rPr>
                <w:rFonts w:ascii="宋体" w:hAnsi="宋体" w:cs="宋体"/>
                <w:kern w:val="0"/>
                <w:sz w:val="20"/>
                <w:szCs w:val="22"/>
              </w:rPr>
            </w:pPr>
            <w:r>
              <w:rPr>
                <w:rFonts w:hint="eastAsia" w:ascii="宋体" w:hAnsi="宋体" w:cs="宋体"/>
                <w:kern w:val="0"/>
                <w:sz w:val="20"/>
                <w:szCs w:val="22"/>
              </w:rPr>
              <w:t>3、使用面积不小于15㎡，高度不低于2.5</w:t>
            </w:r>
            <w:r>
              <w:rPr>
                <w:rFonts w:hint="eastAsia" w:ascii="宋体" w:hAnsi="宋体" w:cs="宋体"/>
                <w:kern w:val="0"/>
                <w:sz w:val="20"/>
                <w:szCs w:val="22"/>
                <w:lang w:val="en-US" w:eastAsia="zh-CN"/>
              </w:rPr>
              <w:t>m</w:t>
            </w:r>
            <w:r>
              <w:rPr>
                <w:rFonts w:hint="eastAsia" w:ascii="宋体" w:hAnsi="宋体" w:cs="宋体"/>
                <w:kern w:val="0"/>
                <w:sz w:val="20"/>
                <w:szCs w:val="22"/>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bl>
    <w:p>
      <w:pPr>
        <w:numPr>
          <w:ilvl w:val="0"/>
          <w:numId w:val="2"/>
        </w:numPr>
        <w:ind w:left="0" w:leftChars="0" w:firstLine="0" w:firstLineChars="0"/>
        <w:rPr>
          <w:rFonts w:hint="eastAsia"/>
          <w:sz w:val="32"/>
          <w:szCs w:val="32"/>
          <w:lang w:eastAsia="zh-CN"/>
        </w:rPr>
      </w:pPr>
      <w:r>
        <w:rPr>
          <w:rFonts w:hint="eastAsia"/>
          <w:sz w:val="32"/>
          <w:szCs w:val="32"/>
          <w:lang w:eastAsia="zh-CN"/>
        </w:rPr>
        <w:t>原文件</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482"/>
        <w:gridCol w:w="2176"/>
        <w:gridCol w:w="4011"/>
        <w:gridCol w:w="595"/>
        <w:gridCol w:w="606"/>
        <w:gridCol w:w="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5"/>
            <w:noWrap/>
            <w:vAlign w:val="center"/>
          </w:tcPr>
          <w:p>
            <w:pPr>
              <w:jc w:val="left"/>
              <w:rPr>
                <w:rFonts w:ascii="宋体" w:hAnsi="宋体" w:cs="宋体"/>
                <w:b/>
                <w:bCs/>
                <w:kern w:val="0"/>
                <w:sz w:val="20"/>
              </w:rPr>
            </w:pPr>
            <w:r>
              <w:rPr>
                <w:rFonts w:hint="eastAsia" w:ascii="宋体" w:hAnsi="宋体" w:cs="宋体"/>
                <w:b/>
                <w:bCs/>
                <w:kern w:val="0"/>
                <w:sz w:val="20"/>
              </w:rPr>
              <w:t>六、监控指挥中心建设</w:t>
            </w:r>
          </w:p>
        </w:tc>
        <w:tc>
          <w:tcPr>
            <w:tcW w:w="606" w:type="dxa"/>
          </w:tcPr>
          <w:p>
            <w:pPr>
              <w:jc w:val="left"/>
              <w:rPr>
                <w:rFonts w:ascii="宋体" w:hAnsi="宋体" w:cs="宋体"/>
                <w:b/>
                <w:bCs/>
                <w:kern w:val="0"/>
                <w:sz w:val="20"/>
              </w:rPr>
            </w:pPr>
          </w:p>
        </w:tc>
        <w:tc>
          <w:tcPr>
            <w:tcW w:w="308" w:type="dxa"/>
          </w:tcPr>
          <w:p>
            <w:pPr>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w:t>
            </w:r>
          </w:p>
        </w:tc>
        <w:tc>
          <w:tcPr>
            <w:tcW w:w="1482" w:type="dxa"/>
            <w:vMerge w:val="restart"/>
            <w:noWrap/>
            <w:vAlign w:val="center"/>
          </w:tcPr>
          <w:p>
            <w:pPr>
              <w:jc w:val="left"/>
              <w:rPr>
                <w:rFonts w:ascii="宋体" w:hAnsi="宋体" w:cs="宋体"/>
                <w:kern w:val="0"/>
                <w:sz w:val="20"/>
              </w:rPr>
            </w:pPr>
            <w:r>
              <w:rPr>
                <w:rFonts w:hint="eastAsia" w:ascii="宋体" w:hAnsi="宋体" w:cs="宋体"/>
                <w:kern w:val="0"/>
                <w:sz w:val="20"/>
              </w:rPr>
              <w:t>大屏显示系统</w:t>
            </w:r>
          </w:p>
        </w:tc>
        <w:tc>
          <w:tcPr>
            <w:tcW w:w="2176" w:type="dxa"/>
            <w:noWrap/>
            <w:vAlign w:val="center"/>
          </w:tcPr>
          <w:p>
            <w:pPr>
              <w:pStyle w:val="10"/>
              <w:rPr>
                <w:rFonts w:ascii="宋体" w:hAnsi="宋体"/>
                <w:sz w:val="20"/>
              </w:rPr>
            </w:pPr>
            <w:r>
              <w:rPr>
                <w:rFonts w:hint="eastAsia" w:ascii="宋体" w:hAnsi="宋体"/>
              </w:rPr>
              <w:t>LED大屏</w:t>
            </w:r>
          </w:p>
        </w:tc>
        <w:tc>
          <w:tcPr>
            <w:tcW w:w="4011" w:type="dxa"/>
            <w:noWrap/>
            <w:vAlign w:val="bottom"/>
          </w:tcPr>
          <w:p>
            <w:pPr>
              <w:rPr>
                <w:rFonts w:hint="default" w:ascii="宋体" w:hAnsi="宋体" w:eastAsia="宋体" w:cs="宋体"/>
                <w:kern w:val="0"/>
                <w:sz w:val="20"/>
                <w:lang w:val="en-US" w:eastAsia="zh-CN"/>
              </w:rPr>
            </w:pPr>
            <w:r>
              <w:rPr>
                <w:rFonts w:hint="eastAsia" w:ascii="宋体" w:hAnsi="宋体" w:cs="宋体"/>
                <w:kern w:val="0"/>
                <w:sz w:val="20"/>
                <w:lang w:val="en-US" w:eastAsia="zh-CN"/>
              </w:rPr>
              <w:t>LED像素间距：不大于</w:t>
            </w:r>
            <w:r>
              <w:rPr>
                <w:rFonts w:hint="eastAsia" w:ascii="宋体" w:hAnsi="宋体" w:cs="宋体"/>
                <w:kern w:val="0"/>
                <w:sz w:val="20"/>
              </w:rPr>
              <w:t>1.575</w:t>
            </w:r>
            <w:r>
              <w:rPr>
                <w:rFonts w:hint="eastAsia" w:ascii="宋体" w:hAnsi="宋体" w:cs="宋体"/>
                <w:kern w:val="0"/>
                <w:sz w:val="20"/>
                <w:lang w:val="en-US" w:eastAsia="zh-CN"/>
              </w:rPr>
              <w:t>mm</w:t>
            </w:r>
          </w:p>
          <w:p>
            <w:pPr>
              <w:rPr>
                <w:rFonts w:hint="eastAsia" w:ascii="宋体" w:hAnsi="宋体" w:cs="宋体"/>
                <w:kern w:val="0"/>
                <w:sz w:val="20"/>
              </w:rPr>
            </w:pPr>
            <w:r>
              <w:rPr>
                <w:rFonts w:hint="eastAsia" w:ascii="宋体" w:hAnsi="宋体" w:cs="宋体"/>
                <w:kern w:val="0"/>
                <w:sz w:val="20"/>
              </w:rPr>
              <w:t>模组尺寸：</w:t>
            </w:r>
            <w:r>
              <w:rPr>
                <w:rFonts w:hint="eastAsia" w:ascii="宋体" w:hAnsi="宋体" w:cs="宋体"/>
                <w:kern w:val="0"/>
                <w:sz w:val="20"/>
                <w:lang w:val="en-US" w:eastAsia="zh-CN"/>
              </w:rPr>
              <w:t>不低于</w:t>
            </w:r>
            <w:r>
              <w:rPr>
                <w:rFonts w:hint="eastAsia" w:ascii="宋体" w:hAnsi="宋体" w:cs="宋体"/>
                <w:kern w:val="0"/>
                <w:sz w:val="20"/>
              </w:rPr>
              <w:t>302.4</w:t>
            </w:r>
            <w:r>
              <w:rPr>
                <w:rFonts w:hint="eastAsia" w:ascii="宋体" w:hAnsi="宋体" w:cs="宋体"/>
                <w:kern w:val="0"/>
                <w:sz w:val="20"/>
                <w:lang w:val="en-US" w:eastAsia="zh-CN"/>
              </w:rPr>
              <w:t>*</w:t>
            </w:r>
            <w:r>
              <w:rPr>
                <w:rFonts w:hint="eastAsia" w:ascii="宋体" w:hAnsi="宋体" w:cs="宋体"/>
                <w:kern w:val="0"/>
                <w:sz w:val="20"/>
              </w:rPr>
              <w:t>170.1(mm)</w:t>
            </w:r>
          </w:p>
          <w:p>
            <w:pPr>
              <w:rPr>
                <w:rFonts w:hint="eastAsia" w:ascii="宋体" w:hAnsi="宋体" w:eastAsia="宋体" w:cs="宋体"/>
                <w:kern w:val="0"/>
                <w:sz w:val="20"/>
                <w:lang w:val="en-US" w:eastAsia="zh-CN"/>
              </w:rPr>
            </w:pPr>
            <w:r>
              <w:rPr>
                <w:rFonts w:hint="eastAsia" w:ascii="宋体" w:hAnsi="宋体" w:cs="宋体"/>
                <w:kern w:val="0"/>
                <w:sz w:val="20"/>
              </w:rPr>
              <w:t>模组分辨率：</w:t>
            </w:r>
            <w:r>
              <w:rPr>
                <w:rFonts w:hint="eastAsia" w:ascii="宋体" w:hAnsi="宋体" w:cs="宋体"/>
                <w:kern w:val="0"/>
                <w:sz w:val="20"/>
                <w:lang w:val="en-US" w:eastAsia="zh-CN"/>
              </w:rPr>
              <w:t>不低于</w:t>
            </w:r>
            <w:r>
              <w:rPr>
                <w:rFonts w:hint="eastAsia" w:ascii="宋体" w:hAnsi="宋体" w:cs="宋体"/>
                <w:kern w:val="0"/>
                <w:sz w:val="20"/>
              </w:rPr>
              <w:t>192</w:t>
            </w:r>
            <w:r>
              <w:rPr>
                <w:rFonts w:hint="eastAsia" w:ascii="宋体" w:hAnsi="宋体" w:cs="宋体"/>
                <w:kern w:val="0"/>
                <w:sz w:val="20"/>
                <w:lang w:val="en-US" w:eastAsia="zh-CN"/>
              </w:rPr>
              <w:t>0*</w:t>
            </w:r>
            <w:r>
              <w:rPr>
                <w:rFonts w:hint="eastAsia" w:ascii="宋体" w:hAnsi="宋体" w:cs="宋体"/>
                <w:kern w:val="0"/>
                <w:sz w:val="20"/>
              </w:rPr>
              <w:t>108</w:t>
            </w:r>
            <w:r>
              <w:rPr>
                <w:rFonts w:hint="eastAsia" w:ascii="宋体" w:hAnsi="宋体" w:cs="宋体"/>
                <w:kern w:val="0"/>
                <w:sz w:val="20"/>
                <w:lang w:val="en-US" w:eastAsia="zh-CN"/>
              </w:rPr>
              <w:t>0</w:t>
            </w:r>
          </w:p>
          <w:p>
            <w:pPr>
              <w:rPr>
                <w:rFonts w:hint="eastAsia" w:ascii="宋体" w:hAnsi="宋体" w:cs="宋体"/>
                <w:kern w:val="0"/>
                <w:sz w:val="20"/>
              </w:rPr>
            </w:pPr>
            <w:r>
              <w:rPr>
                <w:rFonts w:hint="eastAsia" w:ascii="宋体" w:hAnsi="宋体" w:cs="宋体"/>
                <w:kern w:val="0"/>
                <w:sz w:val="20"/>
              </w:rPr>
              <w:t>箱体尺寸：</w:t>
            </w:r>
            <w:r>
              <w:rPr>
                <w:rFonts w:hint="eastAsia" w:ascii="宋体" w:hAnsi="宋体" w:cs="宋体"/>
                <w:kern w:val="0"/>
                <w:sz w:val="20"/>
                <w:lang w:val="en-US" w:eastAsia="zh-CN"/>
              </w:rPr>
              <w:t>不大于</w:t>
            </w:r>
            <w:r>
              <w:rPr>
                <w:rFonts w:hint="eastAsia" w:ascii="宋体" w:hAnsi="宋体" w:cs="宋体"/>
                <w:kern w:val="0"/>
                <w:sz w:val="20"/>
              </w:rPr>
              <w:t>604.8</w:t>
            </w:r>
            <w:r>
              <w:rPr>
                <w:rFonts w:hint="eastAsia" w:ascii="宋体" w:hAnsi="宋体" w:cs="宋体"/>
                <w:kern w:val="0"/>
                <w:sz w:val="20"/>
                <w:lang w:val="en-US" w:eastAsia="zh-CN"/>
              </w:rPr>
              <w:t>*</w:t>
            </w:r>
            <w:r>
              <w:rPr>
                <w:rFonts w:hint="eastAsia" w:ascii="宋体" w:hAnsi="宋体" w:cs="宋体"/>
                <w:kern w:val="0"/>
                <w:sz w:val="20"/>
              </w:rPr>
              <w:t>340.2(mm)</w:t>
            </w:r>
          </w:p>
          <w:p>
            <w:pPr>
              <w:rPr>
                <w:rFonts w:hint="eastAsia" w:ascii="宋体" w:hAnsi="宋体" w:cs="宋体"/>
                <w:kern w:val="0"/>
                <w:sz w:val="20"/>
              </w:rPr>
            </w:pPr>
            <w:r>
              <w:rPr>
                <w:rFonts w:hint="eastAsia" w:ascii="宋体" w:hAnsi="宋体" w:cs="宋体"/>
                <w:kern w:val="0"/>
                <w:sz w:val="20"/>
              </w:rPr>
              <w:t>箱体分辨率</w:t>
            </w:r>
            <w:r>
              <w:rPr>
                <w:rFonts w:hint="eastAsia" w:ascii="宋体" w:hAnsi="宋体" w:cs="宋体"/>
                <w:kern w:val="0"/>
                <w:sz w:val="20"/>
                <w:lang w:eastAsia="zh-CN"/>
              </w:rPr>
              <w:t>：</w:t>
            </w:r>
            <w:r>
              <w:rPr>
                <w:rFonts w:hint="eastAsia" w:ascii="宋体" w:hAnsi="宋体" w:cs="宋体"/>
                <w:kern w:val="0"/>
                <w:sz w:val="20"/>
                <w:lang w:val="en-US" w:eastAsia="zh-CN"/>
              </w:rPr>
              <w:t>不低于</w:t>
            </w:r>
            <w:r>
              <w:rPr>
                <w:rFonts w:hint="eastAsia" w:ascii="宋体" w:hAnsi="宋体" w:cs="宋体"/>
                <w:kern w:val="0"/>
                <w:sz w:val="20"/>
              </w:rPr>
              <w:t>384</w:t>
            </w:r>
            <w:r>
              <w:rPr>
                <w:rFonts w:hint="eastAsia" w:ascii="宋体" w:hAnsi="宋体" w:cs="宋体"/>
                <w:kern w:val="0"/>
                <w:sz w:val="20"/>
                <w:lang w:val="en-US" w:eastAsia="zh-CN"/>
              </w:rPr>
              <w:t>*</w:t>
            </w:r>
            <w:r>
              <w:rPr>
                <w:rFonts w:hint="eastAsia" w:ascii="宋体" w:hAnsi="宋体" w:cs="宋体"/>
                <w:kern w:val="0"/>
                <w:sz w:val="20"/>
              </w:rPr>
              <w:t>216</w:t>
            </w:r>
          </w:p>
          <w:p>
            <w:pPr>
              <w:rPr>
                <w:rFonts w:hint="eastAsia" w:ascii="宋体" w:hAnsi="宋体" w:cs="宋体"/>
                <w:kern w:val="0"/>
                <w:sz w:val="20"/>
              </w:rPr>
            </w:pPr>
            <w:r>
              <w:rPr>
                <w:rFonts w:hint="eastAsia" w:ascii="宋体" w:hAnsi="宋体" w:cs="宋体"/>
                <w:kern w:val="0"/>
                <w:sz w:val="20"/>
              </w:rPr>
              <w:t>显示尺寸</w:t>
            </w:r>
            <w:r>
              <w:rPr>
                <w:rFonts w:hint="eastAsia" w:ascii="宋体" w:hAnsi="宋体" w:cs="宋体"/>
                <w:kern w:val="0"/>
                <w:sz w:val="20"/>
                <w:lang w:eastAsia="zh-CN"/>
              </w:rPr>
              <w:t>：</w:t>
            </w:r>
            <w:r>
              <w:rPr>
                <w:rFonts w:hint="eastAsia" w:ascii="宋体" w:hAnsi="宋体" w:cs="宋体"/>
                <w:kern w:val="0"/>
                <w:sz w:val="20"/>
                <w:lang w:val="en-US" w:eastAsia="zh-CN"/>
              </w:rPr>
              <w:t>不低于</w:t>
            </w:r>
            <w:r>
              <w:rPr>
                <w:rFonts w:hint="eastAsia" w:ascii="宋体" w:hAnsi="宋体" w:cs="宋体"/>
                <w:kern w:val="0"/>
                <w:sz w:val="20"/>
              </w:rPr>
              <w:t>7.2576m</w:t>
            </w:r>
            <w:r>
              <w:rPr>
                <w:rFonts w:hint="eastAsia" w:ascii="宋体" w:hAnsi="宋体" w:cs="宋体"/>
                <w:kern w:val="0"/>
                <w:sz w:val="20"/>
                <w:lang w:val="en-US" w:eastAsia="zh-CN"/>
              </w:rPr>
              <w:t>*</w:t>
            </w:r>
            <w:r>
              <w:rPr>
                <w:rFonts w:hint="eastAsia" w:ascii="宋体" w:hAnsi="宋体" w:cs="宋体"/>
                <w:kern w:val="0"/>
                <w:sz w:val="20"/>
              </w:rPr>
              <w:t>4.0824m</w:t>
            </w:r>
          </w:p>
          <w:p>
            <w:pPr>
              <w:rPr>
                <w:rFonts w:hint="eastAsia" w:ascii="宋体" w:hAnsi="宋体" w:cs="宋体"/>
                <w:kern w:val="0"/>
                <w:sz w:val="20"/>
              </w:rPr>
            </w:pPr>
            <w:r>
              <w:rPr>
                <w:rFonts w:hint="eastAsia" w:ascii="宋体" w:hAnsi="宋体" w:cs="宋体"/>
                <w:kern w:val="0"/>
                <w:sz w:val="20"/>
              </w:rPr>
              <w:t>显示分辨率</w:t>
            </w:r>
            <w:r>
              <w:rPr>
                <w:rFonts w:hint="eastAsia" w:ascii="宋体" w:hAnsi="宋体" w:cs="宋体"/>
                <w:kern w:val="0"/>
                <w:sz w:val="20"/>
                <w:lang w:eastAsia="zh-CN"/>
              </w:rPr>
              <w:t>：</w:t>
            </w:r>
            <w:r>
              <w:rPr>
                <w:rFonts w:hint="eastAsia" w:ascii="宋体" w:hAnsi="宋体" w:cs="宋体"/>
                <w:kern w:val="0"/>
                <w:sz w:val="20"/>
                <w:lang w:val="en-US" w:eastAsia="zh-CN"/>
              </w:rPr>
              <w:t>不低于</w:t>
            </w:r>
            <w:r>
              <w:rPr>
                <w:rFonts w:hint="eastAsia" w:ascii="宋体" w:hAnsi="宋体" w:cs="宋体"/>
                <w:kern w:val="0"/>
                <w:sz w:val="20"/>
              </w:rPr>
              <w:t>4608 点*2592 点</w:t>
            </w:r>
          </w:p>
          <w:p>
            <w:pPr>
              <w:rPr>
                <w:rFonts w:hint="eastAsia" w:ascii="宋体" w:hAnsi="宋体" w:eastAsia="宋体" w:cs="宋体"/>
                <w:kern w:val="0"/>
                <w:sz w:val="20"/>
                <w:lang w:val="en-US" w:eastAsia="zh-CN"/>
              </w:rPr>
            </w:pPr>
            <w:r>
              <w:rPr>
                <w:rFonts w:hint="eastAsia" w:ascii="宋体" w:hAnsi="宋体" w:cs="宋体"/>
                <w:kern w:val="0"/>
                <w:sz w:val="20"/>
              </w:rPr>
              <w:t>含边框尺寸为7.3576m*4.1824m=30.7724 ㎡</w:t>
            </w:r>
          </w:p>
        </w:tc>
        <w:tc>
          <w:tcPr>
            <w:tcW w:w="595" w:type="dxa"/>
            <w:noWrap/>
            <w:vAlign w:val="center"/>
          </w:tcPr>
          <w:p>
            <w:pPr>
              <w:jc w:val="center"/>
              <w:rPr>
                <w:rFonts w:hint="default" w:ascii="宋体" w:hAnsi="宋体" w:eastAsia="宋体" w:cs="宋体"/>
                <w:kern w:val="0"/>
                <w:sz w:val="20"/>
                <w:lang w:val="en-US" w:eastAsia="zh-CN"/>
              </w:rPr>
            </w:pPr>
            <w:r>
              <w:rPr>
                <w:rFonts w:hint="eastAsia" w:ascii="宋体" w:hAnsi="宋体" w:cs="宋体"/>
                <w:kern w:val="0"/>
                <w:sz w:val="20"/>
                <w:lang w:val="en-US" w:eastAsia="zh-CN"/>
              </w:rPr>
              <w:t>m</w:t>
            </w:r>
            <w:r>
              <w:rPr>
                <w:rFonts w:hint="eastAsia" w:ascii="宋体" w:hAnsi="宋体" w:cs="宋体"/>
                <w:kern w:val="0"/>
                <w:sz w:val="20"/>
                <w:vertAlign w:val="superscript"/>
                <w:lang w:val="en-US" w:eastAsia="zh-CN"/>
              </w:rPr>
              <w:t>2</w:t>
            </w:r>
          </w:p>
        </w:tc>
        <w:tc>
          <w:tcPr>
            <w:tcW w:w="606" w:type="dxa"/>
            <w:vAlign w:val="center"/>
          </w:tcPr>
          <w:p>
            <w:pPr>
              <w:jc w:val="center"/>
              <w:rPr>
                <w:rFonts w:hint="default" w:ascii="宋体" w:hAnsi="宋体" w:eastAsia="宋体" w:cs="宋体"/>
                <w:kern w:val="0"/>
                <w:sz w:val="20"/>
                <w:lang w:val="en-US" w:eastAsia="zh-CN"/>
              </w:rPr>
            </w:pPr>
            <w:r>
              <w:rPr>
                <w:rFonts w:hint="eastAsia" w:ascii="宋体" w:hAnsi="宋体" w:cs="宋体"/>
                <w:kern w:val="0"/>
                <w:sz w:val="20"/>
                <w:lang w:val="en-US" w:eastAsia="zh-CN"/>
              </w:rPr>
              <w:t>29.628</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w:t>
            </w:r>
          </w:p>
        </w:tc>
        <w:tc>
          <w:tcPr>
            <w:tcW w:w="1482" w:type="dxa"/>
            <w:vMerge w:val="continue"/>
            <w:vAlign w:val="center"/>
          </w:tcPr>
          <w:p>
            <w:pPr>
              <w:jc w:val="left"/>
              <w:rPr>
                <w:rFonts w:ascii="宋体" w:hAnsi="宋体" w:cs="宋体"/>
                <w:kern w:val="0"/>
                <w:sz w:val="20"/>
              </w:rPr>
            </w:pPr>
          </w:p>
        </w:tc>
        <w:tc>
          <w:tcPr>
            <w:tcW w:w="2176" w:type="dxa"/>
            <w:noWrap/>
            <w:vAlign w:val="center"/>
          </w:tcPr>
          <w:p>
            <w:pPr>
              <w:pStyle w:val="10"/>
              <w:rPr>
                <w:rFonts w:ascii="宋体" w:hAnsi="宋体"/>
                <w:sz w:val="20"/>
              </w:rPr>
            </w:pPr>
            <w:r>
              <w:rPr>
                <w:rFonts w:hint="eastAsia" w:ascii="宋体" w:hAnsi="宋体"/>
              </w:rPr>
              <w:t>配套软件</w:t>
            </w:r>
          </w:p>
        </w:tc>
        <w:tc>
          <w:tcPr>
            <w:tcW w:w="4011" w:type="dxa"/>
            <w:noWrap/>
            <w:vAlign w:val="center"/>
          </w:tcPr>
          <w:p>
            <w:pPr>
              <w:rPr>
                <w:rFonts w:ascii="宋体" w:hAnsi="宋体" w:cs="宋体"/>
                <w:kern w:val="0"/>
                <w:sz w:val="20"/>
              </w:rPr>
            </w:pPr>
            <w:r>
              <w:rPr>
                <w:rFonts w:hint="eastAsia" w:ascii="宋体" w:hAnsi="宋体" w:cs="宋体"/>
                <w:kern w:val="0"/>
                <w:sz w:val="20"/>
              </w:rPr>
              <w:t>一套节目制作、播放的软件；使用方便,简单易学、性能稳定、可靠性高。</w:t>
            </w:r>
          </w:p>
        </w:tc>
        <w:tc>
          <w:tcPr>
            <w:tcW w:w="595" w:type="dxa"/>
            <w:noWrap/>
            <w:vAlign w:val="center"/>
          </w:tcPr>
          <w:p>
            <w:pPr>
              <w:pStyle w:val="10"/>
              <w:rPr>
                <w:rFonts w:ascii="宋体" w:hAnsi="宋体"/>
                <w:sz w:val="20"/>
              </w:rPr>
            </w:pPr>
            <w:r>
              <w:rPr>
                <w:rFonts w:hint="eastAsia" w:ascii="宋体" w:hAnsi="宋体"/>
              </w:rPr>
              <w:t>套</w:t>
            </w:r>
          </w:p>
        </w:tc>
        <w:tc>
          <w:tcPr>
            <w:tcW w:w="606" w:type="dxa"/>
            <w:vAlign w:val="center"/>
          </w:tcPr>
          <w:p>
            <w:pPr>
              <w:jc w:val="center"/>
              <w:rPr>
                <w:sz w:val="22"/>
              </w:rPr>
            </w:pPr>
            <w:r>
              <w:rPr>
                <w:rFonts w:hint="eastAsia"/>
                <w:sz w:val="22"/>
              </w:rPr>
              <w:t>1</w:t>
            </w:r>
          </w:p>
        </w:tc>
        <w:tc>
          <w:tcPr>
            <w:tcW w:w="308" w:type="dxa"/>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3</w:t>
            </w:r>
          </w:p>
        </w:tc>
        <w:tc>
          <w:tcPr>
            <w:tcW w:w="1482" w:type="dxa"/>
            <w:vMerge w:val="continue"/>
            <w:vAlign w:val="center"/>
          </w:tcPr>
          <w:p>
            <w:pPr>
              <w:jc w:val="left"/>
              <w:rPr>
                <w:rFonts w:ascii="宋体" w:hAnsi="宋体" w:cs="宋体"/>
                <w:kern w:val="0"/>
                <w:sz w:val="20"/>
              </w:rPr>
            </w:pPr>
          </w:p>
        </w:tc>
        <w:tc>
          <w:tcPr>
            <w:tcW w:w="2176" w:type="dxa"/>
            <w:noWrap/>
            <w:vAlign w:val="center"/>
          </w:tcPr>
          <w:p>
            <w:pPr>
              <w:pStyle w:val="10"/>
              <w:rPr>
                <w:rFonts w:ascii="宋体" w:hAnsi="宋体"/>
                <w:sz w:val="20"/>
              </w:rPr>
            </w:pPr>
            <w:r>
              <w:rPr>
                <w:rFonts w:hint="eastAsia" w:ascii="宋体" w:hAnsi="宋体"/>
              </w:rPr>
              <w:t>控制系统</w:t>
            </w:r>
          </w:p>
        </w:tc>
        <w:tc>
          <w:tcPr>
            <w:tcW w:w="4011" w:type="dxa"/>
            <w:noWrap/>
            <w:vAlign w:val="center"/>
          </w:tcPr>
          <w:p>
            <w:pPr>
              <w:rPr>
                <w:rFonts w:hint="eastAsia" w:ascii="宋体" w:hAnsi="宋体" w:cs="宋体"/>
                <w:kern w:val="0"/>
                <w:sz w:val="20"/>
              </w:rPr>
            </w:pPr>
            <w:r>
              <w:rPr>
                <w:rFonts w:hint="eastAsia" w:ascii="宋体" w:hAnsi="宋体" w:cs="宋体"/>
                <w:kern w:val="0"/>
                <w:sz w:val="20"/>
              </w:rPr>
              <w:t>标准 1u 机箱设计，独立供电；</w:t>
            </w:r>
          </w:p>
          <w:p>
            <w:pPr>
              <w:rPr>
                <w:rFonts w:hint="eastAsia" w:ascii="宋体" w:hAnsi="宋体" w:cs="宋体"/>
                <w:kern w:val="0"/>
                <w:sz w:val="20"/>
              </w:rPr>
            </w:pPr>
            <w:r>
              <w:rPr>
                <w:rFonts w:hint="eastAsia" w:ascii="宋体" w:hAnsi="宋体" w:cs="宋体"/>
                <w:kern w:val="0"/>
                <w:sz w:val="20"/>
              </w:rPr>
              <w:t>高位阶视频源带载能力：</w:t>
            </w:r>
            <w:r>
              <w:rPr>
                <w:rFonts w:hint="eastAsia" w:ascii="宋体" w:hAnsi="宋体" w:cs="宋体"/>
                <w:kern w:val="0"/>
                <w:sz w:val="20"/>
                <w:lang w:val="en-US" w:eastAsia="zh-CN"/>
              </w:rPr>
              <w:t>不低于</w:t>
            </w:r>
            <w:r>
              <w:rPr>
                <w:rFonts w:hint="eastAsia" w:ascii="宋体" w:hAnsi="宋体" w:cs="宋体"/>
                <w:kern w:val="0"/>
                <w:sz w:val="20"/>
              </w:rPr>
              <w:t>1440×900。支持视频格式：RGB，YCrCb4:2:2，YCrCb4:4:4。</w:t>
            </w:r>
          </w:p>
          <w:p>
            <w:pPr>
              <w:rPr>
                <w:rFonts w:ascii="宋体" w:hAnsi="宋体" w:cs="宋体"/>
                <w:kern w:val="0"/>
                <w:sz w:val="20"/>
              </w:rPr>
            </w:pPr>
            <w:r>
              <w:rPr>
                <w:rFonts w:hint="eastAsia" w:ascii="宋体" w:hAnsi="宋体" w:cs="宋体"/>
                <w:kern w:val="0"/>
                <w:sz w:val="20"/>
              </w:rPr>
              <w:t>支持高位阶视频输入，12bit/10bit/8bit 灰阶处理与显示。</w:t>
            </w:r>
          </w:p>
        </w:tc>
        <w:tc>
          <w:tcPr>
            <w:tcW w:w="595" w:type="dxa"/>
            <w:noWrap/>
            <w:vAlign w:val="center"/>
          </w:tcPr>
          <w:p>
            <w:pPr>
              <w:pStyle w:val="10"/>
              <w:rPr>
                <w:rFonts w:ascii="宋体" w:hAnsi="宋体"/>
                <w:sz w:val="20"/>
              </w:rPr>
            </w:pPr>
            <w:r>
              <w:rPr>
                <w:rFonts w:hint="eastAsia" w:ascii="宋体" w:hAnsi="宋体"/>
              </w:rPr>
              <w:t>套</w:t>
            </w:r>
          </w:p>
        </w:tc>
        <w:tc>
          <w:tcPr>
            <w:tcW w:w="606" w:type="dxa"/>
            <w:vAlign w:val="center"/>
          </w:tcPr>
          <w:p>
            <w:pPr>
              <w:jc w:val="center"/>
              <w:rPr>
                <w:sz w:val="22"/>
              </w:rPr>
            </w:pPr>
            <w:r>
              <w:rPr>
                <w:rFonts w:hint="eastAsia"/>
                <w:sz w:val="22"/>
              </w:rPr>
              <w:t>10</w:t>
            </w:r>
          </w:p>
        </w:tc>
        <w:tc>
          <w:tcPr>
            <w:tcW w:w="308" w:type="dxa"/>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4</w:t>
            </w:r>
          </w:p>
        </w:tc>
        <w:tc>
          <w:tcPr>
            <w:tcW w:w="1482" w:type="dxa"/>
            <w:vMerge w:val="continue"/>
            <w:vAlign w:val="center"/>
          </w:tcPr>
          <w:p>
            <w:pPr>
              <w:jc w:val="left"/>
              <w:rPr>
                <w:rFonts w:ascii="宋体" w:hAnsi="宋体" w:cs="宋体"/>
                <w:kern w:val="0"/>
                <w:sz w:val="20"/>
              </w:rPr>
            </w:pPr>
          </w:p>
        </w:tc>
        <w:tc>
          <w:tcPr>
            <w:tcW w:w="2176" w:type="dxa"/>
            <w:noWrap/>
            <w:vAlign w:val="center"/>
          </w:tcPr>
          <w:p>
            <w:pPr>
              <w:pStyle w:val="10"/>
              <w:rPr>
                <w:rFonts w:ascii="宋体" w:hAnsi="宋体"/>
                <w:sz w:val="20"/>
              </w:rPr>
            </w:pPr>
            <w:r>
              <w:rPr>
                <w:rFonts w:hint="eastAsia" w:ascii="宋体" w:hAnsi="宋体"/>
              </w:rPr>
              <w:t>拼接控制器</w:t>
            </w:r>
          </w:p>
        </w:tc>
        <w:tc>
          <w:tcPr>
            <w:tcW w:w="4011" w:type="dxa"/>
            <w:noWrap/>
            <w:vAlign w:val="center"/>
          </w:tcPr>
          <w:p>
            <w:pPr>
              <w:jc w:val="left"/>
              <w:rPr>
                <w:rFonts w:ascii="宋体" w:hAnsi="宋体" w:cs="宋体"/>
                <w:kern w:val="0"/>
                <w:sz w:val="20"/>
              </w:rPr>
            </w:pPr>
            <w:r>
              <w:rPr>
                <w:rFonts w:hint="eastAsia" w:ascii="宋体" w:hAnsi="宋体" w:cs="宋体"/>
                <w:kern w:val="0"/>
                <w:sz w:val="20"/>
              </w:rPr>
              <w:t>支持DVI、HDMI、SDI、DP、YPbPr、VGA、CVBS、4K HDMI、HDBaseT、4K HDBaseT、等常见输出信号；模块化设计，包括输入卡、输出卡、切换卡、控制卡、风扇、电源等都是模块化的设计，支持热插拔，更换时不影响其他模块的正常运行，方便以后升级维护等。</w:t>
            </w:r>
          </w:p>
        </w:tc>
        <w:tc>
          <w:tcPr>
            <w:tcW w:w="595" w:type="dxa"/>
            <w:noWrap/>
            <w:vAlign w:val="center"/>
          </w:tcPr>
          <w:p>
            <w:pPr>
              <w:pStyle w:val="10"/>
              <w:rPr>
                <w:rFonts w:ascii="宋体" w:hAnsi="宋体"/>
                <w:sz w:val="20"/>
              </w:rPr>
            </w:pPr>
            <w:r>
              <w:rPr>
                <w:rFonts w:hint="eastAsia" w:ascii="宋体" w:hAnsi="宋体"/>
              </w:rPr>
              <w:t>台</w:t>
            </w:r>
          </w:p>
        </w:tc>
        <w:tc>
          <w:tcPr>
            <w:tcW w:w="606" w:type="dxa"/>
            <w:vAlign w:val="center"/>
          </w:tcPr>
          <w:p>
            <w:pPr>
              <w:jc w:val="center"/>
              <w:rPr>
                <w:sz w:val="22"/>
              </w:rPr>
            </w:pPr>
            <w:r>
              <w:rPr>
                <w:rFonts w:hint="eastAsia"/>
                <w:sz w:val="22"/>
              </w:rPr>
              <w:t>1</w:t>
            </w:r>
          </w:p>
        </w:tc>
        <w:tc>
          <w:tcPr>
            <w:tcW w:w="308" w:type="dxa"/>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5</w:t>
            </w:r>
          </w:p>
        </w:tc>
        <w:tc>
          <w:tcPr>
            <w:tcW w:w="1482" w:type="dxa"/>
            <w:vMerge w:val="continue"/>
            <w:vAlign w:val="center"/>
          </w:tcPr>
          <w:p>
            <w:pPr>
              <w:jc w:val="left"/>
              <w:rPr>
                <w:rFonts w:ascii="宋体" w:hAnsi="宋体" w:cs="宋体"/>
                <w:kern w:val="0"/>
                <w:sz w:val="20"/>
              </w:rPr>
            </w:pPr>
          </w:p>
        </w:tc>
        <w:tc>
          <w:tcPr>
            <w:tcW w:w="2176" w:type="dxa"/>
            <w:noWrap/>
            <w:vAlign w:val="center"/>
          </w:tcPr>
          <w:p>
            <w:pPr>
              <w:pStyle w:val="10"/>
              <w:rPr>
                <w:rFonts w:ascii="宋体" w:hAnsi="宋体"/>
                <w:sz w:val="20"/>
              </w:rPr>
            </w:pPr>
            <w:r>
              <w:rPr>
                <w:rFonts w:hint="eastAsia" w:ascii="宋体" w:hAnsi="宋体"/>
              </w:rPr>
              <w:t>钢结构</w:t>
            </w:r>
          </w:p>
        </w:tc>
        <w:tc>
          <w:tcPr>
            <w:tcW w:w="4011" w:type="dxa"/>
            <w:noWrap/>
            <w:vAlign w:val="center"/>
          </w:tcPr>
          <w:p>
            <w:pPr>
              <w:rPr>
                <w:rFonts w:hint="default" w:ascii="宋体" w:hAnsi="宋体" w:eastAsia="宋体" w:cs="宋体"/>
                <w:kern w:val="0"/>
                <w:sz w:val="20"/>
                <w:lang w:val="en-US" w:eastAsia="zh-CN"/>
              </w:rPr>
            </w:pPr>
            <w:r>
              <w:rPr>
                <w:rFonts w:hint="eastAsia" w:ascii="宋体" w:hAnsi="宋体" w:cs="宋体"/>
                <w:kern w:val="0"/>
                <w:sz w:val="20"/>
              </w:rPr>
              <w:t>现场定制+型材/含施工、含调试；钢结构关键连接部分采用高强镙栓结构；需要符合国家标准。</w:t>
            </w:r>
            <w:r>
              <w:rPr>
                <w:rFonts w:hint="eastAsia" w:ascii="宋体" w:hAnsi="宋体" w:cs="宋体"/>
                <w:kern w:val="0"/>
                <w:sz w:val="20"/>
                <w:lang w:val="en-US" w:eastAsia="zh-CN"/>
              </w:rPr>
              <w:t>定制尺寸不低于：</w:t>
            </w:r>
            <w:r>
              <w:rPr>
                <w:rFonts w:hint="eastAsia" w:ascii="宋体" w:hAnsi="宋体" w:cs="宋体"/>
                <w:kern w:val="0"/>
                <w:sz w:val="20"/>
              </w:rPr>
              <w:t>30.7724 ㎡</w:t>
            </w:r>
          </w:p>
        </w:tc>
        <w:tc>
          <w:tcPr>
            <w:tcW w:w="595" w:type="dxa"/>
            <w:noWrap/>
            <w:vAlign w:val="center"/>
          </w:tcPr>
          <w:p>
            <w:pPr>
              <w:pStyle w:val="10"/>
              <w:rPr>
                <w:rFonts w:hint="default" w:ascii="宋体" w:hAnsi="宋体" w:eastAsia="宋体"/>
                <w:sz w:val="20"/>
                <w:lang w:val="en-US" w:eastAsia="zh-CN"/>
              </w:rPr>
            </w:pPr>
            <w:r>
              <w:rPr>
                <w:rFonts w:hint="eastAsia" w:ascii="宋体" w:hAnsi="宋体"/>
                <w:sz w:val="20"/>
                <w:lang w:val="en-US" w:eastAsia="zh-CN"/>
              </w:rPr>
              <w:t>m</w:t>
            </w:r>
            <w:r>
              <w:rPr>
                <w:rFonts w:hint="eastAsia" w:ascii="宋体" w:hAnsi="宋体"/>
                <w:sz w:val="20"/>
                <w:vertAlign w:val="superscript"/>
                <w:lang w:val="en-US" w:eastAsia="zh-CN"/>
              </w:rPr>
              <w:t>2</w:t>
            </w:r>
          </w:p>
        </w:tc>
        <w:tc>
          <w:tcPr>
            <w:tcW w:w="606" w:type="dxa"/>
            <w:vAlign w:val="center"/>
          </w:tcPr>
          <w:p>
            <w:pPr>
              <w:jc w:val="center"/>
              <w:rPr>
                <w:rFonts w:hint="eastAsia" w:eastAsia="宋体"/>
                <w:sz w:val="22"/>
                <w:lang w:val="en-US" w:eastAsia="zh-CN"/>
              </w:rPr>
            </w:pPr>
            <w:r>
              <w:rPr>
                <w:rFonts w:hint="eastAsia"/>
                <w:sz w:val="22"/>
                <w:lang w:val="en-US" w:eastAsia="zh-CN"/>
              </w:rPr>
              <w:t>30.772</w:t>
            </w:r>
          </w:p>
        </w:tc>
        <w:tc>
          <w:tcPr>
            <w:tcW w:w="308" w:type="dxa"/>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6</w:t>
            </w:r>
          </w:p>
        </w:tc>
        <w:tc>
          <w:tcPr>
            <w:tcW w:w="1482" w:type="dxa"/>
            <w:vMerge w:val="continue"/>
            <w:vAlign w:val="center"/>
          </w:tcPr>
          <w:p>
            <w:pPr>
              <w:jc w:val="left"/>
              <w:rPr>
                <w:rFonts w:ascii="宋体" w:hAnsi="宋体" w:cs="宋体"/>
                <w:kern w:val="0"/>
                <w:sz w:val="20"/>
              </w:rPr>
            </w:pPr>
          </w:p>
        </w:tc>
        <w:tc>
          <w:tcPr>
            <w:tcW w:w="2176" w:type="dxa"/>
            <w:noWrap/>
            <w:vAlign w:val="center"/>
          </w:tcPr>
          <w:p>
            <w:pPr>
              <w:pStyle w:val="10"/>
              <w:rPr>
                <w:rFonts w:ascii="宋体" w:hAnsi="宋体"/>
                <w:sz w:val="20"/>
              </w:rPr>
            </w:pPr>
            <w:r>
              <w:rPr>
                <w:rFonts w:hint="eastAsia" w:ascii="宋体" w:hAnsi="宋体"/>
              </w:rPr>
              <w:t>配电系统</w:t>
            </w:r>
          </w:p>
        </w:tc>
        <w:tc>
          <w:tcPr>
            <w:tcW w:w="4011" w:type="dxa"/>
            <w:noWrap/>
            <w:vAlign w:val="center"/>
          </w:tcPr>
          <w:p>
            <w:pPr>
              <w:rPr>
                <w:rFonts w:ascii="宋体" w:hAnsi="宋体" w:cs="宋体"/>
                <w:kern w:val="0"/>
                <w:sz w:val="20"/>
              </w:rPr>
            </w:pPr>
            <w:r>
              <w:rPr>
                <w:rFonts w:hint="eastAsia" w:ascii="宋体" w:hAnsi="宋体" w:cs="宋体"/>
                <w:kern w:val="0"/>
                <w:sz w:val="20"/>
              </w:rPr>
              <w:t>具有保护措施、智能编程、智能操控、智能化控制等功能。</w:t>
            </w:r>
          </w:p>
        </w:tc>
        <w:tc>
          <w:tcPr>
            <w:tcW w:w="595" w:type="dxa"/>
            <w:noWrap/>
            <w:vAlign w:val="center"/>
          </w:tcPr>
          <w:p>
            <w:pPr>
              <w:pStyle w:val="10"/>
              <w:rPr>
                <w:rFonts w:ascii="宋体" w:hAnsi="宋体"/>
                <w:sz w:val="20"/>
              </w:rPr>
            </w:pPr>
            <w:r>
              <w:rPr>
                <w:rFonts w:hint="eastAsia" w:ascii="宋体" w:hAnsi="宋体"/>
              </w:rPr>
              <w:t>套</w:t>
            </w:r>
          </w:p>
        </w:tc>
        <w:tc>
          <w:tcPr>
            <w:tcW w:w="606" w:type="dxa"/>
            <w:vAlign w:val="center"/>
          </w:tcPr>
          <w:p>
            <w:pPr>
              <w:jc w:val="center"/>
              <w:rPr>
                <w:sz w:val="22"/>
              </w:rPr>
            </w:pPr>
            <w:r>
              <w:rPr>
                <w:rFonts w:hint="eastAsia"/>
                <w:sz w:val="22"/>
              </w:rPr>
              <w:t>1</w:t>
            </w:r>
          </w:p>
        </w:tc>
        <w:tc>
          <w:tcPr>
            <w:tcW w:w="308" w:type="dxa"/>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7</w:t>
            </w:r>
          </w:p>
        </w:tc>
        <w:tc>
          <w:tcPr>
            <w:tcW w:w="1482" w:type="dxa"/>
            <w:vMerge w:val="continue"/>
            <w:vAlign w:val="center"/>
          </w:tcPr>
          <w:p>
            <w:pPr>
              <w:jc w:val="left"/>
              <w:rPr>
                <w:rFonts w:ascii="宋体" w:hAnsi="宋体" w:cs="宋体"/>
                <w:kern w:val="0"/>
                <w:sz w:val="20"/>
              </w:rPr>
            </w:pPr>
          </w:p>
        </w:tc>
        <w:tc>
          <w:tcPr>
            <w:tcW w:w="2176" w:type="dxa"/>
            <w:noWrap/>
            <w:vAlign w:val="center"/>
          </w:tcPr>
          <w:p>
            <w:pPr>
              <w:pStyle w:val="10"/>
              <w:rPr>
                <w:rFonts w:ascii="宋体" w:hAnsi="宋体"/>
                <w:sz w:val="20"/>
              </w:rPr>
            </w:pPr>
            <w:r>
              <w:rPr>
                <w:rFonts w:hint="eastAsia" w:ascii="宋体" w:hAnsi="宋体"/>
              </w:rPr>
              <w:t>线缆辅料</w:t>
            </w:r>
          </w:p>
        </w:tc>
        <w:tc>
          <w:tcPr>
            <w:tcW w:w="4011" w:type="dxa"/>
            <w:noWrap/>
            <w:vAlign w:val="center"/>
          </w:tcPr>
          <w:p>
            <w:pPr>
              <w:rPr>
                <w:rFonts w:ascii="宋体" w:hAnsi="宋体" w:cs="宋体"/>
                <w:kern w:val="0"/>
                <w:sz w:val="20"/>
              </w:rPr>
            </w:pPr>
            <w:r>
              <w:rPr>
                <w:rFonts w:hint="eastAsia" w:ascii="宋体" w:hAnsi="宋体" w:cs="宋体"/>
                <w:kern w:val="0"/>
                <w:sz w:val="20"/>
              </w:rPr>
              <w:t>符合国标。</w:t>
            </w:r>
          </w:p>
        </w:tc>
        <w:tc>
          <w:tcPr>
            <w:tcW w:w="595" w:type="dxa"/>
            <w:noWrap/>
            <w:vAlign w:val="center"/>
          </w:tcPr>
          <w:p>
            <w:pPr>
              <w:pStyle w:val="10"/>
              <w:rPr>
                <w:rFonts w:ascii="宋体" w:hAnsi="宋体"/>
                <w:sz w:val="20"/>
              </w:rPr>
            </w:pPr>
            <w:r>
              <w:rPr>
                <w:rFonts w:hint="eastAsia" w:ascii="宋体" w:hAnsi="宋体"/>
              </w:rPr>
              <w:t>批</w:t>
            </w:r>
          </w:p>
        </w:tc>
        <w:tc>
          <w:tcPr>
            <w:tcW w:w="606" w:type="dxa"/>
            <w:vAlign w:val="center"/>
          </w:tcPr>
          <w:p>
            <w:pPr>
              <w:jc w:val="center"/>
              <w:rPr>
                <w:sz w:val="22"/>
              </w:rPr>
            </w:pPr>
            <w:r>
              <w:rPr>
                <w:rFonts w:hint="eastAsia"/>
                <w:sz w:val="22"/>
              </w:rPr>
              <w:t>1</w:t>
            </w:r>
          </w:p>
        </w:tc>
        <w:tc>
          <w:tcPr>
            <w:tcW w:w="308" w:type="dxa"/>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hint="eastAsia" w:ascii="宋体" w:hAnsi="宋体" w:eastAsia="宋体" w:cs="宋体"/>
                <w:kern w:val="0"/>
                <w:sz w:val="20"/>
                <w:lang w:eastAsia="zh-CN"/>
              </w:rPr>
            </w:pPr>
            <w:r>
              <w:rPr>
                <w:rFonts w:hint="eastAsia" w:ascii="宋体" w:hAnsi="宋体" w:cs="宋体"/>
                <w:kern w:val="0"/>
                <w:sz w:val="20"/>
                <w:lang w:val="en-US" w:eastAsia="zh-CN"/>
              </w:rPr>
              <w:t>8</w:t>
            </w:r>
          </w:p>
        </w:tc>
        <w:tc>
          <w:tcPr>
            <w:tcW w:w="1482" w:type="dxa"/>
            <w:vMerge w:val="continue"/>
            <w:vAlign w:val="center"/>
          </w:tcPr>
          <w:p>
            <w:pPr>
              <w:jc w:val="left"/>
              <w:rPr>
                <w:rFonts w:ascii="宋体" w:hAnsi="宋体" w:cs="宋体"/>
                <w:kern w:val="0"/>
                <w:sz w:val="20"/>
              </w:rPr>
            </w:pPr>
          </w:p>
        </w:tc>
        <w:tc>
          <w:tcPr>
            <w:tcW w:w="2176" w:type="dxa"/>
            <w:noWrap/>
            <w:vAlign w:val="center"/>
          </w:tcPr>
          <w:p>
            <w:pPr>
              <w:pStyle w:val="10"/>
              <w:rPr>
                <w:rFonts w:ascii="宋体" w:hAnsi="宋体"/>
                <w:sz w:val="20"/>
              </w:rPr>
            </w:pPr>
            <w:r>
              <w:rPr>
                <w:rFonts w:hint="eastAsia" w:ascii="宋体" w:hAnsi="宋体"/>
              </w:rPr>
              <w:t>0.5㎡屏幕备品备件</w:t>
            </w:r>
          </w:p>
        </w:tc>
        <w:tc>
          <w:tcPr>
            <w:tcW w:w="4011" w:type="dxa"/>
            <w:noWrap/>
            <w:vAlign w:val="center"/>
          </w:tcPr>
          <w:p>
            <w:pPr>
              <w:rPr>
                <w:rFonts w:ascii="宋体" w:hAnsi="宋体" w:cs="宋体"/>
                <w:kern w:val="0"/>
                <w:sz w:val="20"/>
              </w:rPr>
            </w:pPr>
            <w:r>
              <w:rPr>
                <w:rFonts w:hint="eastAsia" w:ascii="宋体" w:hAnsi="宋体" w:cs="宋体"/>
                <w:kern w:val="0"/>
                <w:sz w:val="19"/>
                <w:szCs w:val="19"/>
                <w:lang w:bidi="ar"/>
              </w:rPr>
              <w:t>0.5 ㎡屏幕；同厂同批次备品模组、电源、IC、管芯、专用工具等。</w:t>
            </w:r>
          </w:p>
        </w:tc>
        <w:tc>
          <w:tcPr>
            <w:tcW w:w="595" w:type="dxa"/>
            <w:noWrap/>
            <w:vAlign w:val="center"/>
          </w:tcPr>
          <w:p>
            <w:pPr>
              <w:pStyle w:val="10"/>
              <w:rPr>
                <w:rFonts w:ascii="宋体" w:hAnsi="宋体"/>
                <w:sz w:val="20"/>
              </w:rPr>
            </w:pPr>
            <w:r>
              <w:rPr>
                <w:rFonts w:hint="eastAsia" w:ascii="宋体" w:hAnsi="宋体"/>
                <w:sz w:val="20"/>
              </w:rPr>
              <w:t>套</w:t>
            </w:r>
          </w:p>
        </w:tc>
        <w:tc>
          <w:tcPr>
            <w:tcW w:w="606" w:type="dxa"/>
            <w:vAlign w:val="center"/>
          </w:tcPr>
          <w:p>
            <w:pPr>
              <w:jc w:val="center"/>
              <w:rPr>
                <w:sz w:val="22"/>
              </w:rPr>
            </w:pPr>
            <w:r>
              <w:rPr>
                <w:rFonts w:hint="eastAsia"/>
                <w:sz w:val="22"/>
              </w:rPr>
              <w:t>1</w:t>
            </w:r>
          </w:p>
        </w:tc>
        <w:tc>
          <w:tcPr>
            <w:tcW w:w="308" w:type="dxa"/>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12</w:t>
            </w:r>
          </w:p>
        </w:tc>
        <w:tc>
          <w:tcPr>
            <w:tcW w:w="1482" w:type="dxa"/>
            <w:vMerge w:val="restart"/>
            <w:vAlign w:val="center"/>
          </w:tcPr>
          <w:p>
            <w:pPr>
              <w:jc w:val="left"/>
              <w:rPr>
                <w:rFonts w:ascii="宋体" w:hAnsi="宋体" w:cs="宋体"/>
                <w:kern w:val="0"/>
                <w:sz w:val="20"/>
              </w:rPr>
            </w:pPr>
            <w:r>
              <w:rPr>
                <w:rFonts w:hint="eastAsia" w:ascii="宋体" w:hAnsi="宋体" w:cs="宋体"/>
                <w:kern w:val="0"/>
                <w:sz w:val="20"/>
              </w:rPr>
              <w:t>服务器</w:t>
            </w:r>
          </w:p>
        </w:tc>
        <w:tc>
          <w:tcPr>
            <w:tcW w:w="2176" w:type="dxa"/>
            <w:noWrap/>
            <w:vAlign w:val="center"/>
          </w:tcPr>
          <w:p>
            <w:pPr>
              <w:jc w:val="left"/>
              <w:rPr>
                <w:rFonts w:ascii="宋体" w:hAnsi="宋体" w:cs="宋体"/>
                <w:kern w:val="0"/>
                <w:sz w:val="20"/>
              </w:rPr>
            </w:pPr>
            <w:r>
              <w:rPr>
                <w:rFonts w:hint="eastAsia" w:ascii="宋体" w:hAnsi="宋体" w:cs="宋体"/>
                <w:kern w:val="0"/>
                <w:sz w:val="20"/>
              </w:rPr>
              <w:t>数据库服务器</w:t>
            </w:r>
          </w:p>
        </w:tc>
        <w:tc>
          <w:tcPr>
            <w:tcW w:w="4011" w:type="dxa"/>
            <w:noWrap/>
            <w:vAlign w:val="bottom"/>
          </w:tcPr>
          <w:p>
            <w:pPr>
              <w:jc w:val="left"/>
              <w:rPr>
                <w:rFonts w:ascii="宋体" w:hAnsi="宋体" w:cs="宋体"/>
                <w:kern w:val="0"/>
                <w:sz w:val="20"/>
              </w:rPr>
            </w:pPr>
            <w:r>
              <w:rPr>
                <w:rFonts w:hint="eastAsia" w:ascii="宋体" w:hAnsi="宋体" w:cs="宋体"/>
                <w:kern w:val="0"/>
                <w:sz w:val="20"/>
              </w:rPr>
              <w:t>不低于至强16核，不低于DDR4 64GB，不低于2T SAS 10K rpm，SAS/SATA，支持RAID0,1，机架式机箱。</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2</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13</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应用服务器</w:t>
            </w:r>
          </w:p>
        </w:tc>
        <w:tc>
          <w:tcPr>
            <w:tcW w:w="4011" w:type="dxa"/>
            <w:noWrap/>
            <w:vAlign w:val="bottom"/>
          </w:tcPr>
          <w:p>
            <w:pPr>
              <w:jc w:val="left"/>
              <w:rPr>
                <w:rFonts w:ascii="宋体" w:hAnsi="宋体" w:cs="宋体"/>
                <w:kern w:val="0"/>
                <w:sz w:val="20"/>
              </w:rPr>
            </w:pPr>
            <w:r>
              <w:rPr>
                <w:rFonts w:hint="eastAsia" w:ascii="宋体" w:hAnsi="宋体" w:cs="宋体"/>
                <w:kern w:val="0"/>
                <w:sz w:val="20"/>
              </w:rPr>
              <w:t>不低于至强16核，不低于DDR4 64GB，不低于2T SAS 10K rpm，SAS/SATA，支持RAID0,1，机架式机箱。</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10</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14</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平台接入引擎服务器</w:t>
            </w:r>
          </w:p>
        </w:tc>
        <w:tc>
          <w:tcPr>
            <w:tcW w:w="4011" w:type="dxa"/>
            <w:noWrap/>
            <w:vAlign w:val="bottom"/>
          </w:tcPr>
          <w:p>
            <w:pPr>
              <w:jc w:val="left"/>
              <w:rPr>
                <w:rFonts w:ascii="宋体" w:hAnsi="宋体" w:cs="宋体"/>
                <w:kern w:val="0"/>
                <w:sz w:val="20"/>
              </w:rPr>
            </w:pPr>
            <w:r>
              <w:rPr>
                <w:rFonts w:hint="eastAsia" w:ascii="宋体" w:hAnsi="宋体" w:cs="宋体"/>
                <w:kern w:val="0"/>
                <w:sz w:val="20"/>
              </w:rPr>
              <w:t>不低于至强16核，不低于DDR4 64GB，不低于2T SAS 10K rpm，SAS/SATA，支持RAID0,1，机架式机箱。</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2</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15</w:t>
            </w:r>
          </w:p>
        </w:tc>
        <w:tc>
          <w:tcPr>
            <w:tcW w:w="1482" w:type="dxa"/>
            <w:vMerge w:val="restart"/>
            <w:vAlign w:val="center"/>
          </w:tcPr>
          <w:p>
            <w:pPr>
              <w:jc w:val="left"/>
              <w:rPr>
                <w:rFonts w:ascii="宋体" w:hAnsi="宋体" w:cs="宋体"/>
                <w:kern w:val="0"/>
                <w:sz w:val="20"/>
              </w:rPr>
            </w:pPr>
            <w:r>
              <w:rPr>
                <w:rFonts w:hint="eastAsia" w:ascii="宋体" w:hAnsi="宋体" w:cs="宋体"/>
                <w:kern w:val="0"/>
                <w:sz w:val="20"/>
              </w:rPr>
              <w:t>网络及安全设备</w:t>
            </w:r>
          </w:p>
        </w:tc>
        <w:tc>
          <w:tcPr>
            <w:tcW w:w="2176" w:type="dxa"/>
            <w:shd w:val="clear" w:color="auto" w:fill="auto"/>
            <w:noWrap/>
            <w:vAlign w:val="center"/>
          </w:tcPr>
          <w:p>
            <w:pPr>
              <w:jc w:val="left"/>
              <w:rPr>
                <w:rFonts w:ascii="宋体" w:hAnsi="宋体" w:cs="宋体"/>
                <w:kern w:val="0"/>
                <w:sz w:val="20"/>
              </w:rPr>
            </w:pPr>
            <w:r>
              <w:rPr>
                <w:rFonts w:hint="eastAsia" w:ascii="宋体" w:hAnsi="宋体" w:cs="宋体"/>
                <w:kern w:val="0"/>
                <w:sz w:val="20"/>
              </w:rPr>
              <w:t>核心交换机</w:t>
            </w:r>
          </w:p>
        </w:tc>
        <w:tc>
          <w:tcPr>
            <w:tcW w:w="4011" w:type="dxa"/>
            <w:noWrap/>
            <w:vAlign w:val="bottom"/>
          </w:tcPr>
          <w:p>
            <w:pPr>
              <w:jc w:val="left"/>
              <w:rPr>
                <w:rFonts w:ascii="宋体" w:hAnsi="宋体" w:cs="宋体"/>
                <w:kern w:val="0"/>
                <w:sz w:val="20"/>
              </w:rPr>
            </w:pPr>
            <w:r>
              <w:rPr>
                <w:rFonts w:ascii="宋体" w:hAnsi="宋体" w:cs="宋体"/>
                <w:kern w:val="0"/>
                <w:sz w:val="20"/>
              </w:rPr>
              <w:t>24口千兆全网管二层交换机，机架式，24个千兆电口,4个千兆光口,支持通过console口管理</w:t>
            </w:r>
            <w:r>
              <w:rPr>
                <w:rFonts w:hint="eastAsia" w:ascii="宋体" w:hAnsi="宋体" w:cs="宋体"/>
                <w:kern w:val="0"/>
                <w:sz w:val="20"/>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16</w:t>
            </w:r>
          </w:p>
        </w:tc>
        <w:tc>
          <w:tcPr>
            <w:tcW w:w="1482" w:type="dxa"/>
            <w:vMerge w:val="continue"/>
            <w:vAlign w:val="center"/>
          </w:tcPr>
          <w:p>
            <w:pPr>
              <w:jc w:val="left"/>
              <w:rPr>
                <w:rFonts w:ascii="宋体" w:hAnsi="宋体" w:cs="宋体"/>
                <w:kern w:val="0"/>
                <w:sz w:val="20"/>
              </w:rPr>
            </w:pPr>
          </w:p>
        </w:tc>
        <w:tc>
          <w:tcPr>
            <w:tcW w:w="2176" w:type="dxa"/>
            <w:shd w:val="clear" w:color="auto" w:fill="auto"/>
            <w:noWrap/>
            <w:vAlign w:val="center"/>
          </w:tcPr>
          <w:p>
            <w:pPr>
              <w:jc w:val="left"/>
              <w:rPr>
                <w:rFonts w:ascii="宋体" w:hAnsi="宋体" w:cs="宋体"/>
                <w:kern w:val="0"/>
                <w:sz w:val="20"/>
              </w:rPr>
            </w:pPr>
            <w:r>
              <w:rPr>
                <w:rFonts w:hint="eastAsia" w:ascii="宋体" w:hAnsi="宋体" w:cs="宋体"/>
                <w:kern w:val="0"/>
                <w:sz w:val="20"/>
              </w:rPr>
              <w:t>节点交换机</w:t>
            </w:r>
          </w:p>
        </w:tc>
        <w:tc>
          <w:tcPr>
            <w:tcW w:w="4011" w:type="dxa"/>
            <w:noWrap/>
            <w:vAlign w:val="bottom"/>
          </w:tcPr>
          <w:p>
            <w:pPr>
              <w:jc w:val="left"/>
              <w:rPr>
                <w:rFonts w:ascii="宋体" w:hAnsi="宋体" w:cs="宋体"/>
                <w:kern w:val="0"/>
                <w:sz w:val="20"/>
              </w:rPr>
            </w:pPr>
            <w:r>
              <w:rPr>
                <w:rFonts w:ascii="宋体" w:hAnsi="宋体" w:cs="宋体"/>
                <w:kern w:val="0"/>
                <w:sz w:val="20"/>
              </w:rPr>
              <w:t>24口千兆全网管二层交换机，机架式，24个千兆电口,4个千兆光口,支持通过console口管理</w:t>
            </w:r>
            <w:r>
              <w:rPr>
                <w:rFonts w:hint="eastAsia" w:ascii="宋体" w:hAnsi="宋体" w:cs="宋体"/>
                <w:kern w:val="0"/>
                <w:sz w:val="20"/>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ascii="宋体" w:hAnsi="宋体" w:cs="宋体"/>
                <w:kern w:val="0"/>
                <w:sz w:val="20"/>
              </w:rPr>
              <w:t>17</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外网防火墙</w:t>
            </w:r>
          </w:p>
        </w:tc>
        <w:tc>
          <w:tcPr>
            <w:tcW w:w="4011" w:type="dxa"/>
            <w:noWrap/>
            <w:vAlign w:val="bottom"/>
          </w:tcPr>
          <w:p>
            <w:pPr>
              <w:jc w:val="left"/>
              <w:rPr>
                <w:rFonts w:ascii="宋体" w:hAnsi="宋体" w:cs="宋体"/>
                <w:kern w:val="0"/>
                <w:sz w:val="20"/>
              </w:rPr>
            </w:pPr>
            <w:r>
              <w:rPr>
                <w:rFonts w:hint="eastAsia" w:ascii="宋体" w:hAnsi="宋体" w:cs="宋体"/>
                <w:kern w:val="0"/>
                <w:sz w:val="20"/>
              </w:rPr>
              <w:t>不低于1U机箱，配置不少于6个10/100/1000BASE-T接口，1个可插拨的扩展槽，标配模块化电源；防火墙吞吐率：4Gbps 应用层吞吐率（FW+APP）：2.5Gbps 并发连接数：160万。</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18</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WEB应用防火墙</w:t>
            </w:r>
          </w:p>
        </w:tc>
        <w:tc>
          <w:tcPr>
            <w:tcW w:w="4011" w:type="dxa"/>
            <w:noWrap/>
            <w:vAlign w:val="bottom"/>
          </w:tcPr>
          <w:p>
            <w:pPr>
              <w:rPr>
                <w:rFonts w:ascii="宋体" w:hAnsi="宋体" w:cs="宋体"/>
                <w:kern w:val="0"/>
                <w:sz w:val="20"/>
              </w:rPr>
            </w:pPr>
            <w:r>
              <w:rPr>
                <w:rFonts w:hint="eastAsia" w:ascii="宋体" w:hAnsi="宋体" w:cs="宋体"/>
                <w:kern w:val="0"/>
                <w:sz w:val="20"/>
              </w:rPr>
              <w:t>要求设备为1U机架式结构，最大配置为24个接口；本次配置不低于2个可插拨扩展槽及6个10/100/1000Base-T端口和2个SFP槽。</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19</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内网入侵防御系统</w:t>
            </w:r>
          </w:p>
        </w:tc>
        <w:tc>
          <w:tcPr>
            <w:tcW w:w="4011" w:type="dxa"/>
            <w:noWrap/>
            <w:vAlign w:val="bottom"/>
          </w:tcPr>
          <w:p>
            <w:pPr>
              <w:rPr>
                <w:rFonts w:ascii="宋体" w:hAnsi="宋体" w:cs="宋体"/>
                <w:kern w:val="0"/>
                <w:sz w:val="20"/>
              </w:rPr>
            </w:pPr>
            <w:r>
              <w:rPr>
                <w:rFonts w:hint="eastAsia" w:ascii="宋体" w:hAnsi="宋体" w:cs="宋体"/>
                <w:kern w:val="0"/>
                <w:sz w:val="20"/>
              </w:rPr>
              <w:t>要求设备不低于1U标准机箱，配置不少于6个10/100/1000Base-T端口，至少1个console口，2个USB，配置至少3年规则特征库升级许可；整机吞吐率：3Gbps，最大并发连接数：150W，IPS吞吐率：1.2Gbps。</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20</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外网网闸</w:t>
            </w:r>
          </w:p>
        </w:tc>
        <w:tc>
          <w:tcPr>
            <w:tcW w:w="4011" w:type="dxa"/>
            <w:noWrap/>
            <w:vAlign w:val="bottom"/>
          </w:tcPr>
          <w:p>
            <w:pPr>
              <w:rPr>
                <w:rFonts w:ascii="宋体" w:hAnsi="宋体" w:cs="宋体"/>
                <w:kern w:val="0"/>
                <w:sz w:val="20"/>
              </w:rPr>
            </w:pPr>
            <w:r>
              <w:rPr>
                <w:rFonts w:hint="eastAsia" w:ascii="宋体" w:hAnsi="宋体" w:cs="宋体"/>
                <w:kern w:val="0"/>
                <w:sz w:val="20"/>
              </w:rPr>
              <w:t>2U机架式，“2+1”系统结构，内外端机为TCP/IP网络协议的终点，阻断TCP/IP协议的直接贯通。内外端机之间采用专用硬件和专用协议进行连接，不可编程。网闸以软硬件结合的方式，有效地隔断内外网络间直接的连接，防止信息无限制交换。</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21</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内网防火墙</w:t>
            </w:r>
          </w:p>
        </w:tc>
        <w:tc>
          <w:tcPr>
            <w:tcW w:w="4011" w:type="dxa"/>
            <w:noWrap/>
            <w:vAlign w:val="bottom"/>
          </w:tcPr>
          <w:p>
            <w:pPr>
              <w:rPr>
                <w:rFonts w:ascii="宋体" w:hAnsi="宋体" w:cs="宋体"/>
                <w:kern w:val="0"/>
                <w:sz w:val="20"/>
              </w:rPr>
            </w:pPr>
            <w:r>
              <w:rPr>
                <w:rFonts w:hint="eastAsia" w:ascii="宋体" w:hAnsi="宋体" w:cs="宋体"/>
                <w:kern w:val="0"/>
                <w:sz w:val="20"/>
              </w:rPr>
              <w:t>1U机箱，配置不少于6个10/100/1000BASE-T接口，标配模块化电源；防火墙吞吐率：2Gbps 应用层吞吐率（FW+APP）：1.2Gbps 并发连接数：120万。</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22</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内网网闸</w:t>
            </w:r>
          </w:p>
        </w:tc>
        <w:tc>
          <w:tcPr>
            <w:tcW w:w="4011" w:type="dxa"/>
            <w:noWrap/>
            <w:vAlign w:val="bottom"/>
          </w:tcPr>
          <w:p>
            <w:pPr>
              <w:jc w:val="left"/>
              <w:rPr>
                <w:rFonts w:ascii="宋体" w:hAnsi="宋体" w:cs="宋体"/>
                <w:kern w:val="0"/>
                <w:sz w:val="20"/>
              </w:rPr>
            </w:pPr>
            <w:r>
              <w:rPr>
                <w:rFonts w:hint="eastAsia" w:ascii="宋体" w:hAnsi="宋体" w:cs="宋体"/>
                <w:kern w:val="0"/>
                <w:sz w:val="20"/>
              </w:rPr>
              <w:t>2U机架式，“2+1”系统结构，内外端机为TCP/IP网络协议的终点，阻断TCP/IP协议的直接贯通。内外端机之间采用专用硬件和专用协议进行连接，不可编程。网闸以软硬件结合的方式，有效地隔断内外网络间直接的连接，防止信息无限制交换。</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w:t>
            </w:r>
            <w:r>
              <w:rPr>
                <w:rFonts w:ascii="宋体" w:hAnsi="宋体" w:cs="宋体"/>
                <w:kern w:val="0"/>
                <w:sz w:val="20"/>
              </w:rPr>
              <w:t>3</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存储备份一体机</w:t>
            </w:r>
          </w:p>
        </w:tc>
        <w:tc>
          <w:tcPr>
            <w:tcW w:w="4011" w:type="dxa"/>
            <w:noWrap/>
            <w:vAlign w:val="bottom"/>
          </w:tcPr>
          <w:p>
            <w:pPr>
              <w:jc w:val="left"/>
              <w:rPr>
                <w:rFonts w:ascii="宋体" w:hAnsi="宋体" w:cs="宋体"/>
                <w:kern w:val="0"/>
                <w:sz w:val="20"/>
              </w:rPr>
            </w:pPr>
            <w:r>
              <w:rPr>
                <w:rFonts w:hint="eastAsia" w:ascii="宋体" w:hAnsi="宋体" w:cs="宋体"/>
                <w:kern w:val="0"/>
                <w:sz w:val="20"/>
              </w:rPr>
              <w:t>不低于1*XEON E3-1230 V5（2.4G/6核12线程），配置至少支持4个硬盘槽位配置4T企业级SATA。1*240GSSD用于系统安装，不少于8GB RAM，最大可扩容64GB，不少于2个千兆网络端口，网络端口都可用且可分配不同的备份任务；支持Windows、Linux、UNIX、AIX、Solaris、 HP-UX等主流操作系统，基于linux的备份存储专用系统，支持https方式登录，确保登录安全。</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24</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杀毒软件</w:t>
            </w:r>
          </w:p>
        </w:tc>
        <w:tc>
          <w:tcPr>
            <w:tcW w:w="4011" w:type="dxa"/>
            <w:noWrap/>
            <w:vAlign w:val="bottom"/>
          </w:tcPr>
          <w:p>
            <w:pPr>
              <w:jc w:val="left"/>
              <w:rPr>
                <w:rFonts w:ascii="宋体" w:hAnsi="宋体" w:cs="宋体"/>
                <w:kern w:val="0"/>
                <w:sz w:val="20"/>
              </w:rPr>
            </w:pPr>
            <w:r>
              <w:rPr>
                <w:rFonts w:hint="eastAsia" w:ascii="宋体" w:hAnsi="宋体" w:cs="宋体"/>
                <w:kern w:val="0"/>
                <w:sz w:val="20"/>
              </w:rPr>
              <w:t>管理端支持全中文界面，纯B/S架构，无需安装客户端软件。管理员只需通过浏览器登陆控制中心，即可对虚拟机进行管理。防病毒的病毒查杀支持多引擎的协同工作对病毒、木马、恶意软件、引导区病毒、BIOS病毒等进行查杀，提供主动防御系统防护等功能；客户端默认支持WindowsXP/VISTA/WIN7/WIN8/WIN10，含三年升级许可。</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r>
              <w:rPr>
                <w:rFonts w:ascii="宋体" w:hAnsi="宋体" w:cs="宋体"/>
                <w:kern w:val="0"/>
                <w:sz w:val="20"/>
              </w:rPr>
              <w:t>5</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25</w:t>
            </w:r>
          </w:p>
        </w:tc>
        <w:tc>
          <w:tcPr>
            <w:tcW w:w="1482" w:type="dxa"/>
            <w:vMerge w:val="restart"/>
            <w:vAlign w:val="center"/>
          </w:tcPr>
          <w:p>
            <w:pPr>
              <w:jc w:val="left"/>
              <w:rPr>
                <w:rFonts w:ascii="宋体" w:hAnsi="宋体" w:cs="宋体"/>
                <w:kern w:val="0"/>
                <w:sz w:val="20"/>
              </w:rPr>
            </w:pPr>
            <w:r>
              <w:rPr>
                <w:rFonts w:hint="eastAsia" w:ascii="宋体" w:hAnsi="宋体" w:cs="宋体"/>
                <w:kern w:val="0"/>
                <w:sz w:val="20"/>
              </w:rPr>
              <w:t xml:space="preserve">人工智能在线监测平台      </w:t>
            </w:r>
          </w:p>
        </w:tc>
        <w:tc>
          <w:tcPr>
            <w:tcW w:w="2176" w:type="dxa"/>
            <w:noWrap/>
            <w:vAlign w:val="center"/>
          </w:tcPr>
          <w:p>
            <w:pPr>
              <w:jc w:val="left"/>
              <w:rPr>
                <w:rFonts w:ascii="宋体" w:hAnsi="宋体" w:cs="宋体"/>
                <w:kern w:val="0"/>
                <w:sz w:val="20"/>
              </w:rPr>
            </w:pPr>
            <w:r>
              <w:rPr>
                <w:rFonts w:hint="eastAsia" w:ascii="宋体" w:hAnsi="宋体" w:cs="宋体"/>
                <w:kern w:val="0"/>
                <w:sz w:val="20"/>
              </w:rPr>
              <w:t>环保人工智能监测系统</w:t>
            </w:r>
          </w:p>
        </w:tc>
        <w:tc>
          <w:tcPr>
            <w:tcW w:w="4011" w:type="dxa"/>
            <w:noWrap/>
            <w:vAlign w:val="center"/>
          </w:tcPr>
          <w:p>
            <w:pPr>
              <w:jc w:val="left"/>
              <w:rPr>
                <w:rFonts w:ascii="宋体" w:hAnsi="宋体" w:cs="宋体"/>
                <w:kern w:val="0"/>
                <w:sz w:val="20"/>
              </w:rPr>
            </w:pPr>
            <w:r>
              <w:rPr>
                <w:rFonts w:hint="eastAsia" w:ascii="宋体" w:hAnsi="宋体" w:cs="宋体"/>
                <w:kern w:val="0"/>
                <w:sz w:val="20"/>
              </w:rPr>
              <w:t>应用软件系统，可实现数据采集、运行状况判定、设备参数分析、异常报警、数据查询、运行统计、远程控制、基础设置、视频回放等功能。</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26</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园区安全人工智能监测系统</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通过对人和物体的特征检测、提取、描述和分析，以及对场景环境的分析，理解识别人和物体的行为，在实时监控的基础上，对突发事件进行实时预警。</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27</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AI视频分析模型</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包括人脸识别模型、姿态识别模型、烟火检测模型、人员入侵模型、绊线检测模型等内容。</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28</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人工智能服务集成平台</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包括视频前端接入控制和管理子模块、视频流编解码子模块、视频流服务子模块、数据存储服务子模块、GPU调度子模块、样本采集和处理子模块、资源监控子模块等内容。</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29</w:t>
            </w:r>
          </w:p>
        </w:tc>
        <w:tc>
          <w:tcPr>
            <w:tcW w:w="1482" w:type="dxa"/>
            <w:vMerge w:val="restart"/>
            <w:vAlign w:val="center"/>
          </w:tcPr>
          <w:p>
            <w:pPr>
              <w:jc w:val="left"/>
              <w:rPr>
                <w:rFonts w:ascii="宋体" w:hAnsi="宋体" w:cs="宋体"/>
                <w:kern w:val="0"/>
                <w:sz w:val="20"/>
              </w:rPr>
            </w:pPr>
            <w:r>
              <w:rPr>
                <w:rFonts w:hint="eastAsia" w:ascii="宋体" w:hAnsi="宋体" w:cs="宋体"/>
                <w:kern w:val="0"/>
                <w:sz w:val="20"/>
              </w:rPr>
              <w:t>人工智能监测系统硬件配置</w:t>
            </w:r>
          </w:p>
        </w:tc>
        <w:tc>
          <w:tcPr>
            <w:tcW w:w="2176" w:type="dxa"/>
            <w:noWrap/>
            <w:vAlign w:val="center"/>
          </w:tcPr>
          <w:p>
            <w:pPr>
              <w:jc w:val="left"/>
              <w:rPr>
                <w:rFonts w:ascii="宋体" w:hAnsi="宋体" w:cs="宋体"/>
                <w:kern w:val="0"/>
                <w:sz w:val="20"/>
              </w:rPr>
            </w:pPr>
            <w:r>
              <w:rPr>
                <w:rFonts w:hint="eastAsia" w:ascii="宋体" w:hAnsi="宋体" w:cs="宋体"/>
                <w:kern w:val="0"/>
                <w:sz w:val="20"/>
              </w:rPr>
              <w:t>视频接入和解码/数据接入行为分析/WEB平台服务器</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2U机架式；</w:t>
            </w:r>
          </w:p>
          <w:p>
            <w:pPr>
              <w:jc w:val="left"/>
              <w:rPr>
                <w:rFonts w:ascii="宋体" w:hAnsi="宋体" w:cs="宋体"/>
                <w:kern w:val="0"/>
                <w:sz w:val="20"/>
                <w:szCs w:val="22"/>
              </w:rPr>
            </w:pPr>
            <w:r>
              <w:rPr>
                <w:rFonts w:hint="eastAsia" w:ascii="宋体" w:hAnsi="宋体" w:cs="宋体"/>
                <w:kern w:val="0"/>
                <w:sz w:val="20"/>
                <w:szCs w:val="22"/>
              </w:rPr>
              <w:t>配置2颗Intel Xeon E5-2620六核处理器（2.0GHz）；</w:t>
            </w:r>
          </w:p>
          <w:p>
            <w:pPr>
              <w:jc w:val="left"/>
              <w:rPr>
                <w:rFonts w:ascii="宋体" w:hAnsi="宋体" w:cs="宋体"/>
                <w:kern w:val="0"/>
                <w:sz w:val="20"/>
                <w:szCs w:val="22"/>
              </w:rPr>
            </w:pPr>
            <w:r>
              <w:rPr>
                <w:rFonts w:hint="eastAsia" w:ascii="宋体" w:hAnsi="宋体" w:cs="宋体"/>
                <w:kern w:val="0"/>
                <w:sz w:val="20"/>
                <w:szCs w:val="22"/>
              </w:rPr>
              <w:t>当前配置不低于16GB（8*2G） DDR3内存，最大支持8块3.5英寸硬盘/16块2.5英寸硬盘；</w:t>
            </w:r>
          </w:p>
          <w:p>
            <w:pPr>
              <w:jc w:val="left"/>
              <w:rPr>
                <w:rFonts w:ascii="宋体" w:hAnsi="宋体" w:cs="宋体"/>
                <w:kern w:val="0"/>
                <w:sz w:val="20"/>
                <w:szCs w:val="22"/>
              </w:rPr>
            </w:pPr>
            <w:r>
              <w:rPr>
                <w:rFonts w:hint="eastAsia" w:ascii="宋体" w:hAnsi="宋体" w:cs="宋体"/>
                <w:kern w:val="0"/>
                <w:sz w:val="20"/>
                <w:szCs w:val="22"/>
              </w:rPr>
              <w:t>Intel四端口千兆网卡/双端口万兆网卡；</w:t>
            </w:r>
          </w:p>
          <w:p>
            <w:pPr>
              <w:jc w:val="left"/>
              <w:rPr>
                <w:rFonts w:ascii="宋体" w:hAnsi="宋体" w:cs="宋体"/>
                <w:kern w:val="0"/>
                <w:sz w:val="20"/>
                <w:szCs w:val="22"/>
              </w:rPr>
            </w:pPr>
            <w:r>
              <w:rPr>
                <w:rFonts w:hint="eastAsia" w:ascii="宋体" w:hAnsi="宋体" w:cs="宋体"/>
                <w:kern w:val="0"/>
                <w:sz w:val="20"/>
                <w:szCs w:val="22"/>
              </w:rPr>
              <w:t>当前配置≥16个内存插槽，最大可扩展至64个内存插槽，最大支持≥3TB内存。</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2</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30</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服务器操作系统</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CentOS 7.6。</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2</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31</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数据库软件</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Redis。</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32</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交换机</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千兆以太网交换机；</w:t>
            </w:r>
          </w:p>
          <w:p>
            <w:pPr>
              <w:jc w:val="left"/>
              <w:rPr>
                <w:rFonts w:ascii="宋体" w:hAnsi="宋体" w:cs="宋体"/>
                <w:kern w:val="0"/>
                <w:sz w:val="20"/>
                <w:szCs w:val="22"/>
              </w:rPr>
            </w:pPr>
            <w:r>
              <w:rPr>
                <w:rFonts w:hint="eastAsia" w:ascii="宋体" w:hAnsi="宋体" w:cs="宋体"/>
                <w:kern w:val="0"/>
                <w:sz w:val="20"/>
                <w:szCs w:val="22"/>
              </w:rPr>
              <w:t>传输速率 10/100/1000Mbps ；</w:t>
            </w:r>
          </w:p>
          <w:p>
            <w:pPr>
              <w:jc w:val="left"/>
              <w:rPr>
                <w:rFonts w:ascii="宋体" w:hAnsi="宋体" w:cs="宋体"/>
                <w:kern w:val="0"/>
                <w:sz w:val="20"/>
                <w:szCs w:val="22"/>
              </w:rPr>
            </w:pPr>
            <w:r>
              <w:rPr>
                <w:rFonts w:hint="eastAsia" w:ascii="宋体" w:hAnsi="宋体" w:cs="宋体"/>
                <w:kern w:val="0"/>
                <w:sz w:val="20"/>
                <w:szCs w:val="22"/>
              </w:rPr>
              <w:t>背板带宽 256Gbps 。</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33</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KVM切换器</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17"LCD KVM切换器；</w:t>
            </w:r>
          </w:p>
          <w:p>
            <w:pPr>
              <w:jc w:val="left"/>
              <w:rPr>
                <w:rFonts w:ascii="宋体" w:hAnsi="宋体" w:cs="宋体"/>
                <w:kern w:val="0"/>
                <w:sz w:val="20"/>
                <w:szCs w:val="22"/>
              </w:rPr>
            </w:pPr>
            <w:r>
              <w:rPr>
                <w:rFonts w:hint="eastAsia" w:ascii="宋体" w:hAnsi="宋体" w:cs="宋体"/>
                <w:kern w:val="0"/>
                <w:sz w:val="20"/>
                <w:szCs w:val="22"/>
              </w:rPr>
              <w:t>接口数：8口；</w:t>
            </w:r>
          </w:p>
          <w:p>
            <w:pPr>
              <w:jc w:val="left"/>
              <w:rPr>
                <w:rFonts w:ascii="宋体" w:hAnsi="宋体" w:cs="宋体"/>
                <w:kern w:val="0"/>
                <w:sz w:val="20"/>
                <w:szCs w:val="22"/>
              </w:rPr>
            </w:pPr>
            <w:r>
              <w:rPr>
                <w:rFonts w:hint="eastAsia" w:ascii="宋体" w:hAnsi="宋体" w:cs="宋体"/>
                <w:kern w:val="0"/>
                <w:sz w:val="20"/>
                <w:szCs w:val="22"/>
              </w:rPr>
              <w:t>输出接口：HDB15。</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34</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网闸</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内外网数据交换安全隔离网闸（含全部功能模块），2U机架式，6个10/100/1000M自适应电口，内外网具有独立的管理口、HA口（热备口）。</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35</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视频AI、GPU服务器</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CPU： Intel i7 7800x及以上；</w:t>
            </w:r>
          </w:p>
          <w:p>
            <w:pPr>
              <w:jc w:val="left"/>
              <w:rPr>
                <w:rFonts w:ascii="宋体" w:hAnsi="宋体" w:cs="宋体"/>
                <w:kern w:val="0"/>
                <w:sz w:val="20"/>
                <w:szCs w:val="22"/>
              </w:rPr>
            </w:pPr>
            <w:r>
              <w:rPr>
                <w:rFonts w:hint="eastAsia" w:ascii="宋体" w:hAnsi="宋体" w:cs="宋体"/>
                <w:kern w:val="0"/>
                <w:sz w:val="20"/>
                <w:szCs w:val="22"/>
              </w:rPr>
              <w:t>GPU： GTX1070*2及以上；</w:t>
            </w:r>
          </w:p>
          <w:p>
            <w:pPr>
              <w:jc w:val="left"/>
              <w:rPr>
                <w:rFonts w:ascii="宋体" w:hAnsi="宋体" w:cs="宋体"/>
                <w:kern w:val="0"/>
                <w:sz w:val="20"/>
                <w:szCs w:val="22"/>
              </w:rPr>
            </w:pPr>
            <w:r>
              <w:rPr>
                <w:rFonts w:hint="eastAsia" w:ascii="宋体" w:hAnsi="宋体" w:cs="宋体"/>
                <w:kern w:val="0"/>
                <w:sz w:val="20"/>
                <w:szCs w:val="22"/>
              </w:rPr>
              <w:t>硬盘：不小于500GBSSD+2TB*2 SAS；</w:t>
            </w:r>
          </w:p>
          <w:p>
            <w:pPr>
              <w:jc w:val="left"/>
              <w:rPr>
                <w:rFonts w:ascii="宋体" w:hAnsi="宋体" w:cs="宋体"/>
                <w:kern w:val="0"/>
                <w:sz w:val="20"/>
                <w:szCs w:val="22"/>
              </w:rPr>
            </w:pPr>
            <w:r>
              <w:rPr>
                <w:rFonts w:hint="eastAsia" w:ascii="宋体" w:hAnsi="宋体" w:cs="宋体"/>
                <w:kern w:val="0"/>
                <w:sz w:val="20"/>
                <w:szCs w:val="22"/>
              </w:rPr>
              <w:t>专用机箱；</w:t>
            </w:r>
          </w:p>
          <w:p>
            <w:pPr>
              <w:jc w:val="left"/>
              <w:rPr>
                <w:rFonts w:ascii="宋体" w:hAnsi="宋体" w:cs="宋体"/>
                <w:kern w:val="0"/>
                <w:sz w:val="20"/>
                <w:szCs w:val="22"/>
              </w:rPr>
            </w:pPr>
            <w:r>
              <w:rPr>
                <w:rFonts w:hint="eastAsia" w:ascii="宋体" w:hAnsi="宋体" w:cs="宋体"/>
                <w:kern w:val="0"/>
                <w:sz w:val="20"/>
                <w:szCs w:val="22"/>
              </w:rPr>
              <w:t>专用散热器；</w:t>
            </w:r>
          </w:p>
          <w:p>
            <w:pPr>
              <w:jc w:val="left"/>
              <w:rPr>
                <w:rFonts w:ascii="宋体" w:hAnsi="宋体" w:cs="宋体"/>
                <w:kern w:val="0"/>
                <w:sz w:val="20"/>
                <w:szCs w:val="22"/>
              </w:rPr>
            </w:pPr>
            <w:r>
              <w:rPr>
                <w:rFonts w:hint="eastAsia" w:ascii="宋体" w:hAnsi="宋体" w:cs="宋体"/>
                <w:kern w:val="0"/>
                <w:sz w:val="20"/>
                <w:szCs w:val="22"/>
              </w:rPr>
              <w:t>1610W电源。</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36</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200万红外高清半球型网络摄像机</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采用</w:t>
            </w:r>
            <w:r>
              <w:rPr>
                <w:rFonts w:hint="eastAsia" w:ascii="宋体" w:hAnsi="宋体" w:cs="宋体"/>
                <w:kern w:val="0"/>
                <w:sz w:val="20"/>
                <w:szCs w:val="22"/>
                <w:lang w:val="en-US" w:eastAsia="zh-CN"/>
              </w:rPr>
              <w:t>不低于200万像素</w:t>
            </w:r>
            <w:r>
              <w:rPr>
                <w:rFonts w:hint="eastAsia" w:ascii="宋体" w:hAnsi="宋体" w:cs="宋体"/>
                <w:kern w:val="0"/>
                <w:sz w:val="20"/>
                <w:szCs w:val="22"/>
              </w:rPr>
              <w:t>CMOS传感器；</w:t>
            </w:r>
          </w:p>
          <w:p>
            <w:pPr>
              <w:jc w:val="left"/>
              <w:rPr>
                <w:rFonts w:ascii="宋体" w:hAnsi="宋体" w:cs="宋体"/>
                <w:kern w:val="0"/>
                <w:sz w:val="20"/>
                <w:szCs w:val="22"/>
              </w:rPr>
            </w:pPr>
            <w:r>
              <w:rPr>
                <w:rFonts w:hint="eastAsia" w:ascii="宋体" w:hAnsi="宋体" w:cs="宋体"/>
                <w:kern w:val="0"/>
                <w:sz w:val="20"/>
                <w:szCs w:val="22"/>
              </w:rPr>
              <w:t>支持</w:t>
            </w:r>
            <w:r>
              <w:rPr>
                <w:rFonts w:hint="eastAsia" w:ascii="宋体" w:hAnsi="宋体" w:cs="宋体"/>
                <w:kern w:val="0"/>
                <w:sz w:val="20"/>
                <w:szCs w:val="22"/>
                <w:lang w:val="en-US" w:eastAsia="zh-CN"/>
              </w:rPr>
              <w:t>不低于</w:t>
            </w:r>
            <w:r>
              <w:rPr>
                <w:rFonts w:hint="eastAsia" w:ascii="宋体" w:hAnsi="宋体" w:cs="宋体"/>
                <w:kern w:val="0"/>
                <w:sz w:val="20"/>
                <w:szCs w:val="22"/>
              </w:rPr>
              <w:t>2.8-12mm电动变焦镜头；</w:t>
            </w:r>
          </w:p>
          <w:p>
            <w:pPr>
              <w:jc w:val="left"/>
              <w:rPr>
                <w:rFonts w:ascii="宋体" w:hAnsi="宋体" w:cs="宋体"/>
                <w:kern w:val="0"/>
                <w:sz w:val="20"/>
                <w:szCs w:val="22"/>
              </w:rPr>
            </w:pPr>
            <w:r>
              <w:rPr>
                <w:rFonts w:hint="eastAsia" w:ascii="宋体" w:hAnsi="宋体" w:cs="宋体"/>
                <w:kern w:val="0"/>
                <w:sz w:val="20"/>
                <w:szCs w:val="22"/>
              </w:rPr>
              <w:t>支持H.265/H.264视频编码算法；</w:t>
            </w:r>
          </w:p>
          <w:p>
            <w:pPr>
              <w:jc w:val="left"/>
              <w:rPr>
                <w:rFonts w:ascii="宋体" w:hAnsi="宋体" w:cs="宋体"/>
                <w:kern w:val="0"/>
                <w:sz w:val="20"/>
                <w:szCs w:val="22"/>
              </w:rPr>
            </w:pPr>
            <w:r>
              <w:rPr>
                <w:rFonts w:hint="eastAsia" w:ascii="宋体" w:hAnsi="宋体" w:cs="宋体"/>
                <w:kern w:val="0"/>
                <w:sz w:val="20"/>
                <w:szCs w:val="22"/>
              </w:rPr>
              <w:t>最大输出分辨率</w:t>
            </w:r>
            <w:r>
              <w:rPr>
                <w:rFonts w:hint="eastAsia" w:ascii="宋体" w:hAnsi="宋体" w:cs="宋体"/>
                <w:kern w:val="0"/>
                <w:sz w:val="20"/>
                <w:szCs w:val="22"/>
                <w:lang w:val="en-US" w:eastAsia="zh-CN"/>
              </w:rPr>
              <w:t>不低于</w:t>
            </w:r>
            <w:r>
              <w:rPr>
                <w:rFonts w:hint="eastAsia" w:ascii="宋体" w:hAnsi="宋体" w:cs="宋体"/>
                <w:kern w:val="0"/>
                <w:sz w:val="20"/>
                <w:szCs w:val="22"/>
              </w:rPr>
              <w:t>1920*1080@25fps</w:t>
            </w:r>
            <w:r>
              <w:rPr>
                <w:rFonts w:hint="eastAsia" w:ascii="宋体" w:hAnsi="宋体" w:cs="宋体"/>
                <w:kern w:val="0"/>
                <w:sz w:val="20"/>
                <w:szCs w:val="22"/>
                <w:lang w:val="en-US" w:eastAsia="zh-CN"/>
              </w:rPr>
              <w:t xml:space="preserve"> </w:t>
            </w:r>
            <w:r>
              <w:rPr>
                <w:rFonts w:hint="eastAsia" w:ascii="宋体" w:hAnsi="宋体" w:cs="宋体"/>
                <w:kern w:val="0"/>
                <w:sz w:val="20"/>
                <w:szCs w:val="22"/>
              </w:rPr>
              <w:t>30fps，支持三码流传输；</w:t>
            </w:r>
          </w:p>
          <w:p>
            <w:pPr>
              <w:jc w:val="left"/>
              <w:rPr>
                <w:rFonts w:ascii="宋体" w:hAnsi="宋体" w:cs="宋体"/>
                <w:kern w:val="0"/>
                <w:sz w:val="20"/>
                <w:szCs w:val="22"/>
              </w:rPr>
            </w:pPr>
            <w:r>
              <w:rPr>
                <w:rFonts w:hint="eastAsia" w:ascii="宋体" w:hAnsi="宋体" w:cs="宋体"/>
                <w:kern w:val="0"/>
                <w:sz w:val="20"/>
                <w:szCs w:val="22"/>
              </w:rPr>
              <w:t>支持真实宽动态，动态范围120dB，适合逆光环境；</w:t>
            </w:r>
          </w:p>
          <w:p>
            <w:pPr>
              <w:jc w:val="left"/>
              <w:rPr>
                <w:rFonts w:ascii="宋体" w:hAnsi="宋体" w:cs="宋体"/>
                <w:kern w:val="0"/>
                <w:sz w:val="20"/>
                <w:szCs w:val="22"/>
              </w:rPr>
            </w:pPr>
            <w:r>
              <w:rPr>
                <w:rFonts w:hint="eastAsia" w:ascii="宋体" w:hAnsi="宋体" w:cs="宋体"/>
                <w:kern w:val="0"/>
                <w:sz w:val="20"/>
                <w:szCs w:val="22"/>
              </w:rPr>
              <w:t>支持数字水印加密，防止数据被篡改；</w:t>
            </w:r>
          </w:p>
          <w:p>
            <w:pPr>
              <w:jc w:val="left"/>
              <w:rPr>
                <w:rFonts w:hint="eastAsia" w:ascii="宋体" w:hAnsi="宋体" w:eastAsia="宋体" w:cs="宋体"/>
                <w:kern w:val="0"/>
                <w:sz w:val="20"/>
                <w:szCs w:val="22"/>
                <w:lang w:eastAsia="zh-CN"/>
              </w:rPr>
            </w:pPr>
            <w:r>
              <w:rPr>
                <w:rFonts w:hint="eastAsia" w:ascii="宋体" w:hAnsi="宋体" w:cs="宋体"/>
                <w:kern w:val="0"/>
                <w:sz w:val="20"/>
                <w:szCs w:val="22"/>
              </w:rPr>
              <w:t>支持IR_CUT（红外滤片式自动切换）</w:t>
            </w:r>
            <w:r>
              <w:rPr>
                <w:rFonts w:hint="eastAsia" w:ascii="宋体" w:hAnsi="宋体" w:cs="宋体"/>
                <w:kern w:val="0"/>
                <w:sz w:val="20"/>
                <w:szCs w:val="22"/>
                <w:lang w:eastAsia="zh-CN"/>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4</w:t>
            </w:r>
          </w:p>
        </w:tc>
        <w:tc>
          <w:tcPr>
            <w:tcW w:w="308" w:type="dxa"/>
          </w:tcPr>
          <w:p>
            <w:pPr>
              <w:jc w:val="center"/>
              <w:rPr>
                <w:rFonts w:ascii="宋体" w:hAnsi="宋体" w:cs="宋体"/>
                <w:kern w:val="0"/>
                <w:sz w:val="20"/>
              </w:rPr>
            </w:pPr>
          </w:p>
        </w:tc>
      </w:tr>
    </w:tbl>
    <w:p>
      <w:pPr>
        <w:numPr>
          <w:ilvl w:val="0"/>
          <w:numId w:val="0"/>
        </w:numPr>
        <w:ind w:leftChars="0"/>
        <w:rPr>
          <w:rFonts w:hint="eastAsia"/>
          <w:sz w:val="32"/>
          <w:szCs w:val="32"/>
          <w:lang w:eastAsia="zh-CN"/>
        </w:rPr>
      </w:pPr>
      <w:r>
        <w:rPr>
          <w:rFonts w:hint="eastAsia"/>
          <w:sz w:val="32"/>
          <w:szCs w:val="32"/>
          <w:lang w:eastAsia="zh-CN"/>
        </w:rPr>
        <w:t>修改后：</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482"/>
        <w:gridCol w:w="2176"/>
        <w:gridCol w:w="4011"/>
        <w:gridCol w:w="595"/>
        <w:gridCol w:w="606"/>
        <w:gridCol w:w="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5"/>
            <w:noWrap/>
            <w:vAlign w:val="center"/>
          </w:tcPr>
          <w:p>
            <w:pPr>
              <w:jc w:val="left"/>
              <w:rPr>
                <w:rFonts w:ascii="宋体" w:hAnsi="宋体" w:cs="宋体"/>
                <w:b/>
                <w:bCs/>
                <w:kern w:val="0"/>
                <w:sz w:val="20"/>
              </w:rPr>
            </w:pPr>
            <w:r>
              <w:rPr>
                <w:rFonts w:hint="eastAsia" w:ascii="宋体" w:hAnsi="宋体" w:cs="宋体"/>
                <w:b/>
                <w:bCs/>
                <w:kern w:val="0"/>
                <w:sz w:val="20"/>
              </w:rPr>
              <w:t>六、监控指挥中心建设</w:t>
            </w:r>
          </w:p>
        </w:tc>
        <w:tc>
          <w:tcPr>
            <w:tcW w:w="606" w:type="dxa"/>
          </w:tcPr>
          <w:p>
            <w:pPr>
              <w:jc w:val="left"/>
              <w:rPr>
                <w:rFonts w:ascii="宋体" w:hAnsi="宋体" w:cs="宋体"/>
                <w:b/>
                <w:bCs/>
                <w:kern w:val="0"/>
                <w:sz w:val="20"/>
              </w:rPr>
            </w:pPr>
          </w:p>
        </w:tc>
        <w:tc>
          <w:tcPr>
            <w:tcW w:w="308" w:type="dxa"/>
          </w:tcPr>
          <w:p>
            <w:pPr>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w:t>
            </w:r>
          </w:p>
        </w:tc>
        <w:tc>
          <w:tcPr>
            <w:tcW w:w="1482" w:type="dxa"/>
            <w:vMerge w:val="restart"/>
            <w:noWrap/>
            <w:vAlign w:val="center"/>
          </w:tcPr>
          <w:p>
            <w:pPr>
              <w:jc w:val="left"/>
              <w:rPr>
                <w:rFonts w:ascii="宋体" w:hAnsi="宋体" w:cs="宋体"/>
                <w:kern w:val="0"/>
                <w:sz w:val="20"/>
              </w:rPr>
            </w:pPr>
            <w:r>
              <w:rPr>
                <w:rFonts w:hint="eastAsia" w:ascii="宋体" w:hAnsi="宋体" w:cs="宋体"/>
                <w:kern w:val="0"/>
                <w:sz w:val="20"/>
              </w:rPr>
              <w:t>大屏显示系统</w:t>
            </w:r>
          </w:p>
        </w:tc>
        <w:tc>
          <w:tcPr>
            <w:tcW w:w="2176" w:type="dxa"/>
            <w:noWrap/>
            <w:vAlign w:val="center"/>
          </w:tcPr>
          <w:p>
            <w:pPr>
              <w:pStyle w:val="10"/>
              <w:rPr>
                <w:rFonts w:ascii="宋体" w:hAnsi="宋体"/>
                <w:sz w:val="20"/>
              </w:rPr>
            </w:pPr>
            <w:r>
              <w:rPr>
                <w:rFonts w:hint="eastAsia" w:ascii="宋体" w:hAnsi="宋体"/>
              </w:rPr>
              <w:t>LED大屏</w:t>
            </w:r>
          </w:p>
        </w:tc>
        <w:tc>
          <w:tcPr>
            <w:tcW w:w="4011" w:type="dxa"/>
            <w:noWrap/>
            <w:vAlign w:val="bottom"/>
          </w:tcPr>
          <w:p>
            <w:pPr>
              <w:rPr>
                <w:rFonts w:hint="default" w:ascii="宋体" w:hAnsi="宋体" w:eastAsia="宋体" w:cs="宋体"/>
                <w:kern w:val="0"/>
                <w:sz w:val="20"/>
                <w:lang w:val="en-US" w:eastAsia="zh-CN"/>
              </w:rPr>
            </w:pPr>
            <w:r>
              <w:rPr>
                <w:rFonts w:hint="eastAsia" w:ascii="宋体" w:hAnsi="宋体" w:cs="宋体"/>
                <w:kern w:val="0"/>
                <w:sz w:val="20"/>
                <w:lang w:val="en-US" w:eastAsia="zh-CN"/>
              </w:rPr>
              <w:t>LED像素间距：不大于</w:t>
            </w:r>
            <w:r>
              <w:rPr>
                <w:rFonts w:hint="eastAsia" w:ascii="宋体" w:hAnsi="宋体" w:cs="宋体"/>
                <w:kern w:val="0"/>
                <w:sz w:val="20"/>
              </w:rPr>
              <w:t>1.575</w:t>
            </w:r>
            <w:r>
              <w:rPr>
                <w:rFonts w:hint="eastAsia" w:ascii="宋体" w:hAnsi="宋体" w:cs="宋体"/>
                <w:kern w:val="0"/>
                <w:sz w:val="20"/>
                <w:lang w:val="en-US" w:eastAsia="zh-CN"/>
              </w:rPr>
              <w:t>mm</w:t>
            </w:r>
          </w:p>
          <w:p>
            <w:pPr>
              <w:rPr>
                <w:rFonts w:hint="eastAsia" w:ascii="宋体" w:hAnsi="宋体" w:cs="宋体"/>
                <w:kern w:val="0"/>
                <w:sz w:val="20"/>
              </w:rPr>
            </w:pPr>
            <w:r>
              <w:rPr>
                <w:rFonts w:hint="eastAsia" w:ascii="宋体" w:hAnsi="宋体" w:cs="宋体"/>
                <w:kern w:val="0"/>
                <w:sz w:val="20"/>
              </w:rPr>
              <w:t>模组尺寸：</w:t>
            </w:r>
            <w:r>
              <w:rPr>
                <w:rFonts w:hint="eastAsia" w:ascii="宋体" w:hAnsi="宋体" w:cs="宋体"/>
                <w:kern w:val="0"/>
                <w:sz w:val="20"/>
                <w:lang w:val="en-US" w:eastAsia="zh-CN"/>
              </w:rPr>
              <w:t>不低于</w:t>
            </w:r>
            <w:r>
              <w:rPr>
                <w:rFonts w:hint="eastAsia" w:ascii="宋体" w:hAnsi="宋体" w:cs="宋体"/>
                <w:kern w:val="0"/>
                <w:sz w:val="20"/>
              </w:rPr>
              <w:t>302.4</w:t>
            </w:r>
            <w:r>
              <w:rPr>
                <w:rFonts w:hint="eastAsia" w:ascii="宋体" w:hAnsi="宋体" w:cs="宋体"/>
                <w:kern w:val="0"/>
                <w:sz w:val="20"/>
                <w:lang w:val="en-US" w:eastAsia="zh-CN"/>
              </w:rPr>
              <w:t>*</w:t>
            </w:r>
            <w:r>
              <w:rPr>
                <w:rFonts w:hint="eastAsia" w:ascii="宋体" w:hAnsi="宋体" w:cs="宋体"/>
                <w:kern w:val="0"/>
                <w:sz w:val="20"/>
              </w:rPr>
              <w:t>170.1(mm)</w:t>
            </w:r>
          </w:p>
          <w:p>
            <w:pPr>
              <w:rPr>
                <w:rFonts w:hint="eastAsia" w:ascii="宋体" w:hAnsi="宋体" w:eastAsia="宋体" w:cs="宋体"/>
                <w:kern w:val="0"/>
                <w:sz w:val="20"/>
                <w:lang w:val="en-US" w:eastAsia="zh-CN"/>
              </w:rPr>
            </w:pPr>
            <w:r>
              <w:rPr>
                <w:rFonts w:hint="eastAsia" w:ascii="宋体" w:hAnsi="宋体" w:cs="宋体"/>
                <w:kern w:val="0"/>
                <w:sz w:val="20"/>
              </w:rPr>
              <w:t>模组分辨率：</w:t>
            </w:r>
            <w:r>
              <w:rPr>
                <w:rFonts w:hint="eastAsia" w:ascii="宋体" w:hAnsi="宋体" w:cs="宋体"/>
                <w:kern w:val="0"/>
                <w:sz w:val="20"/>
                <w:lang w:val="en-US" w:eastAsia="zh-CN"/>
              </w:rPr>
              <w:t>不低于</w:t>
            </w:r>
            <w:r>
              <w:rPr>
                <w:rFonts w:hint="eastAsia" w:ascii="宋体" w:hAnsi="宋体" w:cs="宋体"/>
                <w:kern w:val="0"/>
                <w:sz w:val="20"/>
              </w:rPr>
              <w:t>192</w:t>
            </w:r>
            <w:r>
              <w:rPr>
                <w:rFonts w:hint="eastAsia" w:ascii="宋体" w:hAnsi="宋体" w:cs="宋体"/>
                <w:kern w:val="0"/>
                <w:sz w:val="20"/>
                <w:lang w:val="en-US" w:eastAsia="zh-CN"/>
              </w:rPr>
              <w:t>0*</w:t>
            </w:r>
            <w:r>
              <w:rPr>
                <w:rFonts w:hint="eastAsia" w:ascii="宋体" w:hAnsi="宋体" w:cs="宋体"/>
                <w:kern w:val="0"/>
                <w:sz w:val="20"/>
              </w:rPr>
              <w:t>108</w:t>
            </w:r>
            <w:r>
              <w:rPr>
                <w:rFonts w:hint="eastAsia" w:ascii="宋体" w:hAnsi="宋体" w:cs="宋体"/>
                <w:kern w:val="0"/>
                <w:sz w:val="20"/>
                <w:lang w:val="en-US" w:eastAsia="zh-CN"/>
              </w:rPr>
              <w:t>0</w:t>
            </w:r>
          </w:p>
          <w:p>
            <w:pPr>
              <w:rPr>
                <w:rFonts w:hint="eastAsia" w:ascii="宋体" w:hAnsi="宋体" w:cs="宋体"/>
                <w:kern w:val="0"/>
                <w:sz w:val="20"/>
              </w:rPr>
            </w:pPr>
            <w:r>
              <w:rPr>
                <w:rFonts w:hint="eastAsia" w:ascii="宋体" w:hAnsi="宋体" w:cs="宋体"/>
                <w:kern w:val="0"/>
                <w:sz w:val="20"/>
              </w:rPr>
              <w:t>箱体尺寸：</w:t>
            </w:r>
            <w:r>
              <w:rPr>
                <w:rFonts w:hint="eastAsia" w:ascii="宋体" w:hAnsi="宋体" w:cs="宋体"/>
                <w:kern w:val="0"/>
                <w:sz w:val="20"/>
                <w:lang w:val="en-US" w:eastAsia="zh-CN"/>
              </w:rPr>
              <w:t>不大于</w:t>
            </w:r>
            <w:r>
              <w:rPr>
                <w:rFonts w:hint="eastAsia" w:ascii="宋体" w:hAnsi="宋体" w:cs="宋体"/>
                <w:kern w:val="0"/>
                <w:sz w:val="20"/>
              </w:rPr>
              <w:t>604.8</w:t>
            </w:r>
            <w:r>
              <w:rPr>
                <w:rFonts w:hint="eastAsia" w:ascii="宋体" w:hAnsi="宋体" w:cs="宋体"/>
                <w:kern w:val="0"/>
                <w:sz w:val="20"/>
                <w:lang w:val="en-US" w:eastAsia="zh-CN"/>
              </w:rPr>
              <w:t>*</w:t>
            </w:r>
            <w:r>
              <w:rPr>
                <w:rFonts w:hint="eastAsia" w:ascii="宋体" w:hAnsi="宋体" w:cs="宋体"/>
                <w:kern w:val="0"/>
                <w:sz w:val="20"/>
              </w:rPr>
              <w:t>340.2(mm)</w:t>
            </w:r>
          </w:p>
          <w:p>
            <w:pPr>
              <w:rPr>
                <w:rFonts w:hint="eastAsia" w:ascii="宋体" w:hAnsi="宋体" w:cs="宋体"/>
                <w:kern w:val="0"/>
                <w:sz w:val="20"/>
              </w:rPr>
            </w:pPr>
            <w:r>
              <w:rPr>
                <w:rFonts w:hint="eastAsia" w:ascii="宋体" w:hAnsi="宋体" w:cs="宋体"/>
                <w:kern w:val="0"/>
                <w:sz w:val="20"/>
              </w:rPr>
              <w:t>箱体分辨率</w:t>
            </w:r>
            <w:r>
              <w:rPr>
                <w:rFonts w:hint="eastAsia" w:ascii="宋体" w:hAnsi="宋体" w:cs="宋体"/>
                <w:kern w:val="0"/>
                <w:sz w:val="20"/>
                <w:lang w:eastAsia="zh-CN"/>
              </w:rPr>
              <w:t>：</w:t>
            </w:r>
            <w:r>
              <w:rPr>
                <w:rFonts w:hint="eastAsia" w:ascii="宋体" w:hAnsi="宋体" w:cs="宋体"/>
                <w:kern w:val="0"/>
                <w:sz w:val="20"/>
                <w:lang w:val="en-US" w:eastAsia="zh-CN"/>
              </w:rPr>
              <w:t>不低于</w:t>
            </w:r>
            <w:r>
              <w:rPr>
                <w:rFonts w:hint="eastAsia" w:ascii="宋体" w:hAnsi="宋体" w:cs="宋体"/>
                <w:kern w:val="0"/>
                <w:sz w:val="20"/>
              </w:rPr>
              <w:t>384</w:t>
            </w:r>
            <w:r>
              <w:rPr>
                <w:rFonts w:hint="eastAsia" w:ascii="宋体" w:hAnsi="宋体" w:cs="宋体"/>
                <w:kern w:val="0"/>
                <w:sz w:val="20"/>
                <w:lang w:val="en-US" w:eastAsia="zh-CN"/>
              </w:rPr>
              <w:t>*</w:t>
            </w:r>
            <w:r>
              <w:rPr>
                <w:rFonts w:hint="eastAsia" w:ascii="宋体" w:hAnsi="宋体" w:cs="宋体"/>
                <w:kern w:val="0"/>
                <w:sz w:val="20"/>
              </w:rPr>
              <w:t>216</w:t>
            </w:r>
          </w:p>
          <w:p>
            <w:pPr>
              <w:rPr>
                <w:rFonts w:hint="eastAsia" w:ascii="宋体" w:hAnsi="宋体" w:cs="宋体"/>
                <w:kern w:val="0"/>
                <w:sz w:val="20"/>
              </w:rPr>
            </w:pPr>
            <w:r>
              <w:rPr>
                <w:rFonts w:hint="eastAsia" w:ascii="宋体" w:hAnsi="宋体" w:cs="宋体"/>
                <w:kern w:val="0"/>
                <w:sz w:val="20"/>
              </w:rPr>
              <w:t>显示尺寸</w:t>
            </w:r>
            <w:r>
              <w:rPr>
                <w:rFonts w:hint="eastAsia" w:ascii="宋体" w:hAnsi="宋体" w:cs="宋体"/>
                <w:kern w:val="0"/>
                <w:sz w:val="20"/>
                <w:lang w:eastAsia="zh-CN"/>
              </w:rPr>
              <w:t>：</w:t>
            </w:r>
            <w:r>
              <w:rPr>
                <w:rFonts w:hint="eastAsia" w:ascii="宋体" w:hAnsi="宋体" w:cs="宋体"/>
                <w:kern w:val="0"/>
                <w:sz w:val="20"/>
                <w:lang w:val="en-US" w:eastAsia="zh-CN"/>
              </w:rPr>
              <w:t>不低于</w:t>
            </w:r>
            <w:r>
              <w:rPr>
                <w:rFonts w:hint="eastAsia" w:ascii="宋体" w:hAnsi="宋体" w:cs="宋体"/>
                <w:kern w:val="0"/>
                <w:sz w:val="20"/>
              </w:rPr>
              <w:t>7.2576m</w:t>
            </w:r>
            <w:r>
              <w:rPr>
                <w:rFonts w:hint="eastAsia" w:ascii="宋体" w:hAnsi="宋体" w:cs="宋体"/>
                <w:kern w:val="0"/>
                <w:sz w:val="20"/>
                <w:lang w:val="en-US" w:eastAsia="zh-CN"/>
              </w:rPr>
              <w:t>*</w:t>
            </w:r>
            <w:r>
              <w:rPr>
                <w:rFonts w:hint="eastAsia" w:ascii="宋体" w:hAnsi="宋体" w:cs="宋体"/>
                <w:kern w:val="0"/>
                <w:sz w:val="20"/>
              </w:rPr>
              <w:t>4.0824m</w:t>
            </w:r>
          </w:p>
          <w:p>
            <w:pPr>
              <w:rPr>
                <w:rFonts w:hint="eastAsia" w:ascii="宋体" w:hAnsi="宋体" w:cs="宋体"/>
                <w:kern w:val="0"/>
                <w:sz w:val="20"/>
              </w:rPr>
            </w:pPr>
            <w:r>
              <w:rPr>
                <w:rFonts w:hint="eastAsia" w:ascii="宋体" w:hAnsi="宋体" w:cs="宋体"/>
                <w:kern w:val="0"/>
                <w:sz w:val="20"/>
              </w:rPr>
              <w:t>显示分辨率</w:t>
            </w:r>
            <w:r>
              <w:rPr>
                <w:rFonts w:hint="eastAsia" w:ascii="宋体" w:hAnsi="宋体" w:cs="宋体"/>
                <w:kern w:val="0"/>
                <w:sz w:val="20"/>
                <w:lang w:eastAsia="zh-CN"/>
              </w:rPr>
              <w:t>：</w:t>
            </w:r>
            <w:r>
              <w:rPr>
                <w:rFonts w:hint="eastAsia" w:ascii="宋体" w:hAnsi="宋体" w:cs="宋体"/>
                <w:kern w:val="0"/>
                <w:sz w:val="20"/>
                <w:lang w:val="en-US" w:eastAsia="zh-CN"/>
              </w:rPr>
              <w:t>不低于</w:t>
            </w:r>
            <w:r>
              <w:rPr>
                <w:rFonts w:hint="eastAsia" w:ascii="宋体" w:hAnsi="宋体" w:cs="宋体"/>
                <w:kern w:val="0"/>
                <w:sz w:val="20"/>
              </w:rPr>
              <w:t>4608 点*2592 点</w:t>
            </w:r>
          </w:p>
          <w:p>
            <w:pPr>
              <w:rPr>
                <w:rFonts w:hint="eastAsia" w:ascii="宋体" w:hAnsi="宋体" w:eastAsia="宋体" w:cs="宋体"/>
                <w:kern w:val="0"/>
                <w:sz w:val="20"/>
                <w:lang w:val="en-US" w:eastAsia="zh-CN"/>
              </w:rPr>
            </w:pPr>
            <w:r>
              <w:rPr>
                <w:rFonts w:hint="eastAsia" w:ascii="宋体" w:hAnsi="宋体" w:cs="宋体"/>
                <w:kern w:val="0"/>
                <w:sz w:val="20"/>
              </w:rPr>
              <w:t>含边框尺寸为7.3576m*4.1824m=30.7724 ㎡</w:t>
            </w:r>
          </w:p>
        </w:tc>
        <w:tc>
          <w:tcPr>
            <w:tcW w:w="595" w:type="dxa"/>
            <w:noWrap/>
            <w:vAlign w:val="center"/>
          </w:tcPr>
          <w:p>
            <w:pPr>
              <w:jc w:val="center"/>
              <w:rPr>
                <w:rFonts w:hint="default" w:ascii="宋体" w:hAnsi="宋体" w:eastAsia="宋体" w:cs="宋体"/>
                <w:kern w:val="0"/>
                <w:sz w:val="20"/>
                <w:lang w:val="en-US" w:eastAsia="zh-CN"/>
              </w:rPr>
            </w:pPr>
            <w:r>
              <w:rPr>
                <w:rFonts w:hint="eastAsia" w:ascii="宋体" w:hAnsi="宋体" w:cs="宋体"/>
                <w:kern w:val="0"/>
                <w:sz w:val="20"/>
                <w:lang w:val="en-US" w:eastAsia="zh-CN"/>
              </w:rPr>
              <w:t>m</w:t>
            </w:r>
            <w:r>
              <w:rPr>
                <w:rFonts w:hint="eastAsia" w:ascii="宋体" w:hAnsi="宋体" w:cs="宋体"/>
                <w:kern w:val="0"/>
                <w:sz w:val="20"/>
                <w:vertAlign w:val="superscript"/>
                <w:lang w:val="en-US" w:eastAsia="zh-CN"/>
              </w:rPr>
              <w:t>2</w:t>
            </w:r>
          </w:p>
        </w:tc>
        <w:tc>
          <w:tcPr>
            <w:tcW w:w="606" w:type="dxa"/>
            <w:vAlign w:val="center"/>
          </w:tcPr>
          <w:p>
            <w:pPr>
              <w:jc w:val="center"/>
              <w:rPr>
                <w:rFonts w:hint="default" w:ascii="宋体" w:hAnsi="宋体" w:eastAsia="宋体" w:cs="宋体"/>
                <w:kern w:val="0"/>
                <w:sz w:val="20"/>
                <w:lang w:val="en-US" w:eastAsia="zh-CN"/>
              </w:rPr>
            </w:pPr>
            <w:r>
              <w:rPr>
                <w:rFonts w:hint="eastAsia" w:ascii="宋体" w:hAnsi="宋体" w:cs="宋体"/>
                <w:kern w:val="0"/>
                <w:sz w:val="20"/>
                <w:lang w:val="en-US" w:eastAsia="zh-CN"/>
              </w:rPr>
              <w:t>29.628</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w:t>
            </w:r>
          </w:p>
        </w:tc>
        <w:tc>
          <w:tcPr>
            <w:tcW w:w="1482" w:type="dxa"/>
            <w:vMerge w:val="continue"/>
            <w:vAlign w:val="center"/>
          </w:tcPr>
          <w:p>
            <w:pPr>
              <w:jc w:val="left"/>
              <w:rPr>
                <w:rFonts w:ascii="宋体" w:hAnsi="宋体" w:cs="宋体"/>
                <w:kern w:val="0"/>
                <w:sz w:val="20"/>
              </w:rPr>
            </w:pPr>
          </w:p>
        </w:tc>
        <w:tc>
          <w:tcPr>
            <w:tcW w:w="2176" w:type="dxa"/>
            <w:noWrap/>
            <w:vAlign w:val="center"/>
          </w:tcPr>
          <w:p>
            <w:pPr>
              <w:pStyle w:val="10"/>
              <w:rPr>
                <w:rFonts w:ascii="宋体" w:hAnsi="宋体"/>
                <w:sz w:val="20"/>
              </w:rPr>
            </w:pPr>
            <w:r>
              <w:rPr>
                <w:rFonts w:hint="eastAsia" w:ascii="宋体" w:hAnsi="宋体"/>
              </w:rPr>
              <w:t>配套软件</w:t>
            </w:r>
          </w:p>
        </w:tc>
        <w:tc>
          <w:tcPr>
            <w:tcW w:w="4011" w:type="dxa"/>
            <w:noWrap/>
            <w:vAlign w:val="center"/>
          </w:tcPr>
          <w:p>
            <w:pPr>
              <w:rPr>
                <w:rFonts w:ascii="宋体" w:hAnsi="宋体" w:cs="宋体"/>
                <w:kern w:val="0"/>
                <w:sz w:val="20"/>
              </w:rPr>
            </w:pPr>
            <w:r>
              <w:rPr>
                <w:rFonts w:hint="eastAsia" w:ascii="宋体" w:hAnsi="宋体" w:cs="宋体"/>
                <w:kern w:val="0"/>
                <w:sz w:val="20"/>
              </w:rPr>
              <w:t>一套节目制作、播放的软件；使用方便,简单易学、性能稳定、可靠性高。</w:t>
            </w:r>
          </w:p>
        </w:tc>
        <w:tc>
          <w:tcPr>
            <w:tcW w:w="595" w:type="dxa"/>
            <w:noWrap/>
            <w:vAlign w:val="center"/>
          </w:tcPr>
          <w:p>
            <w:pPr>
              <w:pStyle w:val="10"/>
              <w:rPr>
                <w:rFonts w:ascii="宋体" w:hAnsi="宋体"/>
                <w:sz w:val="20"/>
              </w:rPr>
            </w:pPr>
            <w:r>
              <w:rPr>
                <w:rFonts w:hint="eastAsia" w:ascii="宋体" w:hAnsi="宋体"/>
              </w:rPr>
              <w:t>套</w:t>
            </w:r>
          </w:p>
        </w:tc>
        <w:tc>
          <w:tcPr>
            <w:tcW w:w="606" w:type="dxa"/>
            <w:vAlign w:val="center"/>
          </w:tcPr>
          <w:p>
            <w:pPr>
              <w:jc w:val="center"/>
              <w:rPr>
                <w:sz w:val="22"/>
              </w:rPr>
            </w:pPr>
            <w:r>
              <w:rPr>
                <w:rFonts w:hint="eastAsia"/>
                <w:sz w:val="22"/>
              </w:rPr>
              <w:t>1</w:t>
            </w:r>
          </w:p>
        </w:tc>
        <w:tc>
          <w:tcPr>
            <w:tcW w:w="308" w:type="dxa"/>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3</w:t>
            </w:r>
          </w:p>
        </w:tc>
        <w:tc>
          <w:tcPr>
            <w:tcW w:w="1482" w:type="dxa"/>
            <w:vMerge w:val="continue"/>
            <w:vAlign w:val="center"/>
          </w:tcPr>
          <w:p>
            <w:pPr>
              <w:jc w:val="left"/>
              <w:rPr>
                <w:rFonts w:ascii="宋体" w:hAnsi="宋体" w:cs="宋体"/>
                <w:kern w:val="0"/>
                <w:sz w:val="20"/>
              </w:rPr>
            </w:pPr>
          </w:p>
        </w:tc>
        <w:tc>
          <w:tcPr>
            <w:tcW w:w="2176" w:type="dxa"/>
            <w:noWrap/>
            <w:vAlign w:val="center"/>
          </w:tcPr>
          <w:p>
            <w:pPr>
              <w:pStyle w:val="10"/>
              <w:rPr>
                <w:rFonts w:ascii="宋体" w:hAnsi="宋体"/>
                <w:sz w:val="20"/>
              </w:rPr>
            </w:pPr>
            <w:r>
              <w:rPr>
                <w:rFonts w:hint="eastAsia" w:ascii="宋体" w:hAnsi="宋体"/>
              </w:rPr>
              <w:t>控制系统</w:t>
            </w:r>
          </w:p>
        </w:tc>
        <w:tc>
          <w:tcPr>
            <w:tcW w:w="4011" w:type="dxa"/>
            <w:noWrap/>
            <w:vAlign w:val="center"/>
          </w:tcPr>
          <w:p>
            <w:pPr>
              <w:rPr>
                <w:rFonts w:hint="eastAsia" w:ascii="宋体" w:hAnsi="宋体" w:cs="宋体"/>
                <w:kern w:val="0"/>
                <w:sz w:val="20"/>
              </w:rPr>
            </w:pPr>
            <w:r>
              <w:rPr>
                <w:rFonts w:hint="eastAsia" w:ascii="宋体" w:hAnsi="宋体" w:cs="宋体"/>
                <w:kern w:val="0"/>
                <w:sz w:val="20"/>
              </w:rPr>
              <w:t>标准 1u 机箱设计，独立供电；</w:t>
            </w:r>
          </w:p>
          <w:p>
            <w:pPr>
              <w:rPr>
                <w:rFonts w:hint="eastAsia" w:ascii="宋体" w:hAnsi="宋体" w:cs="宋体"/>
                <w:kern w:val="0"/>
                <w:sz w:val="20"/>
              </w:rPr>
            </w:pPr>
            <w:r>
              <w:rPr>
                <w:rFonts w:hint="eastAsia" w:ascii="宋体" w:hAnsi="宋体" w:cs="宋体"/>
                <w:kern w:val="0"/>
                <w:sz w:val="20"/>
              </w:rPr>
              <w:t>高位阶视频源带载能力：</w:t>
            </w:r>
            <w:r>
              <w:rPr>
                <w:rFonts w:hint="eastAsia" w:ascii="宋体" w:hAnsi="宋体" w:cs="宋体"/>
                <w:kern w:val="0"/>
                <w:sz w:val="20"/>
                <w:lang w:val="en-US" w:eastAsia="zh-CN"/>
              </w:rPr>
              <w:t>不低于</w:t>
            </w:r>
            <w:r>
              <w:rPr>
                <w:rFonts w:hint="eastAsia" w:ascii="宋体" w:hAnsi="宋体" w:cs="宋体"/>
                <w:kern w:val="0"/>
                <w:sz w:val="20"/>
              </w:rPr>
              <w:t>1440×900。支持视频格式：RGB，YCrCb4:2:2，YCrCb4:4:4。</w:t>
            </w:r>
          </w:p>
          <w:p>
            <w:pPr>
              <w:rPr>
                <w:rFonts w:ascii="宋体" w:hAnsi="宋体" w:cs="宋体"/>
                <w:kern w:val="0"/>
                <w:sz w:val="20"/>
              </w:rPr>
            </w:pPr>
            <w:r>
              <w:rPr>
                <w:rFonts w:hint="eastAsia" w:ascii="宋体" w:hAnsi="宋体" w:cs="宋体"/>
                <w:kern w:val="0"/>
                <w:sz w:val="20"/>
              </w:rPr>
              <w:t>支持高位阶视频输入，12bit/10bit/8bit 灰阶处理与显示。</w:t>
            </w:r>
          </w:p>
        </w:tc>
        <w:tc>
          <w:tcPr>
            <w:tcW w:w="595" w:type="dxa"/>
            <w:noWrap/>
            <w:vAlign w:val="center"/>
          </w:tcPr>
          <w:p>
            <w:pPr>
              <w:pStyle w:val="10"/>
              <w:rPr>
                <w:rFonts w:ascii="宋体" w:hAnsi="宋体"/>
                <w:sz w:val="20"/>
              </w:rPr>
            </w:pPr>
            <w:r>
              <w:rPr>
                <w:rFonts w:hint="eastAsia" w:ascii="宋体" w:hAnsi="宋体"/>
              </w:rPr>
              <w:t>套</w:t>
            </w:r>
          </w:p>
        </w:tc>
        <w:tc>
          <w:tcPr>
            <w:tcW w:w="606" w:type="dxa"/>
            <w:vAlign w:val="center"/>
          </w:tcPr>
          <w:p>
            <w:pPr>
              <w:jc w:val="center"/>
              <w:rPr>
                <w:sz w:val="22"/>
              </w:rPr>
            </w:pPr>
            <w:r>
              <w:rPr>
                <w:rFonts w:hint="eastAsia"/>
                <w:sz w:val="22"/>
              </w:rPr>
              <w:t>10</w:t>
            </w:r>
          </w:p>
        </w:tc>
        <w:tc>
          <w:tcPr>
            <w:tcW w:w="308" w:type="dxa"/>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4</w:t>
            </w:r>
          </w:p>
        </w:tc>
        <w:tc>
          <w:tcPr>
            <w:tcW w:w="1482" w:type="dxa"/>
            <w:vMerge w:val="continue"/>
            <w:vAlign w:val="center"/>
          </w:tcPr>
          <w:p>
            <w:pPr>
              <w:jc w:val="left"/>
              <w:rPr>
                <w:rFonts w:ascii="宋体" w:hAnsi="宋体" w:cs="宋体"/>
                <w:kern w:val="0"/>
                <w:sz w:val="20"/>
              </w:rPr>
            </w:pPr>
          </w:p>
        </w:tc>
        <w:tc>
          <w:tcPr>
            <w:tcW w:w="2176" w:type="dxa"/>
            <w:noWrap/>
            <w:vAlign w:val="center"/>
          </w:tcPr>
          <w:p>
            <w:pPr>
              <w:pStyle w:val="10"/>
              <w:rPr>
                <w:rFonts w:ascii="宋体" w:hAnsi="宋体"/>
                <w:sz w:val="20"/>
              </w:rPr>
            </w:pPr>
            <w:r>
              <w:rPr>
                <w:rFonts w:hint="eastAsia" w:ascii="宋体" w:hAnsi="宋体"/>
              </w:rPr>
              <w:t>拼接控制器</w:t>
            </w:r>
          </w:p>
        </w:tc>
        <w:tc>
          <w:tcPr>
            <w:tcW w:w="4011" w:type="dxa"/>
            <w:noWrap/>
            <w:vAlign w:val="center"/>
          </w:tcPr>
          <w:p>
            <w:pPr>
              <w:jc w:val="left"/>
              <w:rPr>
                <w:rFonts w:ascii="宋体" w:hAnsi="宋体" w:cs="宋体"/>
                <w:kern w:val="0"/>
                <w:sz w:val="20"/>
              </w:rPr>
            </w:pPr>
            <w:r>
              <w:rPr>
                <w:rFonts w:hint="eastAsia" w:ascii="宋体" w:hAnsi="宋体" w:cs="宋体"/>
                <w:kern w:val="0"/>
                <w:sz w:val="20"/>
              </w:rPr>
              <w:t>支持DVI、HDMI、SDI、DP、YPbPr、VGA、CVBS、4K HDMI、HDBaseT、4K HDBaseT、等常见输出信号；模块化设计，包括输入卡、输出卡、切换卡、控制卡、风扇、电源等都是模块化的设计，支持热插拔，更换时不影响其他模块的正常运行，方便以后升级维护等。</w:t>
            </w:r>
          </w:p>
        </w:tc>
        <w:tc>
          <w:tcPr>
            <w:tcW w:w="595" w:type="dxa"/>
            <w:noWrap/>
            <w:vAlign w:val="center"/>
          </w:tcPr>
          <w:p>
            <w:pPr>
              <w:pStyle w:val="10"/>
              <w:rPr>
                <w:rFonts w:ascii="宋体" w:hAnsi="宋体"/>
                <w:sz w:val="20"/>
              </w:rPr>
            </w:pPr>
            <w:r>
              <w:rPr>
                <w:rFonts w:hint="eastAsia" w:ascii="宋体" w:hAnsi="宋体"/>
              </w:rPr>
              <w:t>台</w:t>
            </w:r>
          </w:p>
        </w:tc>
        <w:tc>
          <w:tcPr>
            <w:tcW w:w="606" w:type="dxa"/>
            <w:vAlign w:val="center"/>
          </w:tcPr>
          <w:p>
            <w:pPr>
              <w:jc w:val="center"/>
              <w:rPr>
                <w:sz w:val="22"/>
              </w:rPr>
            </w:pPr>
            <w:r>
              <w:rPr>
                <w:rFonts w:hint="eastAsia"/>
                <w:sz w:val="22"/>
              </w:rPr>
              <w:t>1</w:t>
            </w:r>
          </w:p>
        </w:tc>
        <w:tc>
          <w:tcPr>
            <w:tcW w:w="308" w:type="dxa"/>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5</w:t>
            </w:r>
          </w:p>
        </w:tc>
        <w:tc>
          <w:tcPr>
            <w:tcW w:w="1482" w:type="dxa"/>
            <w:vMerge w:val="continue"/>
            <w:vAlign w:val="center"/>
          </w:tcPr>
          <w:p>
            <w:pPr>
              <w:jc w:val="left"/>
              <w:rPr>
                <w:rFonts w:ascii="宋体" w:hAnsi="宋体" w:cs="宋体"/>
                <w:kern w:val="0"/>
                <w:sz w:val="20"/>
              </w:rPr>
            </w:pPr>
          </w:p>
        </w:tc>
        <w:tc>
          <w:tcPr>
            <w:tcW w:w="2176" w:type="dxa"/>
            <w:noWrap/>
            <w:vAlign w:val="center"/>
          </w:tcPr>
          <w:p>
            <w:pPr>
              <w:pStyle w:val="10"/>
              <w:rPr>
                <w:rFonts w:ascii="宋体" w:hAnsi="宋体"/>
                <w:sz w:val="20"/>
              </w:rPr>
            </w:pPr>
            <w:r>
              <w:rPr>
                <w:rFonts w:hint="eastAsia" w:ascii="宋体" w:hAnsi="宋体"/>
              </w:rPr>
              <w:t>钢结构</w:t>
            </w:r>
          </w:p>
        </w:tc>
        <w:tc>
          <w:tcPr>
            <w:tcW w:w="4011" w:type="dxa"/>
            <w:noWrap/>
            <w:vAlign w:val="center"/>
          </w:tcPr>
          <w:p>
            <w:pPr>
              <w:rPr>
                <w:rFonts w:hint="default" w:ascii="宋体" w:hAnsi="宋体" w:eastAsia="宋体" w:cs="宋体"/>
                <w:kern w:val="0"/>
                <w:sz w:val="20"/>
                <w:lang w:val="en-US" w:eastAsia="zh-CN"/>
              </w:rPr>
            </w:pPr>
            <w:r>
              <w:rPr>
                <w:rFonts w:hint="eastAsia" w:ascii="宋体" w:hAnsi="宋体" w:cs="宋体"/>
                <w:kern w:val="0"/>
                <w:sz w:val="20"/>
              </w:rPr>
              <w:t>现场定制+型材/含施工、含调试；钢结构关键连接部分采用高强镙栓结构；需要符合国家标准。</w:t>
            </w:r>
            <w:r>
              <w:rPr>
                <w:rFonts w:hint="eastAsia" w:ascii="宋体" w:hAnsi="宋体" w:cs="宋体"/>
                <w:kern w:val="0"/>
                <w:sz w:val="20"/>
                <w:lang w:val="en-US" w:eastAsia="zh-CN"/>
              </w:rPr>
              <w:t>定制尺寸不低于：</w:t>
            </w:r>
            <w:r>
              <w:rPr>
                <w:rFonts w:hint="eastAsia" w:ascii="宋体" w:hAnsi="宋体" w:cs="宋体"/>
                <w:kern w:val="0"/>
                <w:sz w:val="20"/>
              </w:rPr>
              <w:t>30.7724 ㎡</w:t>
            </w:r>
          </w:p>
        </w:tc>
        <w:tc>
          <w:tcPr>
            <w:tcW w:w="595" w:type="dxa"/>
            <w:noWrap/>
            <w:vAlign w:val="center"/>
          </w:tcPr>
          <w:p>
            <w:pPr>
              <w:pStyle w:val="10"/>
              <w:rPr>
                <w:rFonts w:hint="default" w:ascii="宋体" w:hAnsi="宋体" w:eastAsia="宋体"/>
                <w:sz w:val="20"/>
                <w:lang w:val="en-US" w:eastAsia="zh-CN"/>
              </w:rPr>
            </w:pPr>
            <w:r>
              <w:rPr>
                <w:rFonts w:hint="eastAsia" w:ascii="宋体" w:hAnsi="宋体"/>
                <w:sz w:val="20"/>
                <w:lang w:val="en-US" w:eastAsia="zh-CN"/>
              </w:rPr>
              <w:t>m</w:t>
            </w:r>
            <w:r>
              <w:rPr>
                <w:rFonts w:hint="eastAsia" w:ascii="宋体" w:hAnsi="宋体"/>
                <w:sz w:val="20"/>
                <w:vertAlign w:val="superscript"/>
                <w:lang w:val="en-US" w:eastAsia="zh-CN"/>
              </w:rPr>
              <w:t>2</w:t>
            </w:r>
          </w:p>
        </w:tc>
        <w:tc>
          <w:tcPr>
            <w:tcW w:w="606" w:type="dxa"/>
            <w:vAlign w:val="center"/>
          </w:tcPr>
          <w:p>
            <w:pPr>
              <w:jc w:val="center"/>
              <w:rPr>
                <w:rFonts w:hint="eastAsia" w:eastAsia="宋体"/>
                <w:sz w:val="22"/>
                <w:lang w:val="en-US" w:eastAsia="zh-CN"/>
              </w:rPr>
            </w:pPr>
            <w:r>
              <w:rPr>
                <w:rFonts w:hint="eastAsia"/>
                <w:sz w:val="22"/>
                <w:lang w:val="en-US" w:eastAsia="zh-CN"/>
              </w:rPr>
              <w:t>30.772</w:t>
            </w:r>
          </w:p>
        </w:tc>
        <w:tc>
          <w:tcPr>
            <w:tcW w:w="308" w:type="dxa"/>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6</w:t>
            </w:r>
          </w:p>
        </w:tc>
        <w:tc>
          <w:tcPr>
            <w:tcW w:w="1482" w:type="dxa"/>
            <w:vMerge w:val="continue"/>
            <w:vAlign w:val="center"/>
          </w:tcPr>
          <w:p>
            <w:pPr>
              <w:jc w:val="left"/>
              <w:rPr>
                <w:rFonts w:ascii="宋体" w:hAnsi="宋体" w:cs="宋体"/>
                <w:kern w:val="0"/>
                <w:sz w:val="20"/>
              </w:rPr>
            </w:pPr>
          </w:p>
        </w:tc>
        <w:tc>
          <w:tcPr>
            <w:tcW w:w="2176" w:type="dxa"/>
            <w:noWrap/>
            <w:vAlign w:val="center"/>
          </w:tcPr>
          <w:p>
            <w:pPr>
              <w:pStyle w:val="10"/>
              <w:rPr>
                <w:rFonts w:ascii="宋体" w:hAnsi="宋体"/>
                <w:sz w:val="20"/>
              </w:rPr>
            </w:pPr>
            <w:r>
              <w:rPr>
                <w:rFonts w:hint="eastAsia" w:ascii="宋体" w:hAnsi="宋体"/>
              </w:rPr>
              <w:t>配电系统</w:t>
            </w:r>
          </w:p>
        </w:tc>
        <w:tc>
          <w:tcPr>
            <w:tcW w:w="4011" w:type="dxa"/>
            <w:noWrap/>
            <w:vAlign w:val="center"/>
          </w:tcPr>
          <w:p>
            <w:pPr>
              <w:rPr>
                <w:rFonts w:ascii="宋体" w:hAnsi="宋体" w:cs="宋体"/>
                <w:kern w:val="0"/>
                <w:sz w:val="20"/>
              </w:rPr>
            </w:pPr>
            <w:r>
              <w:rPr>
                <w:rFonts w:hint="eastAsia" w:ascii="宋体" w:hAnsi="宋体" w:cs="宋体"/>
                <w:kern w:val="0"/>
                <w:sz w:val="20"/>
              </w:rPr>
              <w:t>具有保护措施、智能编程、智能操控、智能化控制等功能。</w:t>
            </w:r>
          </w:p>
        </w:tc>
        <w:tc>
          <w:tcPr>
            <w:tcW w:w="595" w:type="dxa"/>
            <w:noWrap/>
            <w:vAlign w:val="center"/>
          </w:tcPr>
          <w:p>
            <w:pPr>
              <w:pStyle w:val="10"/>
              <w:rPr>
                <w:rFonts w:ascii="宋体" w:hAnsi="宋体"/>
                <w:sz w:val="20"/>
              </w:rPr>
            </w:pPr>
            <w:r>
              <w:rPr>
                <w:rFonts w:hint="eastAsia" w:ascii="宋体" w:hAnsi="宋体"/>
              </w:rPr>
              <w:t>套</w:t>
            </w:r>
          </w:p>
        </w:tc>
        <w:tc>
          <w:tcPr>
            <w:tcW w:w="606" w:type="dxa"/>
            <w:vAlign w:val="center"/>
          </w:tcPr>
          <w:p>
            <w:pPr>
              <w:jc w:val="center"/>
              <w:rPr>
                <w:sz w:val="22"/>
              </w:rPr>
            </w:pPr>
            <w:r>
              <w:rPr>
                <w:rFonts w:hint="eastAsia"/>
                <w:sz w:val="22"/>
              </w:rPr>
              <w:t>1</w:t>
            </w:r>
          </w:p>
        </w:tc>
        <w:tc>
          <w:tcPr>
            <w:tcW w:w="308" w:type="dxa"/>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7</w:t>
            </w:r>
          </w:p>
        </w:tc>
        <w:tc>
          <w:tcPr>
            <w:tcW w:w="1482" w:type="dxa"/>
            <w:vMerge w:val="continue"/>
            <w:vAlign w:val="center"/>
          </w:tcPr>
          <w:p>
            <w:pPr>
              <w:jc w:val="left"/>
              <w:rPr>
                <w:rFonts w:ascii="宋体" w:hAnsi="宋体" w:cs="宋体"/>
                <w:kern w:val="0"/>
                <w:sz w:val="20"/>
              </w:rPr>
            </w:pPr>
          </w:p>
        </w:tc>
        <w:tc>
          <w:tcPr>
            <w:tcW w:w="2176" w:type="dxa"/>
            <w:noWrap/>
            <w:vAlign w:val="center"/>
          </w:tcPr>
          <w:p>
            <w:pPr>
              <w:pStyle w:val="10"/>
              <w:rPr>
                <w:rFonts w:ascii="宋体" w:hAnsi="宋体"/>
                <w:sz w:val="20"/>
              </w:rPr>
            </w:pPr>
            <w:r>
              <w:rPr>
                <w:rFonts w:hint="eastAsia" w:ascii="宋体" w:hAnsi="宋体"/>
              </w:rPr>
              <w:t>线缆辅料</w:t>
            </w:r>
          </w:p>
        </w:tc>
        <w:tc>
          <w:tcPr>
            <w:tcW w:w="4011" w:type="dxa"/>
            <w:noWrap/>
            <w:vAlign w:val="center"/>
          </w:tcPr>
          <w:p>
            <w:pPr>
              <w:rPr>
                <w:rFonts w:ascii="宋体" w:hAnsi="宋体" w:cs="宋体"/>
                <w:kern w:val="0"/>
                <w:sz w:val="20"/>
              </w:rPr>
            </w:pPr>
            <w:r>
              <w:rPr>
                <w:rFonts w:hint="eastAsia" w:ascii="宋体" w:hAnsi="宋体" w:cs="宋体"/>
                <w:kern w:val="0"/>
                <w:sz w:val="20"/>
              </w:rPr>
              <w:t>符合国标。</w:t>
            </w:r>
          </w:p>
        </w:tc>
        <w:tc>
          <w:tcPr>
            <w:tcW w:w="595" w:type="dxa"/>
            <w:noWrap/>
            <w:vAlign w:val="center"/>
          </w:tcPr>
          <w:p>
            <w:pPr>
              <w:pStyle w:val="10"/>
              <w:rPr>
                <w:rFonts w:ascii="宋体" w:hAnsi="宋体"/>
                <w:sz w:val="20"/>
              </w:rPr>
            </w:pPr>
            <w:r>
              <w:rPr>
                <w:rFonts w:hint="eastAsia" w:ascii="宋体" w:hAnsi="宋体"/>
              </w:rPr>
              <w:t>批</w:t>
            </w:r>
          </w:p>
        </w:tc>
        <w:tc>
          <w:tcPr>
            <w:tcW w:w="606" w:type="dxa"/>
            <w:vAlign w:val="center"/>
          </w:tcPr>
          <w:p>
            <w:pPr>
              <w:jc w:val="center"/>
              <w:rPr>
                <w:sz w:val="22"/>
              </w:rPr>
            </w:pPr>
            <w:r>
              <w:rPr>
                <w:rFonts w:hint="eastAsia"/>
                <w:sz w:val="22"/>
              </w:rPr>
              <w:t>1</w:t>
            </w:r>
          </w:p>
        </w:tc>
        <w:tc>
          <w:tcPr>
            <w:tcW w:w="308" w:type="dxa"/>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hint="eastAsia" w:ascii="宋体" w:hAnsi="宋体" w:eastAsia="宋体" w:cs="宋体"/>
                <w:kern w:val="0"/>
                <w:sz w:val="20"/>
                <w:lang w:eastAsia="zh-CN"/>
              </w:rPr>
            </w:pPr>
            <w:r>
              <w:rPr>
                <w:rFonts w:hint="eastAsia" w:ascii="宋体" w:hAnsi="宋体" w:cs="宋体"/>
                <w:kern w:val="0"/>
                <w:sz w:val="20"/>
                <w:lang w:val="en-US" w:eastAsia="zh-CN"/>
              </w:rPr>
              <w:t>8</w:t>
            </w:r>
          </w:p>
        </w:tc>
        <w:tc>
          <w:tcPr>
            <w:tcW w:w="1482" w:type="dxa"/>
            <w:vMerge w:val="continue"/>
            <w:vAlign w:val="center"/>
          </w:tcPr>
          <w:p>
            <w:pPr>
              <w:jc w:val="left"/>
              <w:rPr>
                <w:rFonts w:ascii="宋体" w:hAnsi="宋体" w:cs="宋体"/>
                <w:kern w:val="0"/>
                <w:sz w:val="20"/>
              </w:rPr>
            </w:pPr>
          </w:p>
        </w:tc>
        <w:tc>
          <w:tcPr>
            <w:tcW w:w="2176" w:type="dxa"/>
            <w:noWrap/>
            <w:vAlign w:val="center"/>
          </w:tcPr>
          <w:p>
            <w:pPr>
              <w:pStyle w:val="10"/>
              <w:rPr>
                <w:rFonts w:ascii="宋体" w:hAnsi="宋体"/>
                <w:sz w:val="20"/>
              </w:rPr>
            </w:pPr>
            <w:r>
              <w:rPr>
                <w:rFonts w:hint="eastAsia" w:ascii="宋体" w:hAnsi="宋体"/>
              </w:rPr>
              <w:t>0.5㎡屏幕备品备件</w:t>
            </w:r>
          </w:p>
        </w:tc>
        <w:tc>
          <w:tcPr>
            <w:tcW w:w="4011" w:type="dxa"/>
            <w:noWrap/>
            <w:vAlign w:val="center"/>
          </w:tcPr>
          <w:p>
            <w:pPr>
              <w:rPr>
                <w:rFonts w:ascii="宋体" w:hAnsi="宋体" w:cs="宋体"/>
                <w:kern w:val="0"/>
                <w:sz w:val="20"/>
              </w:rPr>
            </w:pPr>
            <w:r>
              <w:rPr>
                <w:rFonts w:hint="eastAsia" w:ascii="宋体" w:hAnsi="宋体" w:cs="宋体"/>
                <w:kern w:val="0"/>
                <w:sz w:val="19"/>
                <w:szCs w:val="19"/>
                <w:lang w:bidi="ar"/>
              </w:rPr>
              <w:t>0.5 ㎡屏幕；同厂同批次备品模组、电源、IC、管芯、专用工具等。</w:t>
            </w:r>
          </w:p>
        </w:tc>
        <w:tc>
          <w:tcPr>
            <w:tcW w:w="595" w:type="dxa"/>
            <w:noWrap/>
            <w:vAlign w:val="center"/>
          </w:tcPr>
          <w:p>
            <w:pPr>
              <w:pStyle w:val="10"/>
              <w:rPr>
                <w:rFonts w:ascii="宋体" w:hAnsi="宋体"/>
                <w:sz w:val="20"/>
              </w:rPr>
            </w:pPr>
            <w:r>
              <w:rPr>
                <w:rFonts w:hint="eastAsia" w:ascii="宋体" w:hAnsi="宋体"/>
                <w:sz w:val="20"/>
              </w:rPr>
              <w:t>套</w:t>
            </w:r>
          </w:p>
        </w:tc>
        <w:tc>
          <w:tcPr>
            <w:tcW w:w="606" w:type="dxa"/>
            <w:vAlign w:val="center"/>
          </w:tcPr>
          <w:p>
            <w:pPr>
              <w:jc w:val="center"/>
              <w:rPr>
                <w:sz w:val="22"/>
              </w:rPr>
            </w:pPr>
            <w:r>
              <w:rPr>
                <w:rFonts w:hint="eastAsia"/>
                <w:sz w:val="22"/>
              </w:rPr>
              <w:t>1</w:t>
            </w:r>
          </w:p>
        </w:tc>
        <w:tc>
          <w:tcPr>
            <w:tcW w:w="308" w:type="dxa"/>
          </w:tcPr>
          <w:p>
            <w:pP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12</w:t>
            </w:r>
          </w:p>
        </w:tc>
        <w:tc>
          <w:tcPr>
            <w:tcW w:w="1482" w:type="dxa"/>
            <w:vMerge w:val="restart"/>
            <w:vAlign w:val="center"/>
          </w:tcPr>
          <w:p>
            <w:pPr>
              <w:jc w:val="left"/>
              <w:rPr>
                <w:rFonts w:ascii="宋体" w:hAnsi="宋体" w:cs="宋体"/>
                <w:kern w:val="0"/>
                <w:sz w:val="20"/>
              </w:rPr>
            </w:pPr>
            <w:r>
              <w:rPr>
                <w:rFonts w:hint="eastAsia" w:ascii="宋体" w:hAnsi="宋体" w:eastAsia="宋体" w:cs="宋体"/>
                <w:color w:val="FF0000"/>
                <w:kern w:val="0"/>
                <w:sz w:val="20"/>
              </w:rPr>
              <w:t>Δ</w:t>
            </w:r>
            <w:r>
              <w:rPr>
                <w:rFonts w:hint="eastAsia" w:ascii="宋体" w:hAnsi="宋体" w:cs="宋体"/>
                <w:color w:val="FF0000"/>
                <w:kern w:val="0"/>
                <w:sz w:val="20"/>
              </w:rPr>
              <w:t>服务器</w:t>
            </w:r>
          </w:p>
        </w:tc>
        <w:tc>
          <w:tcPr>
            <w:tcW w:w="2176" w:type="dxa"/>
            <w:noWrap/>
            <w:vAlign w:val="center"/>
          </w:tcPr>
          <w:p>
            <w:pPr>
              <w:jc w:val="left"/>
              <w:rPr>
                <w:rFonts w:ascii="宋体" w:hAnsi="宋体" w:cs="宋体"/>
                <w:kern w:val="0"/>
                <w:sz w:val="20"/>
              </w:rPr>
            </w:pPr>
            <w:r>
              <w:rPr>
                <w:rFonts w:hint="eastAsia" w:ascii="宋体" w:hAnsi="宋体" w:cs="宋体"/>
                <w:kern w:val="0"/>
                <w:sz w:val="20"/>
              </w:rPr>
              <w:t>数据库服务器</w:t>
            </w:r>
          </w:p>
        </w:tc>
        <w:tc>
          <w:tcPr>
            <w:tcW w:w="4011" w:type="dxa"/>
            <w:noWrap/>
            <w:vAlign w:val="bottom"/>
          </w:tcPr>
          <w:p>
            <w:pPr>
              <w:jc w:val="left"/>
              <w:rPr>
                <w:rFonts w:ascii="宋体" w:hAnsi="宋体" w:cs="宋体"/>
                <w:kern w:val="0"/>
                <w:sz w:val="20"/>
              </w:rPr>
            </w:pPr>
            <w:r>
              <w:rPr>
                <w:rFonts w:hint="eastAsia" w:ascii="宋体" w:hAnsi="宋体" w:cs="宋体"/>
                <w:kern w:val="0"/>
                <w:sz w:val="20"/>
              </w:rPr>
              <w:t>不低于至强16核，不低于DDR4 64GB，不低于2T SAS 10K rpm，SAS/SATA，支持RAID0,1，机架式机箱。</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2</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13</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应用服务器</w:t>
            </w:r>
          </w:p>
        </w:tc>
        <w:tc>
          <w:tcPr>
            <w:tcW w:w="4011" w:type="dxa"/>
            <w:noWrap/>
            <w:vAlign w:val="bottom"/>
          </w:tcPr>
          <w:p>
            <w:pPr>
              <w:jc w:val="left"/>
              <w:rPr>
                <w:rFonts w:ascii="宋体" w:hAnsi="宋体" w:cs="宋体"/>
                <w:kern w:val="0"/>
                <w:sz w:val="20"/>
              </w:rPr>
            </w:pPr>
            <w:r>
              <w:rPr>
                <w:rFonts w:hint="eastAsia" w:ascii="宋体" w:hAnsi="宋体" w:cs="宋体"/>
                <w:kern w:val="0"/>
                <w:sz w:val="20"/>
              </w:rPr>
              <w:t>不低于至强16核，不低于DDR4 64GB，不低于2T SAS 10K rpm，SAS/SATA，支持RAID0,1，机架式机箱。</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10</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14</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平台接入引擎服务器</w:t>
            </w:r>
          </w:p>
        </w:tc>
        <w:tc>
          <w:tcPr>
            <w:tcW w:w="4011" w:type="dxa"/>
            <w:noWrap/>
            <w:vAlign w:val="bottom"/>
          </w:tcPr>
          <w:p>
            <w:pPr>
              <w:jc w:val="left"/>
              <w:rPr>
                <w:rFonts w:ascii="宋体" w:hAnsi="宋体" w:cs="宋体"/>
                <w:kern w:val="0"/>
                <w:sz w:val="20"/>
              </w:rPr>
            </w:pPr>
            <w:r>
              <w:rPr>
                <w:rFonts w:hint="eastAsia" w:ascii="宋体" w:hAnsi="宋体" w:cs="宋体"/>
                <w:kern w:val="0"/>
                <w:sz w:val="20"/>
              </w:rPr>
              <w:t>不低于至强16核，不低于DDR4 64GB，不低于2T SAS 10K rpm，SAS/SATA，支持RAID0,1，机架式机箱。</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2</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15</w:t>
            </w:r>
          </w:p>
        </w:tc>
        <w:tc>
          <w:tcPr>
            <w:tcW w:w="1482" w:type="dxa"/>
            <w:vMerge w:val="restart"/>
            <w:vAlign w:val="center"/>
          </w:tcPr>
          <w:p>
            <w:pPr>
              <w:jc w:val="left"/>
              <w:rPr>
                <w:rFonts w:ascii="宋体" w:hAnsi="宋体" w:cs="宋体"/>
                <w:kern w:val="0"/>
                <w:sz w:val="20"/>
              </w:rPr>
            </w:pPr>
            <w:r>
              <w:rPr>
                <w:rFonts w:hint="eastAsia" w:ascii="宋体" w:hAnsi="宋体" w:eastAsia="宋体" w:cs="宋体"/>
                <w:color w:val="FF0000"/>
                <w:kern w:val="0"/>
                <w:sz w:val="20"/>
              </w:rPr>
              <w:t>Δ</w:t>
            </w:r>
            <w:r>
              <w:rPr>
                <w:rFonts w:hint="eastAsia" w:ascii="宋体" w:hAnsi="宋体" w:cs="宋体"/>
                <w:color w:val="FF0000"/>
                <w:kern w:val="0"/>
                <w:sz w:val="20"/>
              </w:rPr>
              <w:t>网络及安全设备</w:t>
            </w:r>
          </w:p>
        </w:tc>
        <w:tc>
          <w:tcPr>
            <w:tcW w:w="2176" w:type="dxa"/>
            <w:shd w:val="clear" w:color="auto" w:fill="auto"/>
            <w:noWrap/>
            <w:vAlign w:val="center"/>
          </w:tcPr>
          <w:p>
            <w:pPr>
              <w:jc w:val="left"/>
              <w:rPr>
                <w:rFonts w:ascii="宋体" w:hAnsi="宋体" w:cs="宋体"/>
                <w:kern w:val="0"/>
                <w:sz w:val="20"/>
              </w:rPr>
            </w:pPr>
            <w:r>
              <w:rPr>
                <w:rFonts w:hint="eastAsia" w:ascii="宋体" w:hAnsi="宋体" w:cs="宋体"/>
                <w:kern w:val="0"/>
                <w:sz w:val="20"/>
              </w:rPr>
              <w:t>核心交换机</w:t>
            </w:r>
          </w:p>
        </w:tc>
        <w:tc>
          <w:tcPr>
            <w:tcW w:w="4011" w:type="dxa"/>
            <w:noWrap/>
            <w:vAlign w:val="bottom"/>
          </w:tcPr>
          <w:p>
            <w:pPr>
              <w:jc w:val="left"/>
              <w:rPr>
                <w:rFonts w:ascii="宋体" w:hAnsi="宋体" w:cs="宋体"/>
                <w:kern w:val="0"/>
                <w:sz w:val="20"/>
              </w:rPr>
            </w:pPr>
            <w:r>
              <w:rPr>
                <w:rFonts w:ascii="宋体" w:hAnsi="宋体" w:cs="宋体"/>
                <w:kern w:val="0"/>
                <w:sz w:val="20"/>
              </w:rPr>
              <w:t>24口千兆全网管二层交换机，机架式，24个千兆电口,4个千兆光口,支持通过console口管理</w:t>
            </w:r>
            <w:r>
              <w:rPr>
                <w:rFonts w:hint="eastAsia" w:ascii="宋体" w:hAnsi="宋体" w:cs="宋体"/>
                <w:kern w:val="0"/>
                <w:sz w:val="20"/>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16</w:t>
            </w:r>
          </w:p>
        </w:tc>
        <w:tc>
          <w:tcPr>
            <w:tcW w:w="1482" w:type="dxa"/>
            <w:vMerge w:val="continue"/>
            <w:vAlign w:val="center"/>
          </w:tcPr>
          <w:p>
            <w:pPr>
              <w:jc w:val="left"/>
              <w:rPr>
                <w:rFonts w:ascii="宋体" w:hAnsi="宋体" w:cs="宋体"/>
                <w:kern w:val="0"/>
                <w:sz w:val="20"/>
              </w:rPr>
            </w:pPr>
          </w:p>
        </w:tc>
        <w:tc>
          <w:tcPr>
            <w:tcW w:w="2176" w:type="dxa"/>
            <w:shd w:val="clear" w:color="auto" w:fill="auto"/>
            <w:noWrap/>
            <w:vAlign w:val="center"/>
          </w:tcPr>
          <w:p>
            <w:pPr>
              <w:jc w:val="left"/>
              <w:rPr>
                <w:rFonts w:ascii="宋体" w:hAnsi="宋体" w:cs="宋体"/>
                <w:kern w:val="0"/>
                <w:sz w:val="20"/>
              </w:rPr>
            </w:pPr>
            <w:r>
              <w:rPr>
                <w:rFonts w:hint="eastAsia" w:ascii="宋体" w:hAnsi="宋体" w:cs="宋体"/>
                <w:kern w:val="0"/>
                <w:sz w:val="20"/>
              </w:rPr>
              <w:t>节点交换机</w:t>
            </w:r>
          </w:p>
        </w:tc>
        <w:tc>
          <w:tcPr>
            <w:tcW w:w="4011" w:type="dxa"/>
            <w:noWrap/>
            <w:vAlign w:val="bottom"/>
          </w:tcPr>
          <w:p>
            <w:pPr>
              <w:jc w:val="left"/>
              <w:rPr>
                <w:rFonts w:ascii="宋体" w:hAnsi="宋体" w:cs="宋体"/>
                <w:kern w:val="0"/>
                <w:sz w:val="20"/>
              </w:rPr>
            </w:pPr>
            <w:r>
              <w:rPr>
                <w:rFonts w:ascii="宋体" w:hAnsi="宋体" w:cs="宋体"/>
                <w:kern w:val="0"/>
                <w:sz w:val="20"/>
              </w:rPr>
              <w:t>24口千兆全网管二层交换机，机架式，24个千兆电口,4个千兆光口,支持通过console口管理</w:t>
            </w:r>
            <w:r>
              <w:rPr>
                <w:rFonts w:hint="eastAsia" w:ascii="宋体" w:hAnsi="宋体" w:cs="宋体"/>
                <w:kern w:val="0"/>
                <w:sz w:val="20"/>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ascii="宋体" w:hAnsi="宋体" w:cs="宋体"/>
                <w:kern w:val="0"/>
                <w:sz w:val="20"/>
              </w:rPr>
              <w:t>17</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外网防火墙</w:t>
            </w:r>
          </w:p>
        </w:tc>
        <w:tc>
          <w:tcPr>
            <w:tcW w:w="4011" w:type="dxa"/>
            <w:noWrap/>
            <w:vAlign w:val="bottom"/>
          </w:tcPr>
          <w:p>
            <w:pPr>
              <w:jc w:val="left"/>
              <w:rPr>
                <w:rFonts w:ascii="宋体" w:hAnsi="宋体" w:cs="宋体"/>
                <w:kern w:val="0"/>
                <w:sz w:val="20"/>
              </w:rPr>
            </w:pPr>
            <w:r>
              <w:rPr>
                <w:rFonts w:hint="eastAsia" w:ascii="宋体" w:hAnsi="宋体" w:cs="宋体"/>
                <w:kern w:val="0"/>
                <w:sz w:val="20"/>
              </w:rPr>
              <w:t>不低于1U机箱，配置不少于6个10/100/1000BASE-T接口，1个可插拨的扩展槽，标配模块化电源；防火墙吞吐率：4Gbps 应用层吞吐率（FW+APP）：2.5Gbps 并发连接数：160万。</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18</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WEB应用防火墙</w:t>
            </w:r>
          </w:p>
        </w:tc>
        <w:tc>
          <w:tcPr>
            <w:tcW w:w="4011" w:type="dxa"/>
            <w:noWrap/>
            <w:vAlign w:val="bottom"/>
          </w:tcPr>
          <w:p>
            <w:pPr>
              <w:rPr>
                <w:rFonts w:ascii="宋体" w:hAnsi="宋体" w:cs="宋体"/>
                <w:kern w:val="0"/>
                <w:sz w:val="20"/>
              </w:rPr>
            </w:pPr>
            <w:r>
              <w:rPr>
                <w:rFonts w:hint="eastAsia" w:ascii="宋体" w:hAnsi="宋体" w:cs="宋体"/>
                <w:kern w:val="0"/>
                <w:sz w:val="20"/>
              </w:rPr>
              <w:t>要求设备为1U机架式结构，最大配置为24个接口；本次配置不低于2个可插拨扩展槽及6个10/100/1000Base-T端口和2个SFP槽。</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19</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内网入侵防御系统</w:t>
            </w:r>
          </w:p>
        </w:tc>
        <w:tc>
          <w:tcPr>
            <w:tcW w:w="4011" w:type="dxa"/>
            <w:noWrap/>
            <w:vAlign w:val="bottom"/>
          </w:tcPr>
          <w:p>
            <w:pPr>
              <w:rPr>
                <w:rFonts w:ascii="宋体" w:hAnsi="宋体" w:cs="宋体"/>
                <w:kern w:val="0"/>
                <w:sz w:val="20"/>
              </w:rPr>
            </w:pPr>
            <w:r>
              <w:rPr>
                <w:rFonts w:hint="eastAsia" w:ascii="宋体" w:hAnsi="宋体" w:cs="宋体"/>
                <w:kern w:val="0"/>
                <w:sz w:val="20"/>
              </w:rPr>
              <w:t>要求设备不低于1U标准机箱，配置不少于6个10/100/1000Base-T端口，至少1个console口，2个USB，配置至少3年规则特征库升级许可；整机吞吐率：3Gbps，最大并发连接数：150W，IPS吞吐率：1.2Gbps。</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20</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外网网闸</w:t>
            </w:r>
          </w:p>
        </w:tc>
        <w:tc>
          <w:tcPr>
            <w:tcW w:w="4011" w:type="dxa"/>
            <w:noWrap/>
            <w:vAlign w:val="bottom"/>
          </w:tcPr>
          <w:p>
            <w:pPr>
              <w:rPr>
                <w:rFonts w:ascii="宋体" w:hAnsi="宋体" w:cs="宋体"/>
                <w:kern w:val="0"/>
                <w:sz w:val="20"/>
              </w:rPr>
            </w:pPr>
            <w:r>
              <w:rPr>
                <w:rFonts w:hint="eastAsia" w:ascii="宋体" w:hAnsi="宋体" w:cs="宋体"/>
                <w:kern w:val="0"/>
                <w:sz w:val="20"/>
              </w:rPr>
              <w:t>2U机架式，“2+1”系统结构，内外端机为TCP/IP网络协议的终点，阻断TCP/IP协议的直接贯通。内外端机之间采用专用硬件和专用协议进行连接，不可编程。网闸以软硬件结合的方式，有效地隔断内外网络间直接的连接，防止信息无限制交换。</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21</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内网防火墙</w:t>
            </w:r>
          </w:p>
        </w:tc>
        <w:tc>
          <w:tcPr>
            <w:tcW w:w="4011" w:type="dxa"/>
            <w:noWrap/>
            <w:vAlign w:val="bottom"/>
          </w:tcPr>
          <w:p>
            <w:pPr>
              <w:rPr>
                <w:rFonts w:ascii="宋体" w:hAnsi="宋体" w:cs="宋体"/>
                <w:kern w:val="0"/>
                <w:sz w:val="20"/>
              </w:rPr>
            </w:pPr>
            <w:r>
              <w:rPr>
                <w:rFonts w:hint="eastAsia" w:ascii="宋体" w:hAnsi="宋体" w:cs="宋体"/>
                <w:kern w:val="0"/>
                <w:sz w:val="20"/>
              </w:rPr>
              <w:t>1U机箱，配置不少于6个10/100/1000BASE-T接口，标配模块化电源；防火墙吞吐率：2Gbps 应用层吞吐率（FW+APP）：1.2Gbps 并发连接数：120万。</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22</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内网网闸</w:t>
            </w:r>
          </w:p>
        </w:tc>
        <w:tc>
          <w:tcPr>
            <w:tcW w:w="4011" w:type="dxa"/>
            <w:noWrap/>
            <w:vAlign w:val="bottom"/>
          </w:tcPr>
          <w:p>
            <w:pPr>
              <w:jc w:val="left"/>
              <w:rPr>
                <w:rFonts w:ascii="宋体" w:hAnsi="宋体" w:cs="宋体"/>
                <w:kern w:val="0"/>
                <w:sz w:val="20"/>
              </w:rPr>
            </w:pPr>
            <w:r>
              <w:rPr>
                <w:rFonts w:hint="eastAsia" w:ascii="宋体" w:hAnsi="宋体" w:cs="宋体"/>
                <w:kern w:val="0"/>
                <w:sz w:val="20"/>
              </w:rPr>
              <w:t>2U机架式，“2+1”系统结构，内外端机为TCP/IP网络协议的终点，阻断TCP/IP协议的直接贯通。内外端机之间采用专用硬件和专用协议进行连接，不可编程。网闸以软硬件结合的方式，有效地隔断内外网络间直接的连接，防止信息无限制交换。</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w:t>
            </w:r>
            <w:r>
              <w:rPr>
                <w:rFonts w:ascii="宋体" w:hAnsi="宋体" w:cs="宋体"/>
                <w:kern w:val="0"/>
                <w:sz w:val="20"/>
              </w:rPr>
              <w:t>3</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存储备份一体机</w:t>
            </w:r>
          </w:p>
        </w:tc>
        <w:tc>
          <w:tcPr>
            <w:tcW w:w="4011" w:type="dxa"/>
            <w:noWrap/>
            <w:vAlign w:val="bottom"/>
          </w:tcPr>
          <w:p>
            <w:pPr>
              <w:jc w:val="left"/>
              <w:rPr>
                <w:rFonts w:ascii="宋体" w:hAnsi="宋体" w:cs="宋体"/>
                <w:kern w:val="0"/>
                <w:sz w:val="20"/>
              </w:rPr>
            </w:pPr>
            <w:r>
              <w:rPr>
                <w:rFonts w:hint="eastAsia" w:ascii="宋体" w:hAnsi="宋体" w:cs="宋体"/>
                <w:kern w:val="0"/>
                <w:sz w:val="20"/>
              </w:rPr>
              <w:t>不低于1*XEON E3-1230 V5（2.4G/6核12线程），配置至少支持4个硬盘槽位配置4T企业级SATA。1*240GSSD用于系统安装，不少于8GB RAM，最大可扩容64GB，不少于2个千兆网络端口，网络端口都可用且可分配不同的备份任务；支持Windows、Linux、UNIX、AIX、Solaris、 HP-UX等主流操作系统，基于linux的备份存储专用系统，支持https方式登录，确保登录安全。</w:t>
            </w:r>
          </w:p>
        </w:tc>
        <w:tc>
          <w:tcPr>
            <w:tcW w:w="595" w:type="dxa"/>
            <w:noWrap/>
            <w:vAlign w:val="center"/>
          </w:tcPr>
          <w:p>
            <w:pPr>
              <w:jc w:val="center"/>
              <w:rPr>
                <w:rFonts w:ascii="宋体" w:hAnsi="宋体" w:cs="宋体"/>
                <w:kern w:val="0"/>
                <w:sz w:val="20"/>
              </w:rPr>
            </w:pPr>
            <w:r>
              <w:rPr>
                <w:rFonts w:hint="eastAsia" w:ascii="宋体" w:hAnsi="宋体" w:cs="宋体"/>
                <w:kern w:val="0"/>
                <w:sz w:val="20"/>
              </w:rPr>
              <w:t>台</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24</w:t>
            </w:r>
          </w:p>
        </w:tc>
        <w:tc>
          <w:tcPr>
            <w:tcW w:w="1482" w:type="dxa"/>
            <w:vMerge w:val="continue"/>
            <w:vAlign w:val="center"/>
          </w:tcPr>
          <w:p>
            <w:pPr>
              <w:jc w:val="left"/>
              <w:rPr>
                <w:rFonts w:ascii="宋体" w:hAnsi="宋体" w:cs="宋体"/>
                <w:kern w:val="0"/>
                <w:sz w:val="20"/>
              </w:rPr>
            </w:pPr>
          </w:p>
        </w:tc>
        <w:tc>
          <w:tcPr>
            <w:tcW w:w="2176" w:type="dxa"/>
            <w:vAlign w:val="center"/>
          </w:tcPr>
          <w:p>
            <w:pPr>
              <w:jc w:val="left"/>
              <w:rPr>
                <w:rFonts w:ascii="宋体" w:hAnsi="宋体" w:cs="宋体"/>
                <w:kern w:val="0"/>
                <w:sz w:val="20"/>
              </w:rPr>
            </w:pPr>
            <w:r>
              <w:rPr>
                <w:rFonts w:hint="eastAsia" w:ascii="宋体" w:hAnsi="宋体" w:cs="宋体"/>
                <w:kern w:val="0"/>
                <w:sz w:val="20"/>
              </w:rPr>
              <w:t>杀毒软件</w:t>
            </w:r>
          </w:p>
        </w:tc>
        <w:tc>
          <w:tcPr>
            <w:tcW w:w="4011" w:type="dxa"/>
            <w:noWrap/>
            <w:vAlign w:val="bottom"/>
          </w:tcPr>
          <w:p>
            <w:pPr>
              <w:jc w:val="left"/>
              <w:rPr>
                <w:rFonts w:ascii="宋体" w:hAnsi="宋体" w:cs="宋体"/>
                <w:kern w:val="0"/>
                <w:sz w:val="20"/>
              </w:rPr>
            </w:pPr>
            <w:r>
              <w:rPr>
                <w:rFonts w:hint="eastAsia" w:ascii="宋体" w:hAnsi="宋体" w:cs="宋体"/>
                <w:kern w:val="0"/>
                <w:sz w:val="20"/>
              </w:rPr>
              <w:t>管理端支持全中文界面，纯B/S架构，无需安装客户端软件。管理员只需通过浏览器登陆控制中心，即可对虚拟机进行管理。防病毒的病毒查杀支持多引擎的协同工作对病毒、木马、恶意软件、引导区病毒、BIOS病毒等进行查杀，提供主动防御系统防护等功能；客户端默认支持WindowsXP/VISTA/WIN7/WIN8/WIN10，含三年升级许可。</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r>
              <w:rPr>
                <w:rFonts w:ascii="宋体" w:hAnsi="宋体" w:cs="宋体"/>
                <w:kern w:val="0"/>
                <w:sz w:val="20"/>
              </w:rPr>
              <w:t>5</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25</w:t>
            </w:r>
          </w:p>
        </w:tc>
        <w:tc>
          <w:tcPr>
            <w:tcW w:w="1482" w:type="dxa"/>
            <w:vMerge w:val="restart"/>
            <w:vAlign w:val="center"/>
          </w:tcPr>
          <w:p>
            <w:pPr>
              <w:jc w:val="left"/>
              <w:rPr>
                <w:rFonts w:ascii="宋体" w:hAnsi="宋体" w:cs="宋体"/>
                <w:kern w:val="0"/>
                <w:sz w:val="20"/>
              </w:rPr>
            </w:pPr>
            <w:r>
              <w:rPr>
                <w:rFonts w:hint="eastAsia" w:ascii="宋体" w:hAnsi="宋体" w:cs="宋体"/>
                <w:kern w:val="0"/>
                <w:sz w:val="20"/>
              </w:rPr>
              <w:t xml:space="preserve">人工智能在线监测平台      </w:t>
            </w:r>
          </w:p>
        </w:tc>
        <w:tc>
          <w:tcPr>
            <w:tcW w:w="2176" w:type="dxa"/>
            <w:noWrap/>
            <w:vAlign w:val="center"/>
          </w:tcPr>
          <w:p>
            <w:pPr>
              <w:jc w:val="left"/>
              <w:rPr>
                <w:rFonts w:ascii="宋体" w:hAnsi="宋体" w:cs="宋体"/>
                <w:kern w:val="0"/>
                <w:sz w:val="20"/>
              </w:rPr>
            </w:pPr>
            <w:r>
              <w:rPr>
                <w:rFonts w:hint="eastAsia" w:ascii="宋体" w:hAnsi="宋体" w:cs="宋体"/>
                <w:kern w:val="0"/>
                <w:sz w:val="20"/>
              </w:rPr>
              <w:t>环保人工智能监测系统</w:t>
            </w:r>
          </w:p>
        </w:tc>
        <w:tc>
          <w:tcPr>
            <w:tcW w:w="4011" w:type="dxa"/>
            <w:noWrap/>
            <w:vAlign w:val="center"/>
          </w:tcPr>
          <w:p>
            <w:pPr>
              <w:jc w:val="left"/>
              <w:rPr>
                <w:rFonts w:ascii="宋体" w:hAnsi="宋体" w:cs="宋体"/>
                <w:kern w:val="0"/>
                <w:sz w:val="20"/>
              </w:rPr>
            </w:pPr>
            <w:r>
              <w:rPr>
                <w:rFonts w:hint="eastAsia" w:ascii="宋体" w:hAnsi="宋体" w:cs="宋体"/>
                <w:kern w:val="0"/>
                <w:sz w:val="20"/>
              </w:rPr>
              <w:t>应用软件系统，可实现数据采集、运行状况判定、设备参数分析、异常报警、数据查询、运行统计、远程控制、基础设置、视频回放等功能。</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26</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园区安全人工智能监测系统</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通过对人和物体的特征检测、提取、描述和分析，以及对场景环境的分析，理解识别人和物体的行为，在实时监控的基础上，对突发事件进行实时预警。</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27</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AI视频分析模型</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包括人脸识别模型、姿态识别模型、烟火检测模型、人员入侵模型、绊线检测模型等内容。</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28</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人工智能服务集成平台</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包括视频前端接入控制和管理子模块、视频流编解码子模块、视频流服务子模块、数据存储服务子模块、GPU调度子模块、样本采集和处理子模块、资源监控子模块等内容。</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29</w:t>
            </w:r>
          </w:p>
        </w:tc>
        <w:tc>
          <w:tcPr>
            <w:tcW w:w="1482" w:type="dxa"/>
            <w:vMerge w:val="restart"/>
            <w:vAlign w:val="center"/>
          </w:tcPr>
          <w:p>
            <w:pPr>
              <w:jc w:val="left"/>
              <w:rPr>
                <w:rFonts w:ascii="宋体" w:hAnsi="宋体" w:cs="宋体"/>
                <w:kern w:val="0"/>
                <w:sz w:val="20"/>
              </w:rPr>
            </w:pPr>
            <w:r>
              <w:rPr>
                <w:rFonts w:hint="eastAsia" w:ascii="宋体" w:hAnsi="宋体" w:eastAsia="宋体" w:cs="宋体"/>
                <w:color w:val="FF0000"/>
                <w:kern w:val="0"/>
                <w:sz w:val="20"/>
              </w:rPr>
              <w:t>Δ</w:t>
            </w:r>
            <w:r>
              <w:rPr>
                <w:rFonts w:hint="eastAsia" w:ascii="宋体" w:hAnsi="宋体" w:cs="宋体"/>
                <w:color w:val="FF0000"/>
                <w:kern w:val="0"/>
                <w:sz w:val="20"/>
              </w:rPr>
              <w:t>人工智能监测系统硬件配置</w:t>
            </w:r>
          </w:p>
        </w:tc>
        <w:tc>
          <w:tcPr>
            <w:tcW w:w="2176" w:type="dxa"/>
            <w:noWrap/>
            <w:vAlign w:val="center"/>
          </w:tcPr>
          <w:p>
            <w:pPr>
              <w:jc w:val="left"/>
              <w:rPr>
                <w:rFonts w:ascii="宋体" w:hAnsi="宋体" w:cs="宋体"/>
                <w:kern w:val="0"/>
                <w:sz w:val="20"/>
              </w:rPr>
            </w:pPr>
            <w:r>
              <w:rPr>
                <w:rFonts w:hint="eastAsia" w:ascii="宋体" w:hAnsi="宋体" w:cs="宋体"/>
                <w:kern w:val="0"/>
                <w:sz w:val="20"/>
              </w:rPr>
              <w:t>视频接入和解码/数据接入行为分析/WEB平台服务器</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2U机架式；</w:t>
            </w:r>
          </w:p>
          <w:p>
            <w:pPr>
              <w:jc w:val="left"/>
              <w:rPr>
                <w:rFonts w:ascii="宋体" w:hAnsi="宋体" w:cs="宋体"/>
                <w:kern w:val="0"/>
                <w:sz w:val="20"/>
                <w:szCs w:val="22"/>
              </w:rPr>
            </w:pPr>
            <w:r>
              <w:rPr>
                <w:rFonts w:hint="eastAsia" w:ascii="宋体" w:hAnsi="宋体" w:cs="宋体"/>
                <w:kern w:val="0"/>
                <w:sz w:val="20"/>
                <w:szCs w:val="22"/>
              </w:rPr>
              <w:t>配置2颗Intel Xeon E5-2620六核处理器（2.0GHz）；</w:t>
            </w:r>
          </w:p>
          <w:p>
            <w:pPr>
              <w:jc w:val="left"/>
              <w:rPr>
                <w:rFonts w:ascii="宋体" w:hAnsi="宋体" w:cs="宋体"/>
                <w:kern w:val="0"/>
                <w:sz w:val="20"/>
                <w:szCs w:val="22"/>
              </w:rPr>
            </w:pPr>
            <w:r>
              <w:rPr>
                <w:rFonts w:hint="eastAsia" w:ascii="宋体" w:hAnsi="宋体" w:cs="宋体"/>
                <w:kern w:val="0"/>
                <w:sz w:val="20"/>
                <w:szCs w:val="22"/>
              </w:rPr>
              <w:t>当前配置不低于16GB（8*2G） DDR3内存，最大支持8块3.5英寸硬盘/16块2.5英寸硬盘；</w:t>
            </w:r>
          </w:p>
          <w:p>
            <w:pPr>
              <w:jc w:val="left"/>
              <w:rPr>
                <w:rFonts w:ascii="宋体" w:hAnsi="宋体" w:cs="宋体"/>
                <w:kern w:val="0"/>
                <w:sz w:val="20"/>
                <w:szCs w:val="22"/>
              </w:rPr>
            </w:pPr>
            <w:r>
              <w:rPr>
                <w:rFonts w:hint="eastAsia" w:ascii="宋体" w:hAnsi="宋体" w:cs="宋体"/>
                <w:kern w:val="0"/>
                <w:sz w:val="20"/>
                <w:szCs w:val="22"/>
              </w:rPr>
              <w:t>Intel四端口千兆网卡/双端口万兆网卡；</w:t>
            </w:r>
          </w:p>
          <w:p>
            <w:pPr>
              <w:jc w:val="left"/>
              <w:rPr>
                <w:rFonts w:ascii="宋体" w:hAnsi="宋体" w:cs="宋体"/>
                <w:kern w:val="0"/>
                <w:sz w:val="20"/>
                <w:szCs w:val="22"/>
              </w:rPr>
            </w:pPr>
            <w:r>
              <w:rPr>
                <w:rFonts w:hint="eastAsia" w:ascii="宋体" w:hAnsi="宋体" w:cs="宋体"/>
                <w:kern w:val="0"/>
                <w:sz w:val="20"/>
                <w:szCs w:val="22"/>
              </w:rPr>
              <w:t>当前配置≥16个内存插槽，最大可扩展至64个内存插槽，最大支持≥3TB内存。</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2</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30</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服务器操作系统</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CentOS 7.6。</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2</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31</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数据库软件</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Redis。</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32</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交换机</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千兆以太网交换机；</w:t>
            </w:r>
          </w:p>
          <w:p>
            <w:pPr>
              <w:jc w:val="left"/>
              <w:rPr>
                <w:rFonts w:ascii="宋体" w:hAnsi="宋体" w:cs="宋体"/>
                <w:kern w:val="0"/>
                <w:sz w:val="20"/>
                <w:szCs w:val="22"/>
              </w:rPr>
            </w:pPr>
            <w:r>
              <w:rPr>
                <w:rFonts w:hint="eastAsia" w:ascii="宋体" w:hAnsi="宋体" w:cs="宋体"/>
                <w:kern w:val="0"/>
                <w:sz w:val="20"/>
                <w:szCs w:val="22"/>
              </w:rPr>
              <w:t>传输速率 10/100/1000Mbps ；</w:t>
            </w:r>
          </w:p>
          <w:p>
            <w:pPr>
              <w:jc w:val="left"/>
              <w:rPr>
                <w:rFonts w:ascii="宋体" w:hAnsi="宋体" w:cs="宋体"/>
                <w:kern w:val="0"/>
                <w:sz w:val="20"/>
                <w:szCs w:val="22"/>
              </w:rPr>
            </w:pPr>
            <w:r>
              <w:rPr>
                <w:rFonts w:hint="eastAsia" w:ascii="宋体" w:hAnsi="宋体" w:cs="宋体"/>
                <w:kern w:val="0"/>
                <w:sz w:val="20"/>
                <w:szCs w:val="22"/>
              </w:rPr>
              <w:t>背板带宽 256Gbps 。</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33</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KVM切换器</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17"LCD KVM切换器；</w:t>
            </w:r>
          </w:p>
          <w:p>
            <w:pPr>
              <w:jc w:val="left"/>
              <w:rPr>
                <w:rFonts w:ascii="宋体" w:hAnsi="宋体" w:cs="宋体"/>
                <w:kern w:val="0"/>
                <w:sz w:val="20"/>
                <w:szCs w:val="22"/>
              </w:rPr>
            </w:pPr>
            <w:r>
              <w:rPr>
                <w:rFonts w:hint="eastAsia" w:ascii="宋体" w:hAnsi="宋体" w:cs="宋体"/>
                <w:kern w:val="0"/>
                <w:sz w:val="20"/>
                <w:szCs w:val="22"/>
              </w:rPr>
              <w:t>接口数：8口；</w:t>
            </w:r>
          </w:p>
          <w:p>
            <w:pPr>
              <w:jc w:val="left"/>
              <w:rPr>
                <w:rFonts w:ascii="宋体" w:hAnsi="宋体" w:cs="宋体"/>
                <w:kern w:val="0"/>
                <w:sz w:val="20"/>
                <w:szCs w:val="22"/>
              </w:rPr>
            </w:pPr>
            <w:r>
              <w:rPr>
                <w:rFonts w:hint="eastAsia" w:ascii="宋体" w:hAnsi="宋体" w:cs="宋体"/>
                <w:kern w:val="0"/>
                <w:sz w:val="20"/>
                <w:szCs w:val="22"/>
              </w:rPr>
              <w:t>输出接口：HDB15。</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34</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网闸</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内外网数据交换安全隔离网闸（含全部功能模块），2U机架式，6个10/100/1000M自适应电口，内外网具有独立的管理口、HA口（热备口）。</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35</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视频AI、GPU服务器</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CPU： Intel i7 7800x及以上；</w:t>
            </w:r>
          </w:p>
          <w:p>
            <w:pPr>
              <w:jc w:val="left"/>
              <w:rPr>
                <w:rFonts w:ascii="宋体" w:hAnsi="宋体" w:cs="宋体"/>
                <w:kern w:val="0"/>
                <w:sz w:val="20"/>
                <w:szCs w:val="22"/>
              </w:rPr>
            </w:pPr>
            <w:r>
              <w:rPr>
                <w:rFonts w:hint="eastAsia" w:ascii="宋体" w:hAnsi="宋体" w:cs="宋体"/>
                <w:kern w:val="0"/>
                <w:sz w:val="20"/>
                <w:szCs w:val="22"/>
              </w:rPr>
              <w:t>GPU： GTX1070*2及以上；</w:t>
            </w:r>
          </w:p>
          <w:p>
            <w:pPr>
              <w:jc w:val="left"/>
              <w:rPr>
                <w:rFonts w:ascii="宋体" w:hAnsi="宋体" w:cs="宋体"/>
                <w:kern w:val="0"/>
                <w:sz w:val="20"/>
                <w:szCs w:val="22"/>
              </w:rPr>
            </w:pPr>
            <w:r>
              <w:rPr>
                <w:rFonts w:hint="eastAsia" w:ascii="宋体" w:hAnsi="宋体" w:cs="宋体"/>
                <w:kern w:val="0"/>
                <w:sz w:val="20"/>
                <w:szCs w:val="22"/>
              </w:rPr>
              <w:t>硬盘：不小于500GBSSD+2TB*2 SAS；</w:t>
            </w:r>
          </w:p>
          <w:p>
            <w:pPr>
              <w:jc w:val="left"/>
              <w:rPr>
                <w:rFonts w:ascii="宋体" w:hAnsi="宋体" w:cs="宋体"/>
                <w:kern w:val="0"/>
                <w:sz w:val="20"/>
                <w:szCs w:val="22"/>
              </w:rPr>
            </w:pPr>
            <w:r>
              <w:rPr>
                <w:rFonts w:hint="eastAsia" w:ascii="宋体" w:hAnsi="宋体" w:cs="宋体"/>
                <w:kern w:val="0"/>
                <w:sz w:val="20"/>
                <w:szCs w:val="22"/>
              </w:rPr>
              <w:t>专用机箱；</w:t>
            </w:r>
          </w:p>
          <w:p>
            <w:pPr>
              <w:jc w:val="left"/>
              <w:rPr>
                <w:rFonts w:ascii="宋体" w:hAnsi="宋体" w:cs="宋体"/>
                <w:kern w:val="0"/>
                <w:sz w:val="20"/>
                <w:szCs w:val="22"/>
              </w:rPr>
            </w:pPr>
            <w:r>
              <w:rPr>
                <w:rFonts w:hint="eastAsia" w:ascii="宋体" w:hAnsi="宋体" w:cs="宋体"/>
                <w:kern w:val="0"/>
                <w:sz w:val="20"/>
                <w:szCs w:val="22"/>
              </w:rPr>
              <w:t>专用散热器；</w:t>
            </w:r>
          </w:p>
          <w:p>
            <w:pPr>
              <w:jc w:val="left"/>
              <w:rPr>
                <w:rFonts w:ascii="宋体" w:hAnsi="宋体" w:cs="宋体"/>
                <w:kern w:val="0"/>
                <w:sz w:val="20"/>
                <w:szCs w:val="22"/>
              </w:rPr>
            </w:pPr>
            <w:r>
              <w:rPr>
                <w:rFonts w:hint="eastAsia" w:ascii="宋体" w:hAnsi="宋体" w:cs="宋体"/>
                <w:kern w:val="0"/>
                <w:sz w:val="20"/>
                <w:szCs w:val="22"/>
              </w:rPr>
              <w:t>1610W电源。</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36</w:t>
            </w:r>
          </w:p>
        </w:tc>
        <w:tc>
          <w:tcPr>
            <w:tcW w:w="1482" w:type="dxa"/>
            <w:vMerge w:val="continue"/>
            <w:vAlign w:val="center"/>
          </w:tcPr>
          <w:p>
            <w:pPr>
              <w:jc w:val="left"/>
              <w:rPr>
                <w:rFonts w:ascii="宋体" w:hAnsi="宋体" w:cs="宋体"/>
                <w:kern w:val="0"/>
                <w:sz w:val="20"/>
              </w:rPr>
            </w:pPr>
          </w:p>
        </w:tc>
        <w:tc>
          <w:tcPr>
            <w:tcW w:w="2176" w:type="dxa"/>
            <w:noWrap/>
            <w:vAlign w:val="center"/>
          </w:tcPr>
          <w:p>
            <w:pPr>
              <w:jc w:val="left"/>
              <w:rPr>
                <w:rFonts w:ascii="宋体" w:hAnsi="宋体" w:cs="宋体"/>
                <w:kern w:val="0"/>
                <w:sz w:val="20"/>
              </w:rPr>
            </w:pPr>
            <w:r>
              <w:rPr>
                <w:rFonts w:hint="eastAsia" w:ascii="宋体" w:hAnsi="宋体" w:cs="宋体"/>
                <w:kern w:val="0"/>
                <w:sz w:val="20"/>
              </w:rPr>
              <w:t>200万红外高清半球型网络摄像机</w:t>
            </w:r>
          </w:p>
        </w:tc>
        <w:tc>
          <w:tcPr>
            <w:tcW w:w="4011" w:type="dxa"/>
            <w:noWrap/>
            <w:vAlign w:val="center"/>
          </w:tcPr>
          <w:p>
            <w:pPr>
              <w:jc w:val="left"/>
              <w:rPr>
                <w:rFonts w:ascii="宋体" w:hAnsi="宋体" w:cs="宋体"/>
                <w:kern w:val="0"/>
                <w:sz w:val="20"/>
                <w:szCs w:val="22"/>
              </w:rPr>
            </w:pPr>
            <w:r>
              <w:rPr>
                <w:rFonts w:hint="eastAsia" w:ascii="宋体" w:hAnsi="宋体" w:cs="宋体"/>
                <w:kern w:val="0"/>
                <w:sz w:val="20"/>
                <w:szCs w:val="22"/>
              </w:rPr>
              <w:t>采用</w:t>
            </w:r>
            <w:r>
              <w:rPr>
                <w:rFonts w:hint="eastAsia" w:ascii="宋体" w:hAnsi="宋体" w:cs="宋体"/>
                <w:kern w:val="0"/>
                <w:sz w:val="20"/>
                <w:szCs w:val="22"/>
                <w:lang w:val="en-US" w:eastAsia="zh-CN"/>
              </w:rPr>
              <w:t>不低于200万像素</w:t>
            </w:r>
            <w:r>
              <w:rPr>
                <w:rFonts w:hint="eastAsia" w:ascii="宋体" w:hAnsi="宋体" w:cs="宋体"/>
                <w:kern w:val="0"/>
                <w:sz w:val="20"/>
                <w:szCs w:val="22"/>
              </w:rPr>
              <w:t>CMOS传感器；</w:t>
            </w:r>
          </w:p>
          <w:p>
            <w:pPr>
              <w:jc w:val="left"/>
              <w:rPr>
                <w:rFonts w:ascii="宋体" w:hAnsi="宋体" w:cs="宋体"/>
                <w:kern w:val="0"/>
                <w:sz w:val="20"/>
                <w:szCs w:val="22"/>
              </w:rPr>
            </w:pPr>
            <w:r>
              <w:rPr>
                <w:rFonts w:hint="eastAsia" w:ascii="宋体" w:hAnsi="宋体" w:cs="宋体"/>
                <w:kern w:val="0"/>
                <w:sz w:val="20"/>
                <w:szCs w:val="22"/>
              </w:rPr>
              <w:t>支持</w:t>
            </w:r>
            <w:r>
              <w:rPr>
                <w:rFonts w:hint="eastAsia" w:ascii="宋体" w:hAnsi="宋体" w:cs="宋体"/>
                <w:kern w:val="0"/>
                <w:sz w:val="20"/>
                <w:szCs w:val="22"/>
                <w:lang w:val="en-US" w:eastAsia="zh-CN"/>
              </w:rPr>
              <w:t>不低于</w:t>
            </w:r>
            <w:r>
              <w:rPr>
                <w:rFonts w:hint="eastAsia" w:ascii="宋体" w:hAnsi="宋体" w:cs="宋体"/>
                <w:kern w:val="0"/>
                <w:sz w:val="20"/>
                <w:szCs w:val="22"/>
              </w:rPr>
              <w:t>2.8-12mm电动变焦镜头；</w:t>
            </w:r>
          </w:p>
          <w:p>
            <w:pPr>
              <w:jc w:val="left"/>
              <w:rPr>
                <w:rFonts w:ascii="宋体" w:hAnsi="宋体" w:cs="宋体"/>
                <w:kern w:val="0"/>
                <w:sz w:val="20"/>
                <w:szCs w:val="22"/>
              </w:rPr>
            </w:pPr>
            <w:r>
              <w:rPr>
                <w:rFonts w:hint="eastAsia" w:ascii="宋体" w:hAnsi="宋体" w:cs="宋体"/>
                <w:kern w:val="0"/>
                <w:sz w:val="20"/>
                <w:szCs w:val="22"/>
              </w:rPr>
              <w:t>支持H.265/H.264视频编码算法；</w:t>
            </w:r>
          </w:p>
          <w:p>
            <w:pPr>
              <w:jc w:val="left"/>
              <w:rPr>
                <w:rFonts w:ascii="宋体" w:hAnsi="宋体" w:cs="宋体"/>
                <w:kern w:val="0"/>
                <w:sz w:val="20"/>
                <w:szCs w:val="22"/>
              </w:rPr>
            </w:pPr>
            <w:r>
              <w:rPr>
                <w:rFonts w:hint="eastAsia" w:ascii="宋体" w:hAnsi="宋体" w:cs="宋体"/>
                <w:kern w:val="0"/>
                <w:sz w:val="20"/>
                <w:szCs w:val="22"/>
              </w:rPr>
              <w:t>最大输出分辨率</w:t>
            </w:r>
            <w:r>
              <w:rPr>
                <w:rFonts w:hint="eastAsia" w:ascii="宋体" w:hAnsi="宋体" w:cs="宋体"/>
                <w:kern w:val="0"/>
                <w:sz w:val="20"/>
                <w:szCs w:val="22"/>
                <w:lang w:val="en-US" w:eastAsia="zh-CN"/>
              </w:rPr>
              <w:t>不低于</w:t>
            </w:r>
            <w:r>
              <w:rPr>
                <w:rFonts w:hint="eastAsia" w:ascii="宋体" w:hAnsi="宋体" w:cs="宋体"/>
                <w:kern w:val="0"/>
                <w:sz w:val="20"/>
                <w:szCs w:val="22"/>
              </w:rPr>
              <w:t>1920*1080@25fps</w:t>
            </w:r>
            <w:r>
              <w:rPr>
                <w:rFonts w:hint="eastAsia" w:ascii="宋体" w:hAnsi="宋体" w:cs="宋体"/>
                <w:kern w:val="0"/>
                <w:sz w:val="20"/>
                <w:szCs w:val="22"/>
                <w:lang w:val="en-US" w:eastAsia="zh-CN"/>
              </w:rPr>
              <w:t xml:space="preserve"> </w:t>
            </w:r>
            <w:r>
              <w:rPr>
                <w:rFonts w:hint="eastAsia" w:ascii="宋体" w:hAnsi="宋体" w:cs="宋体"/>
                <w:kern w:val="0"/>
                <w:sz w:val="20"/>
                <w:szCs w:val="22"/>
              </w:rPr>
              <w:t>30fps，支持三码流传输；</w:t>
            </w:r>
          </w:p>
          <w:p>
            <w:pPr>
              <w:jc w:val="left"/>
              <w:rPr>
                <w:rFonts w:ascii="宋体" w:hAnsi="宋体" w:cs="宋体"/>
                <w:kern w:val="0"/>
                <w:sz w:val="20"/>
                <w:szCs w:val="22"/>
              </w:rPr>
            </w:pPr>
            <w:r>
              <w:rPr>
                <w:rFonts w:hint="eastAsia" w:ascii="宋体" w:hAnsi="宋体" w:cs="宋体"/>
                <w:kern w:val="0"/>
                <w:sz w:val="20"/>
                <w:szCs w:val="22"/>
              </w:rPr>
              <w:t>支持真实宽动态，动态范围120dB，适合逆光环境；</w:t>
            </w:r>
          </w:p>
          <w:p>
            <w:pPr>
              <w:jc w:val="left"/>
              <w:rPr>
                <w:rFonts w:ascii="宋体" w:hAnsi="宋体" w:cs="宋体"/>
                <w:kern w:val="0"/>
                <w:sz w:val="20"/>
                <w:szCs w:val="22"/>
              </w:rPr>
            </w:pPr>
            <w:r>
              <w:rPr>
                <w:rFonts w:hint="eastAsia" w:ascii="宋体" w:hAnsi="宋体" w:cs="宋体"/>
                <w:kern w:val="0"/>
                <w:sz w:val="20"/>
                <w:szCs w:val="22"/>
              </w:rPr>
              <w:t>支持数字水印加密，防止数据被篡改；</w:t>
            </w:r>
          </w:p>
          <w:p>
            <w:pPr>
              <w:jc w:val="left"/>
              <w:rPr>
                <w:rFonts w:hint="eastAsia" w:ascii="宋体" w:hAnsi="宋体" w:eastAsia="宋体" w:cs="宋体"/>
                <w:kern w:val="0"/>
                <w:sz w:val="20"/>
                <w:szCs w:val="22"/>
                <w:lang w:eastAsia="zh-CN"/>
              </w:rPr>
            </w:pPr>
            <w:r>
              <w:rPr>
                <w:rFonts w:hint="eastAsia" w:ascii="宋体" w:hAnsi="宋体" w:cs="宋体"/>
                <w:kern w:val="0"/>
                <w:sz w:val="20"/>
                <w:szCs w:val="22"/>
              </w:rPr>
              <w:t>支持IR_CUT（红外滤片式自动切换）</w:t>
            </w:r>
            <w:r>
              <w:rPr>
                <w:rFonts w:hint="eastAsia" w:ascii="宋体" w:hAnsi="宋体" w:cs="宋体"/>
                <w:kern w:val="0"/>
                <w:sz w:val="20"/>
                <w:szCs w:val="22"/>
                <w:lang w:eastAsia="zh-CN"/>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套</w:t>
            </w:r>
          </w:p>
        </w:tc>
        <w:tc>
          <w:tcPr>
            <w:tcW w:w="606" w:type="dxa"/>
            <w:vAlign w:val="center"/>
          </w:tcPr>
          <w:p>
            <w:pPr>
              <w:jc w:val="center"/>
              <w:rPr>
                <w:rFonts w:ascii="宋体" w:hAnsi="宋体" w:cs="宋体"/>
                <w:kern w:val="0"/>
                <w:sz w:val="20"/>
              </w:rPr>
            </w:pPr>
            <w:r>
              <w:rPr>
                <w:rFonts w:hint="eastAsia" w:ascii="宋体" w:hAnsi="宋体" w:cs="宋体"/>
                <w:kern w:val="0"/>
                <w:sz w:val="20"/>
              </w:rPr>
              <w:t>4</w:t>
            </w:r>
          </w:p>
        </w:tc>
        <w:tc>
          <w:tcPr>
            <w:tcW w:w="308" w:type="dxa"/>
          </w:tcPr>
          <w:p>
            <w:pPr>
              <w:jc w:val="center"/>
              <w:rPr>
                <w:rFonts w:ascii="宋体" w:hAnsi="宋体" w:cs="宋体"/>
                <w:kern w:val="0"/>
                <w:sz w:val="20"/>
              </w:rPr>
            </w:pPr>
          </w:p>
        </w:tc>
      </w:tr>
    </w:tbl>
    <w:p>
      <w:pPr>
        <w:numPr>
          <w:ilvl w:val="0"/>
          <w:numId w:val="2"/>
        </w:numPr>
        <w:ind w:left="0" w:leftChars="0" w:firstLine="0" w:firstLineChars="0"/>
        <w:rPr>
          <w:rFonts w:hint="eastAsia"/>
          <w:sz w:val="32"/>
          <w:szCs w:val="32"/>
          <w:lang w:eastAsia="zh-CN"/>
        </w:rPr>
      </w:pPr>
      <w:r>
        <w:rPr>
          <w:rFonts w:hint="eastAsia"/>
          <w:sz w:val="32"/>
          <w:szCs w:val="32"/>
          <w:lang w:eastAsia="zh-CN"/>
        </w:rPr>
        <w:t>原文件</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3658"/>
        <w:gridCol w:w="4011"/>
        <w:gridCol w:w="595"/>
        <w:gridCol w:w="606"/>
        <w:gridCol w:w="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4"/>
            <w:noWrap/>
            <w:vAlign w:val="center"/>
          </w:tcPr>
          <w:p>
            <w:pPr>
              <w:jc w:val="left"/>
              <w:rPr>
                <w:rFonts w:ascii="宋体" w:hAnsi="宋体" w:cs="宋体"/>
                <w:kern w:val="0"/>
                <w:sz w:val="20"/>
              </w:rPr>
            </w:pPr>
            <w:r>
              <w:rPr>
                <w:rFonts w:hint="eastAsia" w:ascii="宋体" w:hAnsi="宋体" w:cs="宋体"/>
                <w:b/>
                <w:bCs/>
                <w:kern w:val="0"/>
                <w:sz w:val="20"/>
              </w:rPr>
              <w:t>八、运维及链路费用</w:t>
            </w:r>
          </w:p>
        </w:tc>
        <w:tc>
          <w:tcPr>
            <w:tcW w:w="606" w:type="dxa"/>
          </w:tcPr>
          <w:p>
            <w:pPr>
              <w:jc w:val="left"/>
              <w:rPr>
                <w:rFonts w:ascii="宋体" w:hAnsi="宋体" w:cs="宋体"/>
                <w:b/>
                <w:bCs/>
                <w:kern w:val="0"/>
                <w:sz w:val="20"/>
              </w:rPr>
            </w:pPr>
          </w:p>
        </w:tc>
        <w:tc>
          <w:tcPr>
            <w:tcW w:w="308" w:type="dxa"/>
          </w:tcPr>
          <w:p>
            <w:pPr>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4"/>
            <w:noWrap/>
            <w:vAlign w:val="center"/>
          </w:tcPr>
          <w:p>
            <w:pPr>
              <w:jc w:val="left"/>
              <w:rPr>
                <w:rFonts w:ascii="宋体" w:hAnsi="宋体" w:cs="宋体"/>
                <w:kern w:val="0"/>
                <w:sz w:val="20"/>
              </w:rPr>
            </w:pPr>
            <w:r>
              <w:rPr>
                <w:rFonts w:hint="eastAsia" w:ascii="宋体" w:hAnsi="宋体" w:cs="宋体"/>
                <w:b/>
                <w:bCs/>
                <w:kern w:val="0"/>
                <w:sz w:val="20"/>
              </w:rPr>
              <w:t>1</w:t>
            </w:r>
            <w:r>
              <w:rPr>
                <w:rFonts w:ascii="宋体" w:hAnsi="宋体" w:cs="宋体"/>
                <w:b/>
                <w:bCs/>
                <w:kern w:val="0"/>
                <w:sz w:val="20"/>
              </w:rPr>
              <w:t>.</w:t>
            </w:r>
            <w:r>
              <w:rPr>
                <w:rFonts w:hint="eastAsia" w:ascii="宋体" w:hAnsi="宋体" w:cs="宋体"/>
                <w:b/>
                <w:bCs/>
                <w:kern w:val="0"/>
                <w:sz w:val="20"/>
              </w:rPr>
              <w:t>人员费用</w:t>
            </w:r>
          </w:p>
        </w:tc>
        <w:tc>
          <w:tcPr>
            <w:tcW w:w="606" w:type="dxa"/>
          </w:tcPr>
          <w:p>
            <w:pPr>
              <w:jc w:val="left"/>
              <w:rPr>
                <w:rFonts w:ascii="宋体" w:hAnsi="宋体" w:cs="宋体"/>
                <w:b/>
                <w:bCs/>
                <w:kern w:val="0"/>
                <w:sz w:val="20"/>
              </w:rPr>
            </w:pPr>
          </w:p>
        </w:tc>
        <w:tc>
          <w:tcPr>
            <w:tcW w:w="308" w:type="dxa"/>
          </w:tcPr>
          <w:p>
            <w:pPr>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w:t>
            </w:r>
          </w:p>
        </w:tc>
        <w:tc>
          <w:tcPr>
            <w:tcW w:w="3658" w:type="dxa"/>
            <w:vAlign w:val="center"/>
          </w:tcPr>
          <w:p>
            <w:pPr>
              <w:jc w:val="left"/>
              <w:rPr>
                <w:rFonts w:eastAsiaTheme="majorEastAsia"/>
                <w:kern w:val="0"/>
                <w:sz w:val="20"/>
              </w:rPr>
            </w:pPr>
            <w:r>
              <w:rPr>
                <w:rFonts w:eastAsiaTheme="majorEastAsia"/>
                <w:kern w:val="0"/>
                <w:sz w:val="20"/>
              </w:rPr>
              <w:t>人工费</w:t>
            </w:r>
            <w:r>
              <w:rPr>
                <w:rFonts w:hint="eastAsia" w:eastAsiaTheme="majorEastAsia"/>
                <w:kern w:val="0"/>
                <w:sz w:val="20"/>
              </w:rPr>
              <w:t>（含人员工资、车辆等费用）</w:t>
            </w:r>
          </w:p>
        </w:tc>
        <w:tc>
          <w:tcPr>
            <w:tcW w:w="4011" w:type="dxa"/>
            <w:noWrap/>
            <w:vAlign w:val="center"/>
          </w:tcPr>
          <w:p>
            <w:pPr>
              <w:jc w:val="left"/>
              <w:rPr>
                <w:rFonts w:eastAsiaTheme="majorEastAsia"/>
                <w:kern w:val="0"/>
                <w:sz w:val="20"/>
              </w:rPr>
            </w:pPr>
            <w:r>
              <w:rPr>
                <w:rFonts w:hint="eastAsia" w:eastAsiaTheme="majorEastAsia"/>
                <w:color w:val="auto"/>
                <w:kern w:val="0"/>
                <w:sz w:val="20"/>
                <w:lang w:val="en-US" w:eastAsia="zh-CN"/>
              </w:rPr>
              <w:t>4</w:t>
            </w:r>
            <w:r>
              <w:rPr>
                <w:rFonts w:eastAsiaTheme="majorEastAsia"/>
                <w:color w:val="auto"/>
                <w:kern w:val="0"/>
                <w:sz w:val="20"/>
              </w:rPr>
              <w:t>名</w:t>
            </w:r>
            <w:r>
              <w:rPr>
                <w:rFonts w:eastAsiaTheme="majorEastAsia"/>
                <w:kern w:val="0"/>
                <w:sz w:val="20"/>
              </w:rPr>
              <w:t>专业技术支持工程师驻点服务</w:t>
            </w:r>
            <w:r>
              <w:rPr>
                <w:rFonts w:hint="eastAsia" w:eastAsiaTheme="majorEastAsia"/>
                <w:kern w:val="0"/>
                <w:sz w:val="20"/>
              </w:rPr>
              <w:t>。</w:t>
            </w:r>
          </w:p>
        </w:tc>
        <w:tc>
          <w:tcPr>
            <w:tcW w:w="595" w:type="dxa"/>
            <w:noWrap/>
            <w:vAlign w:val="center"/>
          </w:tcPr>
          <w:p>
            <w:pPr>
              <w:jc w:val="center"/>
              <w:rPr>
                <w:rFonts w:eastAsiaTheme="majorEastAsia"/>
                <w:kern w:val="0"/>
                <w:sz w:val="20"/>
              </w:rPr>
            </w:pPr>
            <w:r>
              <w:rPr>
                <w:rFonts w:eastAsiaTheme="majorEastAsia"/>
                <w:kern w:val="0"/>
                <w:sz w:val="20"/>
              </w:rPr>
              <w:t>年</w:t>
            </w:r>
          </w:p>
        </w:tc>
        <w:tc>
          <w:tcPr>
            <w:tcW w:w="606" w:type="dxa"/>
            <w:vAlign w:val="center"/>
          </w:tcPr>
          <w:p>
            <w:pPr>
              <w:jc w:val="center"/>
              <w:rPr>
                <w:rFonts w:eastAsiaTheme="majorEastAsia"/>
                <w:kern w:val="0"/>
                <w:sz w:val="20"/>
              </w:rPr>
            </w:pPr>
            <w:r>
              <w:rPr>
                <w:rFonts w:hint="eastAsia" w:eastAsiaTheme="majorEastAsia"/>
                <w:kern w:val="0"/>
                <w:sz w:val="20"/>
              </w:rPr>
              <w:t>1</w:t>
            </w:r>
          </w:p>
        </w:tc>
        <w:tc>
          <w:tcPr>
            <w:tcW w:w="308" w:type="dxa"/>
          </w:tcPr>
          <w:p>
            <w:pPr>
              <w:jc w:val="center"/>
              <w:rPr>
                <w:rFonts w:eastAsiaTheme="maj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4"/>
            <w:noWrap/>
            <w:vAlign w:val="center"/>
          </w:tcPr>
          <w:p>
            <w:pPr>
              <w:jc w:val="left"/>
              <w:rPr>
                <w:rFonts w:ascii="宋体" w:hAnsi="宋体" w:cs="宋体"/>
                <w:kern w:val="0"/>
                <w:sz w:val="20"/>
              </w:rPr>
            </w:pPr>
            <w:r>
              <w:rPr>
                <w:rFonts w:ascii="宋体" w:hAnsi="宋体" w:cs="宋体"/>
                <w:b/>
                <w:bCs/>
                <w:kern w:val="0"/>
                <w:sz w:val="20"/>
              </w:rPr>
              <w:t>2.</w:t>
            </w:r>
            <w:r>
              <w:rPr>
                <w:rFonts w:hint="eastAsia" w:ascii="宋体" w:hAnsi="宋体" w:cs="宋体"/>
                <w:b/>
                <w:bCs/>
                <w:kern w:val="0"/>
                <w:sz w:val="20"/>
              </w:rPr>
              <w:t>数据传输通讯费</w:t>
            </w:r>
          </w:p>
        </w:tc>
        <w:tc>
          <w:tcPr>
            <w:tcW w:w="606" w:type="dxa"/>
          </w:tcPr>
          <w:p>
            <w:pPr>
              <w:jc w:val="left"/>
              <w:rPr>
                <w:rFonts w:ascii="宋体" w:hAnsi="宋体" w:cs="宋体"/>
                <w:b/>
                <w:bCs/>
                <w:kern w:val="0"/>
                <w:sz w:val="20"/>
              </w:rPr>
            </w:pPr>
          </w:p>
        </w:tc>
        <w:tc>
          <w:tcPr>
            <w:tcW w:w="308" w:type="dxa"/>
          </w:tcPr>
          <w:p>
            <w:pPr>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w:t>
            </w:r>
          </w:p>
        </w:tc>
        <w:tc>
          <w:tcPr>
            <w:tcW w:w="3658" w:type="dxa"/>
            <w:vAlign w:val="center"/>
          </w:tcPr>
          <w:p>
            <w:pPr>
              <w:jc w:val="left"/>
              <w:rPr>
                <w:rFonts w:ascii="宋体" w:hAnsi="宋体" w:cs="宋体"/>
                <w:kern w:val="0"/>
                <w:sz w:val="20"/>
              </w:rPr>
            </w:pPr>
            <w:r>
              <w:rPr>
                <w:rFonts w:ascii="宋体" w:hAnsi="宋体" w:cs="宋体"/>
                <w:kern w:val="0"/>
                <w:sz w:val="20"/>
              </w:rPr>
              <w:t>企业至园区数据采集链路</w:t>
            </w:r>
            <w:r>
              <w:rPr>
                <w:rFonts w:hint="eastAsia" w:ascii="宋体" w:hAnsi="宋体" w:cs="宋体"/>
                <w:kern w:val="0"/>
                <w:sz w:val="20"/>
              </w:rPr>
              <w:t>（每年）</w:t>
            </w:r>
          </w:p>
        </w:tc>
        <w:tc>
          <w:tcPr>
            <w:tcW w:w="4011" w:type="dxa"/>
            <w:noWrap/>
            <w:vAlign w:val="bottom"/>
          </w:tcPr>
          <w:p>
            <w:pPr>
              <w:jc w:val="left"/>
              <w:rPr>
                <w:rFonts w:ascii="宋体" w:hAnsi="宋体" w:cs="宋体" w:eastAsiaTheme="majorEastAsia"/>
                <w:kern w:val="0"/>
                <w:sz w:val="20"/>
              </w:rPr>
            </w:pPr>
            <w:r>
              <w:rPr>
                <w:rFonts w:eastAsiaTheme="majorEastAsia"/>
                <w:kern w:val="0"/>
                <w:sz w:val="20"/>
              </w:rPr>
              <w:t>原有网络扩容（10M，供园区新增环保、安监、能源等数据传输）</w:t>
            </w:r>
            <w:r>
              <w:rPr>
                <w:rFonts w:hint="eastAsia" w:eastAsiaTheme="majorEastAsia"/>
                <w:kern w:val="0"/>
                <w:sz w:val="20"/>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家</w:t>
            </w:r>
          </w:p>
        </w:tc>
        <w:tc>
          <w:tcPr>
            <w:tcW w:w="606" w:type="dxa"/>
            <w:vAlign w:val="center"/>
          </w:tcPr>
          <w:p>
            <w:pPr>
              <w:jc w:val="center"/>
              <w:rPr>
                <w:rFonts w:ascii="宋体" w:hAnsi="宋体" w:cs="宋体"/>
                <w:kern w:val="0"/>
                <w:sz w:val="20"/>
              </w:rPr>
            </w:pPr>
            <w:r>
              <w:rPr>
                <w:rFonts w:hint="eastAsia" w:ascii="宋体" w:hAnsi="宋体" w:cs="宋体"/>
                <w:kern w:val="0"/>
                <w:sz w:val="20"/>
              </w:rPr>
              <w:t>8</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w:t>
            </w:r>
          </w:p>
        </w:tc>
        <w:tc>
          <w:tcPr>
            <w:tcW w:w="3658" w:type="dxa"/>
            <w:vAlign w:val="center"/>
          </w:tcPr>
          <w:p>
            <w:pPr>
              <w:jc w:val="left"/>
              <w:rPr>
                <w:rFonts w:ascii="宋体" w:hAnsi="宋体" w:cs="宋体"/>
                <w:kern w:val="0"/>
                <w:sz w:val="20"/>
              </w:rPr>
            </w:pPr>
            <w:r>
              <w:rPr>
                <w:rFonts w:eastAsiaTheme="majorEastAsia"/>
                <w:kern w:val="0"/>
                <w:sz w:val="20"/>
              </w:rPr>
              <w:t>厂界预警在线监测系统链路</w:t>
            </w:r>
            <w:r>
              <w:rPr>
                <w:rFonts w:hint="eastAsia" w:eastAsiaTheme="majorEastAsia"/>
                <w:kern w:val="0"/>
                <w:sz w:val="20"/>
              </w:rPr>
              <w:t>（每年）</w:t>
            </w:r>
          </w:p>
        </w:tc>
        <w:tc>
          <w:tcPr>
            <w:tcW w:w="4011" w:type="dxa"/>
            <w:noWrap/>
            <w:vAlign w:val="bottom"/>
          </w:tcPr>
          <w:p>
            <w:pPr>
              <w:jc w:val="left"/>
              <w:rPr>
                <w:rFonts w:ascii="宋体" w:hAnsi="宋体" w:cs="宋体"/>
                <w:kern w:val="0"/>
                <w:sz w:val="20"/>
              </w:rPr>
            </w:pPr>
            <w:r>
              <w:rPr>
                <w:rFonts w:ascii="宋体" w:hAnsi="宋体" w:cs="宋体"/>
                <w:kern w:val="0"/>
                <w:sz w:val="20"/>
              </w:rPr>
              <w:t>2G/3G/4G运营商无线传输</w:t>
            </w:r>
            <w:r>
              <w:rPr>
                <w:rFonts w:hint="eastAsia" w:ascii="宋体" w:hAnsi="宋体" w:cs="宋体"/>
                <w:kern w:val="0"/>
                <w:sz w:val="20"/>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项</w:t>
            </w:r>
          </w:p>
        </w:tc>
        <w:tc>
          <w:tcPr>
            <w:tcW w:w="606" w:type="dxa"/>
            <w:vAlign w:val="center"/>
          </w:tcPr>
          <w:p>
            <w:pPr>
              <w:jc w:val="center"/>
              <w:rPr>
                <w:rFonts w:ascii="宋体" w:hAnsi="宋体" w:cs="宋体"/>
                <w:kern w:val="0"/>
                <w:sz w:val="20"/>
              </w:rPr>
            </w:pPr>
            <w:r>
              <w:rPr>
                <w:rFonts w:hint="eastAsia" w:ascii="宋体" w:hAnsi="宋体" w:cs="宋体"/>
                <w:kern w:val="0"/>
                <w:sz w:val="20"/>
              </w:rPr>
              <w:t>2</w:t>
            </w:r>
            <w:r>
              <w:rPr>
                <w:rFonts w:ascii="宋体" w:hAnsi="宋体" w:cs="宋体"/>
                <w:kern w:val="0"/>
                <w:sz w:val="20"/>
              </w:rPr>
              <w:t>6</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3</w:t>
            </w:r>
          </w:p>
        </w:tc>
        <w:tc>
          <w:tcPr>
            <w:tcW w:w="3658" w:type="dxa"/>
            <w:vAlign w:val="center"/>
          </w:tcPr>
          <w:p>
            <w:pPr>
              <w:jc w:val="left"/>
              <w:rPr>
                <w:rFonts w:ascii="宋体" w:hAnsi="宋体" w:cs="宋体"/>
                <w:kern w:val="0"/>
                <w:sz w:val="20"/>
              </w:rPr>
            </w:pPr>
            <w:r>
              <w:rPr>
                <w:rFonts w:eastAsiaTheme="majorEastAsia"/>
                <w:kern w:val="0"/>
                <w:sz w:val="20"/>
              </w:rPr>
              <w:t>敏感区空气质量监控超级站链路</w:t>
            </w:r>
            <w:r>
              <w:rPr>
                <w:rFonts w:hint="eastAsia" w:eastAsiaTheme="majorEastAsia"/>
                <w:kern w:val="0"/>
                <w:sz w:val="20"/>
              </w:rPr>
              <w:t>（每年）</w:t>
            </w:r>
          </w:p>
        </w:tc>
        <w:tc>
          <w:tcPr>
            <w:tcW w:w="4011" w:type="dxa"/>
            <w:noWrap/>
            <w:vAlign w:val="bottom"/>
          </w:tcPr>
          <w:p>
            <w:pPr>
              <w:jc w:val="left"/>
              <w:rPr>
                <w:rFonts w:ascii="宋体" w:hAnsi="宋体" w:cs="宋体"/>
                <w:kern w:val="0"/>
                <w:sz w:val="20"/>
              </w:rPr>
            </w:pPr>
            <w:r>
              <w:rPr>
                <w:rFonts w:hint="eastAsia" w:ascii="宋体" w:hAnsi="宋体" w:cs="宋体"/>
                <w:kern w:val="0"/>
                <w:sz w:val="20"/>
              </w:rPr>
              <w:t>1</w:t>
            </w:r>
            <w:r>
              <w:rPr>
                <w:rFonts w:ascii="宋体" w:hAnsi="宋体" w:cs="宋体"/>
                <w:kern w:val="0"/>
                <w:sz w:val="20"/>
              </w:rPr>
              <w:t>0M光纤接入</w:t>
            </w:r>
            <w:r>
              <w:rPr>
                <w:rFonts w:hint="eastAsia" w:ascii="宋体" w:hAnsi="宋体" w:cs="宋体"/>
                <w:kern w:val="0"/>
                <w:sz w:val="20"/>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项</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4</w:t>
            </w:r>
          </w:p>
        </w:tc>
        <w:tc>
          <w:tcPr>
            <w:tcW w:w="3658" w:type="dxa"/>
            <w:vAlign w:val="center"/>
          </w:tcPr>
          <w:p>
            <w:pPr>
              <w:jc w:val="left"/>
              <w:rPr>
                <w:rFonts w:ascii="宋体" w:hAnsi="宋体" w:cs="宋体"/>
                <w:kern w:val="0"/>
                <w:sz w:val="20"/>
              </w:rPr>
            </w:pPr>
            <w:r>
              <w:rPr>
                <w:rFonts w:eastAsiaTheme="majorEastAsia"/>
                <w:kern w:val="0"/>
                <w:sz w:val="20"/>
              </w:rPr>
              <w:t>高空瞭望链路</w:t>
            </w:r>
            <w:r>
              <w:rPr>
                <w:rFonts w:hint="eastAsia" w:eastAsiaTheme="majorEastAsia"/>
                <w:kern w:val="0"/>
                <w:sz w:val="20"/>
              </w:rPr>
              <w:t>（每年）</w:t>
            </w:r>
          </w:p>
        </w:tc>
        <w:tc>
          <w:tcPr>
            <w:tcW w:w="4011" w:type="dxa"/>
            <w:noWrap/>
            <w:vAlign w:val="bottom"/>
          </w:tcPr>
          <w:p>
            <w:pPr>
              <w:jc w:val="left"/>
              <w:rPr>
                <w:rFonts w:ascii="宋体" w:hAnsi="宋体" w:cs="宋体"/>
                <w:kern w:val="0"/>
                <w:sz w:val="20"/>
              </w:rPr>
            </w:pPr>
            <w:r>
              <w:rPr>
                <w:rFonts w:ascii="宋体" w:hAnsi="宋体" w:cs="宋体"/>
                <w:kern w:val="0"/>
                <w:sz w:val="20"/>
              </w:rPr>
              <w:t>10M光纤接入</w:t>
            </w:r>
            <w:r>
              <w:rPr>
                <w:rFonts w:hint="eastAsia" w:ascii="宋体" w:hAnsi="宋体" w:cs="宋体"/>
                <w:kern w:val="0"/>
                <w:sz w:val="20"/>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项</w:t>
            </w:r>
          </w:p>
        </w:tc>
        <w:tc>
          <w:tcPr>
            <w:tcW w:w="606" w:type="dxa"/>
            <w:vAlign w:val="center"/>
          </w:tcPr>
          <w:p>
            <w:pPr>
              <w:jc w:val="center"/>
              <w:rPr>
                <w:rFonts w:ascii="宋体" w:hAnsi="宋体" w:cs="宋体"/>
                <w:kern w:val="0"/>
                <w:sz w:val="20"/>
              </w:rPr>
            </w:pPr>
            <w:r>
              <w:rPr>
                <w:rFonts w:ascii="宋体" w:hAnsi="宋体" w:cs="宋体"/>
                <w:kern w:val="0"/>
                <w:sz w:val="20"/>
              </w:rPr>
              <w:t>2</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5</w:t>
            </w:r>
          </w:p>
        </w:tc>
        <w:tc>
          <w:tcPr>
            <w:tcW w:w="3658" w:type="dxa"/>
            <w:vAlign w:val="center"/>
          </w:tcPr>
          <w:p>
            <w:pPr>
              <w:jc w:val="left"/>
              <w:rPr>
                <w:rFonts w:ascii="宋体" w:hAnsi="宋体" w:cs="宋体"/>
                <w:kern w:val="0"/>
                <w:sz w:val="20"/>
              </w:rPr>
            </w:pPr>
            <w:r>
              <w:rPr>
                <w:rFonts w:eastAsiaTheme="majorEastAsia"/>
                <w:kern w:val="0"/>
                <w:sz w:val="20"/>
              </w:rPr>
              <w:t>中心端链路</w:t>
            </w:r>
            <w:r>
              <w:rPr>
                <w:rFonts w:hint="eastAsia" w:eastAsiaTheme="majorEastAsia"/>
                <w:kern w:val="0"/>
                <w:sz w:val="20"/>
              </w:rPr>
              <w:t>（每年）</w:t>
            </w:r>
          </w:p>
        </w:tc>
        <w:tc>
          <w:tcPr>
            <w:tcW w:w="4011" w:type="dxa"/>
            <w:noWrap/>
            <w:vAlign w:val="bottom"/>
          </w:tcPr>
          <w:p>
            <w:pPr>
              <w:jc w:val="left"/>
              <w:rPr>
                <w:rFonts w:ascii="宋体" w:hAnsi="宋体" w:cs="宋体"/>
                <w:kern w:val="0"/>
                <w:sz w:val="20"/>
              </w:rPr>
            </w:pPr>
            <w:r>
              <w:rPr>
                <w:rFonts w:ascii="宋体" w:hAnsi="宋体" w:cs="宋体"/>
                <w:kern w:val="0"/>
                <w:sz w:val="20"/>
              </w:rPr>
              <w:t>100M光纤接入</w:t>
            </w:r>
            <w:r>
              <w:rPr>
                <w:rFonts w:hint="eastAsia" w:ascii="宋体" w:hAnsi="宋体" w:cs="宋体"/>
                <w:kern w:val="0"/>
                <w:sz w:val="20"/>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项</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4"/>
            <w:noWrap/>
            <w:vAlign w:val="center"/>
          </w:tcPr>
          <w:p>
            <w:pPr>
              <w:jc w:val="left"/>
              <w:rPr>
                <w:rFonts w:ascii="宋体" w:hAnsi="宋体" w:cs="宋体"/>
                <w:kern w:val="0"/>
                <w:sz w:val="20"/>
              </w:rPr>
            </w:pPr>
            <w:r>
              <w:rPr>
                <w:rFonts w:hint="eastAsia" w:ascii="宋体" w:hAnsi="宋体" w:cs="宋体"/>
                <w:kern w:val="0"/>
                <w:sz w:val="20"/>
              </w:rPr>
              <w:t>注：甲烷/非甲烷总烃在线分析仪，VOCs在线质谱分析仪(GC-FID/MS)，内网网闸，内网防火墙为核心设备。</w:t>
            </w:r>
          </w:p>
        </w:tc>
        <w:tc>
          <w:tcPr>
            <w:tcW w:w="606" w:type="dxa"/>
          </w:tcPr>
          <w:p>
            <w:pPr>
              <w:jc w:val="left"/>
              <w:rPr>
                <w:rFonts w:ascii="宋体" w:hAnsi="宋体" w:cs="宋体"/>
                <w:kern w:val="0"/>
                <w:sz w:val="20"/>
              </w:rPr>
            </w:pPr>
          </w:p>
        </w:tc>
        <w:tc>
          <w:tcPr>
            <w:tcW w:w="308" w:type="dxa"/>
          </w:tcPr>
          <w:p>
            <w:pPr>
              <w:jc w:val="left"/>
              <w:rPr>
                <w:rFonts w:ascii="宋体" w:hAnsi="宋体" w:cs="宋体"/>
                <w:kern w:val="0"/>
                <w:sz w:val="20"/>
              </w:rPr>
            </w:pPr>
          </w:p>
        </w:tc>
      </w:tr>
    </w:tbl>
    <w:p>
      <w:pPr>
        <w:numPr>
          <w:ilvl w:val="0"/>
          <w:numId w:val="0"/>
        </w:numPr>
        <w:ind w:leftChars="0"/>
        <w:rPr>
          <w:rFonts w:hint="eastAsia"/>
          <w:sz w:val="32"/>
          <w:szCs w:val="32"/>
          <w:lang w:eastAsia="zh-CN"/>
        </w:rPr>
      </w:pPr>
      <w:r>
        <w:rPr>
          <w:rFonts w:hint="eastAsia"/>
          <w:sz w:val="32"/>
          <w:szCs w:val="32"/>
          <w:lang w:eastAsia="zh-CN"/>
        </w:rPr>
        <w:t>修改后：</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3658"/>
        <w:gridCol w:w="4011"/>
        <w:gridCol w:w="595"/>
        <w:gridCol w:w="606"/>
        <w:gridCol w:w="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4"/>
            <w:noWrap/>
            <w:vAlign w:val="center"/>
          </w:tcPr>
          <w:p>
            <w:pPr>
              <w:jc w:val="left"/>
              <w:rPr>
                <w:rFonts w:ascii="宋体" w:hAnsi="宋体" w:cs="宋体"/>
                <w:kern w:val="0"/>
                <w:sz w:val="20"/>
              </w:rPr>
            </w:pPr>
            <w:r>
              <w:rPr>
                <w:rFonts w:hint="eastAsia" w:ascii="宋体" w:hAnsi="宋体" w:cs="宋体"/>
                <w:b/>
                <w:bCs/>
                <w:kern w:val="0"/>
                <w:sz w:val="20"/>
              </w:rPr>
              <w:t>八、运维及链路费用</w:t>
            </w:r>
          </w:p>
        </w:tc>
        <w:tc>
          <w:tcPr>
            <w:tcW w:w="606" w:type="dxa"/>
          </w:tcPr>
          <w:p>
            <w:pPr>
              <w:jc w:val="left"/>
              <w:rPr>
                <w:rFonts w:ascii="宋体" w:hAnsi="宋体" w:cs="宋体"/>
                <w:b/>
                <w:bCs/>
                <w:kern w:val="0"/>
                <w:sz w:val="20"/>
              </w:rPr>
            </w:pPr>
          </w:p>
        </w:tc>
        <w:tc>
          <w:tcPr>
            <w:tcW w:w="308" w:type="dxa"/>
          </w:tcPr>
          <w:p>
            <w:pPr>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4"/>
            <w:noWrap/>
            <w:vAlign w:val="center"/>
          </w:tcPr>
          <w:p>
            <w:pPr>
              <w:jc w:val="left"/>
              <w:rPr>
                <w:rFonts w:ascii="宋体" w:hAnsi="宋体" w:cs="宋体"/>
                <w:kern w:val="0"/>
                <w:sz w:val="20"/>
              </w:rPr>
            </w:pPr>
            <w:r>
              <w:rPr>
                <w:rFonts w:hint="eastAsia" w:ascii="宋体" w:hAnsi="宋体" w:cs="宋体"/>
                <w:b/>
                <w:bCs/>
                <w:kern w:val="0"/>
                <w:sz w:val="20"/>
              </w:rPr>
              <w:t>1</w:t>
            </w:r>
            <w:r>
              <w:rPr>
                <w:rFonts w:ascii="宋体" w:hAnsi="宋体" w:cs="宋体"/>
                <w:b/>
                <w:bCs/>
                <w:kern w:val="0"/>
                <w:sz w:val="20"/>
              </w:rPr>
              <w:t>.</w:t>
            </w:r>
            <w:r>
              <w:rPr>
                <w:rFonts w:hint="eastAsia" w:ascii="宋体" w:hAnsi="宋体" w:cs="宋体"/>
                <w:b/>
                <w:bCs/>
                <w:kern w:val="0"/>
                <w:sz w:val="20"/>
              </w:rPr>
              <w:t>人员费用</w:t>
            </w:r>
          </w:p>
        </w:tc>
        <w:tc>
          <w:tcPr>
            <w:tcW w:w="606" w:type="dxa"/>
          </w:tcPr>
          <w:p>
            <w:pPr>
              <w:jc w:val="left"/>
              <w:rPr>
                <w:rFonts w:ascii="宋体" w:hAnsi="宋体" w:cs="宋体"/>
                <w:b/>
                <w:bCs/>
                <w:kern w:val="0"/>
                <w:sz w:val="20"/>
              </w:rPr>
            </w:pPr>
          </w:p>
        </w:tc>
        <w:tc>
          <w:tcPr>
            <w:tcW w:w="308" w:type="dxa"/>
          </w:tcPr>
          <w:p>
            <w:pPr>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w:t>
            </w:r>
          </w:p>
        </w:tc>
        <w:tc>
          <w:tcPr>
            <w:tcW w:w="3658" w:type="dxa"/>
            <w:vAlign w:val="center"/>
          </w:tcPr>
          <w:p>
            <w:pPr>
              <w:jc w:val="left"/>
              <w:rPr>
                <w:rFonts w:eastAsiaTheme="majorEastAsia"/>
                <w:kern w:val="0"/>
                <w:sz w:val="20"/>
              </w:rPr>
            </w:pPr>
            <w:r>
              <w:rPr>
                <w:rFonts w:eastAsiaTheme="majorEastAsia"/>
                <w:kern w:val="0"/>
                <w:sz w:val="20"/>
              </w:rPr>
              <w:t>人工费</w:t>
            </w:r>
            <w:r>
              <w:rPr>
                <w:rFonts w:hint="eastAsia" w:eastAsiaTheme="majorEastAsia"/>
                <w:kern w:val="0"/>
                <w:sz w:val="20"/>
              </w:rPr>
              <w:t>（含人员工资、车辆等费用）</w:t>
            </w:r>
          </w:p>
        </w:tc>
        <w:tc>
          <w:tcPr>
            <w:tcW w:w="4011" w:type="dxa"/>
            <w:noWrap/>
            <w:vAlign w:val="center"/>
          </w:tcPr>
          <w:p>
            <w:pPr>
              <w:jc w:val="left"/>
              <w:rPr>
                <w:rFonts w:eastAsiaTheme="majorEastAsia"/>
                <w:kern w:val="0"/>
                <w:sz w:val="20"/>
              </w:rPr>
            </w:pPr>
            <w:r>
              <w:rPr>
                <w:rFonts w:hint="eastAsia" w:eastAsiaTheme="majorEastAsia"/>
                <w:color w:val="auto"/>
                <w:kern w:val="0"/>
                <w:sz w:val="20"/>
                <w:lang w:val="en-US" w:eastAsia="zh-CN"/>
              </w:rPr>
              <w:t>4</w:t>
            </w:r>
            <w:r>
              <w:rPr>
                <w:rFonts w:eastAsiaTheme="majorEastAsia"/>
                <w:color w:val="auto"/>
                <w:kern w:val="0"/>
                <w:sz w:val="20"/>
              </w:rPr>
              <w:t>名</w:t>
            </w:r>
            <w:r>
              <w:rPr>
                <w:rFonts w:eastAsiaTheme="majorEastAsia"/>
                <w:kern w:val="0"/>
                <w:sz w:val="20"/>
              </w:rPr>
              <w:t>专业技术支持工程师驻点服务</w:t>
            </w:r>
            <w:r>
              <w:rPr>
                <w:rFonts w:hint="eastAsia" w:eastAsiaTheme="majorEastAsia"/>
                <w:kern w:val="0"/>
                <w:sz w:val="20"/>
              </w:rPr>
              <w:t>。</w:t>
            </w:r>
          </w:p>
        </w:tc>
        <w:tc>
          <w:tcPr>
            <w:tcW w:w="595" w:type="dxa"/>
            <w:noWrap/>
            <w:vAlign w:val="center"/>
          </w:tcPr>
          <w:p>
            <w:pPr>
              <w:jc w:val="center"/>
              <w:rPr>
                <w:rFonts w:eastAsiaTheme="majorEastAsia"/>
                <w:kern w:val="0"/>
                <w:sz w:val="20"/>
              </w:rPr>
            </w:pPr>
            <w:r>
              <w:rPr>
                <w:rFonts w:eastAsiaTheme="majorEastAsia"/>
                <w:kern w:val="0"/>
                <w:sz w:val="20"/>
              </w:rPr>
              <w:t>年</w:t>
            </w:r>
          </w:p>
        </w:tc>
        <w:tc>
          <w:tcPr>
            <w:tcW w:w="606" w:type="dxa"/>
            <w:vAlign w:val="center"/>
          </w:tcPr>
          <w:p>
            <w:pPr>
              <w:jc w:val="center"/>
              <w:rPr>
                <w:rFonts w:eastAsiaTheme="majorEastAsia"/>
                <w:kern w:val="0"/>
                <w:sz w:val="20"/>
              </w:rPr>
            </w:pPr>
            <w:r>
              <w:rPr>
                <w:rFonts w:hint="eastAsia" w:eastAsiaTheme="majorEastAsia"/>
                <w:kern w:val="0"/>
                <w:sz w:val="20"/>
              </w:rPr>
              <w:t>1</w:t>
            </w:r>
          </w:p>
        </w:tc>
        <w:tc>
          <w:tcPr>
            <w:tcW w:w="308" w:type="dxa"/>
          </w:tcPr>
          <w:p>
            <w:pPr>
              <w:jc w:val="center"/>
              <w:rPr>
                <w:rFonts w:eastAsiaTheme="majorEastAsia"/>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4"/>
            <w:noWrap/>
            <w:vAlign w:val="center"/>
          </w:tcPr>
          <w:p>
            <w:pPr>
              <w:jc w:val="left"/>
              <w:rPr>
                <w:rFonts w:ascii="宋体" w:hAnsi="宋体" w:cs="宋体"/>
                <w:kern w:val="0"/>
                <w:sz w:val="20"/>
              </w:rPr>
            </w:pPr>
            <w:r>
              <w:rPr>
                <w:rFonts w:ascii="宋体" w:hAnsi="宋体" w:cs="宋体"/>
                <w:b/>
                <w:bCs/>
                <w:kern w:val="0"/>
                <w:sz w:val="20"/>
              </w:rPr>
              <w:t>2.</w:t>
            </w:r>
            <w:r>
              <w:rPr>
                <w:rFonts w:hint="eastAsia" w:ascii="宋体" w:hAnsi="宋体" w:cs="宋体"/>
                <w:b/>
                <w:bCs/>
                <w:kern w:val="0"/>
                <w:sz w:val="20"/>
              </w:rPr>
              <w:t>数据传输通讯费</w:t>
            </w:r>
          </w:p>
        </w:tc>
        <w:tc>
          <w:tcPr>
            <w:tcW w:w="606" w:type="dxa"/>
          </w:tcPr>
          <w:p>
            <w:pPr>
              <w:jc w:val="left"/>
              <w:rPr>
                <w:rFonts w:ascii="宋体" w:hAnsi="宋体" w:cs="宋体"/>
                <w:b/>
                <w:bCs/>
                <w:kern w:val="0"/>
                <w:sz w:val="20"/>
              </w:rPr>
            </w:pPr>
          </w:p>
        </w:tc>
        <w:tc>
          <w:tcPr>
            <w:tcW w:w="308" w:type="dxa"/>
          </w:tcPr>
          <w:p>
            <w:pPr>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1</w:t>
            </w:r>
          </w:p>
        </w:tc>
        <w:tc>
          <w:tcPr>
            <w:tcW w:w="3658" w:type="dxa"/>
            <w:vAlign w:val="center"/>
          </w:tcPr>
          <w:p>
            <w:pPr>
              <w:jc w:val="left"/>
              <w:rPr>
                <w:rFonts w:ascii="宋体" w:hAnsi="宋体" w:cs="宋体"/>
                <w:kern w:val="0"/>
                <w:sz w:val="20"/>
              </w:rPr>
            </w:pPr>
            <w:r>
              <w:rPr>
                <w:rFonts w:ascii="宋体" w:hAnsi="宋体" w:cs="宋体"/>
                <w:kern w:val="0"/>
                <w:sz w:val="20"/>
              </w:rPr>
              <w:t>企业至园区数据采集链路</w:t>
            </w:r>
            <w:r>
              <w:rPr>
                <w:rFonts w:hint="eastAsia" w:ascii="宋体" w:hAnsi="宋体" w:cs="宋体"/>
                <w:kern w:val="0"/>
                <w:sz w:val="20"/>
              </w:rPr>
              <w:t>（每年）</w:t>
            </w:r>
          </w:p>
        </w:tc>
        <w:tc>
          <w:tcPr>
            <w:tcW w:w="4011" w:type="dxa"/>
            <w:noWrap/>
            <w:vAlign w:val="bottom"/>
          </w:tcPr>
          <w:p>
            <w:pPr>
              <w:jc w:val="left"/>
              <w:rPr>
                <w:rFonts w:ascii="宋体" w:hAnsi="宋体" w:cs="宋体" w:eastAsiaTheme="majorEastAsia"/>
                <w:kern w:val="0"/>
                <w:sz w:val="20"/>
              </w:rPr>
            </w:pPr>
            <w:r>
              <w:rPr>
                <w:rFonts w:eastAsiaTheme="majorEastAsia"/>
                <w:kern w:val="0"/>
                <w:sz w:val="20"/>
              </w:rPr>
              <w:t>原有网络扩容（10M，供园区新增环保、安监、能源等数据传输）</w:t>
            </w:r>
            <w:r>
              <w:rPr>
                <w:rFonts w:hint="eastAsia" w:eastAsiaTheme="majorEastAsia"/>
                <w:kern w:val="0"/>
                <w:sz w:val="20"/>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家</w:t>
            </w:r>
          </w:p>
        </w:tc>
        <w:tc>
          <w:tcPr>
            <w:tcW w:w="606" w:type="dxa"/>
            <w:vAlign w:val="center"/>
          </w:tcPr>
          <w:p>
            <w:pPr>
              <w:jc w:val="center"/>
              <w:rPr>
                <w:rFonts w:ascii="宋体" w:hAnsi="宋体" w:cs="宋体"/>
                <w:kern w:val="0"/>
                <w:sz w:val="20"/>
              </w:rPr>
            </w:pPr>
            <w:r>
              <w:rPr>
                <w:rFonts w:hint="eastAsia" w:ascii="宋体" w:hAnsi="宋体" w:cs="宋体"/>
                <w:kern w:val="0"/>
                <w:sz w:val="20"/>
              </w:rPr>
              <w:t>8</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2</w:t>
            </w:r>
          </w:p>
        </w:tc>
        <w:tc>
          <w:tcPr>
            <w:tcW w:w="3658" w:type="dxa"/>
            <w:vAlign w:val="center"/>
          </w:tcPr>
          <w:p>
            <w:pPr>
              <w:jc w:val="left"/>
              <w:rPr>
                <w:rFonts w:ascii="宋体" w:hAnsi="宋体" w:cs="宋体"/>
                <w:kern w:val="0"/>
                <w:sz w:val="20"/>
              </w:rPr>
            </w:pPr>
            <w:r>
              <w:rPr>
                <w:rFonts w:eastAsiaTheme="majorEastAsia"/>
                <w:kern w:val="0"/>
                <w:sz w:val="20"/>
              </w:rPr>
              <w:t>厂界预警在线监测系统链路</w:t>
            </w:r>
            <w:r>
              <w:rPr>
                <w:rFonts w:hint="eastAsia" w:eastAsiaTheme="majorEastAsia"/>
                <w:kern w:val="0"/>
                <w:sz w:val="20"/>
              </w:rPr>
              <w:t>（每年）</w:t>
            </w:r>
          </w:p>
        </w:tc>
        <w:tc>
          <w:tcPr>
            <w:tcW w:w="4011" w:type="dxa"/>
            <w:noWrap/>
            <w:vAlign w:val="bottom"/>
          </w:tcPr>
          <w:p>
            <w:pPr>
              <w:jc w:val="left"/>
              <w:rPr>
                <w:rFonts w:ascii="宋体" w:hAnsi="宋体" w:cs="宋体"/>
                <w:kern w:val="0"/>
                <w:sz w:val="20"/>
              </w:rPr>
            </w:pPr>
            <w:r>
              <w:rPr>
                <w:rFonts w:ascii="宋体" w:hAnsi="宋体" w:cs="宋体"/>
                <w:kern w:val="0"/>
                <w:sz w:val="20"/>
              </w:rPr>
              <w:t>2G/3G/4G运营商无线传输</w:t>
            </w:r>
            <w:r>
              <w:rPr>
                <w:rFonts w:hint="eastAsia" w:ascii="宋体" w:hAnsi="宋体" w:cs="宋体"/>
                <w:kern w:val="0"/>
                <w:sz w:val="20"/>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项</w:t>
            </w:r>
          </w:p>
        </w:tc>
        <w:tc>
          <w:tcPr>
            <w:tcW w:w="606" w:type="dxa"/>
            <w:vAlign w:val="center"/>
          </w:tcPr>
          <w:p>
            <w:pPr>
              <w:jc w:val="center"/>
              <w:rPr>
                <w:rFonts w:ascii="宋体" w:hAnsi="宋体" w:cs="宋体"/>
                <w:kern w:val="0"/>
                <w:sz w:val="20"/>
              </w:rPr>
            </w:pPr>
            <w:r>
              <w:rPr>
                <w:rFonts w:hint="eastAsia" w:ascii="宋体" w:hAnsi="宋体" w:cs="宋体"/>
                <w:kern w:val="0"/>
                <w:sz w:val="20"/>
              </w:rPr>
              <w:t>2</w:t>
            </w:r>
            <w:r>
              <w:rPr>
                <w:rFonts w:ascii="宋体" w:hAnsi="宋体" w:cs="宋体"/>
                <w:kern w:val="0"/>
                <w:sz w:val="20"/>
              </w:rPr>
              <w:t>6</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3</w:t>
            </w:r>
          </w:p>
        </w:tc>
        <w:tc>
          <w:tcPr>
            <w:tcW w:w="3658" w:type="dxa"/>
            <w:vAlign w:val="center"/>
          </w:tcPr>
          <w:p>
            <w:pPr>
              <w:jc w:val="left"/>
              <w:rPr>
                <w:rFonts w:ascii="宋体" w:hAnsi="宋体" w:cs="宋体"/>
                <w:kern w:val="0"/>
                <w:sz w:val="20"/>
              </w:rPr>
            </w:pPr>
            <w:r>
              <w:rPr>
                <w:rFonts w:eastAsiaTheme="majorEastAsia"/>
                <w:kern w:val="0"/>
                <w:sz w:val="20"/>
              </w:rPr>
              <w:t>敏感区空气质量监控超级站链路</w:t>
            </w:r>
            <w:r>
              <w:rPr>
                <w:rFonts w:hint="eastAsia" w:eastAsiaTheme="majorEastAsia"/>
                <w:kern w:val="0"/>
                <w:sz w:val="20"/>
              </w:rPr>
              <w:t>（每年）</w:t>
            </w:r>
          </w:p>
        </w:tc>
        <w:tc>
          <w:tcPr>
            <w:tcW w:w="4011" w:type="dxa"/>
            <w:noWrap/>
            <w:vAlign w:val="bottom"/>
          </w:tcPr>
          <w:p>
            <w:pPr>
              <w:jc w:val="left"/>
              <w:rPr>
                <w:rFonts w:ascii="宋体" w:hAnsi="宋体" w:cs="宋体"/>
                <w:kern w:val="0"/>
                <w:sz w:val="20"/>
              </w:rPr>
            </w:pPr>
            <w:r>
              <w:rPr>
                <w:rFonts w:hint="eastAsia" w:ascii="宋体" w:hAnsi="宋体" w:cs="宋体"/>
                <w:kern w:val="0"/>
                <w:sz w:val="20"/>
              </w:rPr>
              <w:t>1</w:t>
            </w:r>
            <w:r>
              <w:rPr>
                <w:rFonts w:ascii="宋体" w:hAnsi="宋体" w:cs="宋体"/>
                <w:kern w:val="0"/>
                <w:sz w:val="20"/>
              </w:rPr>
              <w:t>0M光纤接入</w:t>
            </w:r>
            <w:r>
              <w:rPr>
                <w:rFonts w:hint="eastAsia" w:ascii="宋体" w:hAnsi="宋体" w:cs="宋体"/>
                <w:kern w:val="0"/>
                <w:sz w:val="20"/>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项</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4</w:t>
            </w:r>
          </w:p>
        </w:tc>
        <w:tc>
          <w:tcPr>
            <w:tcW w:w="3658" w:type="dxa"/>
            <w:vAlign w:val="center"/>
          </w:tcPr>
          <w:p>
            <w:pPr>
              <w:jc w:val="left"/>
              <w:rPr>
                <w:rFonts w:ascii="宋体" w:hAnsi="宋体" w:cs="宋体"/>
                <w:kern w:val="0"/>
                <w:sz w:val="20"/>
              </w:rPr>
            </w:pPr>
            <w:r>
              <w:rPr>
                <w:rFonts w:eastAsiaTheme="majorEastAsia"/>
                <w:kern w:val="0"/>
                <w:sz w:val="20"/>
              </w:rPr>
              <w:t>高空瞭望链路</w:t>
            </w:r>
            <w:r>
              <w:rPr>
                <w:rFonts w:hint="eastAsia" w:eastAsiaTheme="majorEastAsia"/>
                <w:kern w:val="0"/>
                <w:sz w:val="20"/>
              </w:rPr>
              <w:t>（每年）</w:t>
            </w:r>
          </w:p>
        </w:tc>
        <w:tc>
          <w:tcPr>
            <w:tcW w:w="4011" w:type="dxa"/>
            <w:noWrap/>
            <w:vAlign w:val="bottom"/>
          </w:tcPr>
          <w:p>
            <w:pPr>
              <w:jc w:val="left"/>
              <w:rPr>
                <w:rFonts w:ascii="宋体" w:hAnsi="宋体" w:cs="宋体"/>
                <w:kern w:val="0"/>
                <w:sz w:val="20"/>
              </w:rPr>
            </w:pPr>
            <w:r>
              <w:rPr>
                <w:rFonts w:ascii="宋体" w:hAnsi="宋体" w:cs="宋体"/>
                <w:kern w:val="0"/>
                <w:sz w:val="20"/>
              </w:rPr>
              <w:t>10M光纤接入</w:t>
            </w:r>
            <w:r>
              <w:rPr>
                <w:rFonts w:hint="eastAsia" w:ascii="宋体" w:hAnsi="宋体" w:cs="宋体"/>
                <w:kern w:val="0"/>
                <w:sz w:val="20"/>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项</w:t>
            </w:r>
          </w:p>
        </w:tc>
        <w:tc>
          <w:tcPr>
            <w:tcW w:w="606" w:type="dxa"/>
            <w:vAlign w:val="center"/>
          </w:tcPr>
          <w:p>
            <w:pPr>
              <w:jc w:val="center"/>
              <w:rPr>
                <w:rFonts w:ascii="宋体" w:hAnsi="宋体" w:cs="宋体"/>
                <w:kern w:val="0"/>
                <w:sz w:val="20"/>
              </w:rPr>
            </w:pPr>
            <w:r>
              <w:rPr>
                <w:rFonts w:ascii="宋体" w:hAnsi="宋体" w:cs="宋体"/>
                <w:kern w:val="0"/>
                <w:sz w:val="20"/>
              </w:rPr>
              <w:t>2</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450" w:type="dxa"/>
            <w:noWrap/>
            <w:vAlign w:val="center"/>
          </w:tcPr>
          <w:p>
            <w:pPr>
              <w:jc w:val="center"/>
              <w:rPr>
                <w:rFonts w:ascii="宋体" w:hAnsi="宋体" w:cs="宋体"/>
                <w:kern w:val="0"/>
                <w:sz w:val="20"/>
              </w:rPr>
            </w:pPr>
            <w:r>
              <w:rPr>
                <w:rFonts w:hint="eastAsia" w:ascii="宋体" w:hAnsi="宋体" w:cs="宋体"/>
                <w:kern w:val="0"/>
                <w:sz w:val="20"/>
              </w:rPr>
              <w:t>5</w:t>
            </w:r>
          </w:p>
        </w:tc>
        <w:tc>
          <w:tcPr>
            <w:tcW w:w="3658" w:type="dxa"/>
            <w:vAlign w:val="center"/>
          </w:tcPr>
          <w:p>
            <w:pPr>
              <w:jc w:val="left"/>
              <w:rPr>
                <w:rFonts w:ascii="宋体" w:hAnsi="宋体" w:cs="宋体"/>
                <w:kern w:val="0"/>
                <w:sz w:val="20"/>
              </w:rPr>
            </w:pPr>
            <w:r>
              <w:rPr>
                <w:rFonts w:eastAsiaTheme="majorEastAsia"/>
                <w:kern w:val="0"/>
                <w:sz w:val="20"/>
              </w:rPr>
              <w:t>中心端链路</w:t>
            </w:r>
            <w:r>
              <w:rPr>
                <w:rFonts w:hint="eastAsia" w:eastAsiaTheme="majorEastAsia"/>
                <w:kern w:val="0"/>
                <w:sz w:val="20"/>
              </w:rPr>
              <w:t>（每年）</w:t>
            </w:r>
          </w:p>
        </w:tc>
        <w:tc>
          <w:tcPr>
            <w:tcW w:w="4011" w:type="dxa"/>
            <w:noWrap/>
            <w:vAlign w:val="bottom"/>
          </w:tcPr>
          <w:p>
            <w:pPr>
              <w:jc w:val="left"/>
              <w:rPr>
                <w:rFonts w:ascii="宋体" w:hAnsi="宋体" w:cs="宋体"/>
                <w:kern w:val="0"/>
                <w:sz w:val="20"/>
              </w:rPr>
            </w:pPr>
            <w:r>
              <w:rPr>
                <w:rFonts w:ascii="宋体" w:hAnsi="宋体" w:cs="宋体"/>
                <w:kern w:val="0"/>
                <w:sz w:val="20"/>
              </w:rPr>
              <w:t>100M光纤接入</w:t>
            </w:r>
            <w:r>
              <w:rPr>
                <w:rFonts w:hint="eastAsia" w:ascii="宋体" w:hAnsi="宋体" w:cs="宋体"/>
                <w:kern w:val="0"/>
                <w:sz w:val="20"/>
              </w:rPr>
              <w:t>。</w:t>
            </w:r>
          </w:p>
        </w:tc>
        <w:tc>
          <w:tcPr>
            <w:tcW w:w="595" w:type="dxa"/>
            <w:noWrap/>
            <w:vAlign w:val="center"/>
          </w:tcPr>
          <w:p>
            <w:pPr>
              <w:jc w:val="center"/>
              <w:rPr>
                <w:rFonts w:ascii="宋体" w:hAnsi="宋体" w:cs="宋体"/>
                <w:kern w:val="0"/>
                <w:sz w:val="20"/>
              </w:rPr>
            </w:pPr>
            <w:r>
              <w:rPr>
                <w:rFonts w:hint="eastAsia" w:ascii="宋体" w:hAnsi="宋体" w:cs="宋体"/>
                <w:kern w:val="0"/>
                <w:sz w:val="20"/>
              </w:rPr>
              <w:t>项</w:t>
            </w:r>
          </w:p>
        </w:tc>
        <w:tc>
          <w:tcPr>
            <w:tcW w:w="606" w:type="dxa"/>
            <w:vAlign w:val="center"/>
          </w:tcPr>
          <w:p>
            <w:pPr>
              <w:jc w:val="center"/>
              <w:rPr>
                <w:rFonts w:ascii="宋体" w:hAnsi="宋体" w:cs="宋体"/>
                <w:kern w:val="0"/>
                <w:sz w:val="20"/>
              </w:rPr>
            </w:pPr>
            <w:r>
              <w:rPr>
                <w:rFonts w:hint="eastAsia" w:ascii="宋体" w:hAnsi="宋体" w:cs="宋体"/>
                <w:kern w:val="0"/>
                <w:sz w:val="20"/>
              </w:rPr>
              <w:t>1</w:t>
            </w:r>
          </w:p>
        </w:tc>
        <w:tc>
          <w:tcPr>
            <w:tcW w:w="308" w:type="dxa"/>
          </w:tcPr>
          <w:p>
            <w:pPr>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714" w:type="dxa"/>
            <w:gridSpan w:val="4"/>
            <w:noWrap/>
            <w:vAlign w:val="center"/>
          </w:tcPr>
          <w:p>
            <w:pPr>
              <w:jc w:val="left"/>
              <w:rPr>
                <w:rFonts w:ascii="宋体" w:hAnsi="宋体" w:cs="宋体"/>
                <w:kern w:val="0"/>
                <w:sz w:val="20"/>
              </w:rPr>
            </w:pPr>
            <w:r>
              <w:rPr>
                <w:rFonts w:hint="eastAsia" w:ascii="宋体" w:hAnsi="宋体" w:cs="宋体"/>
                <w:color w:val="FF0000"/>
                <w:kern w:val="0"/>
                <w:sz w:val="20"/>
              </w:rPr>
              <w:t>注：</w:t>
            </w:r>
            <w:r>
              <w:rPr>
                <w:rFonts w:hint="eastAsia" w:ascii="宋体" w:hAnsi="宋体" w:cs="宋体"/>
                <w:color w:val="FF0000"/>
                <w:kern w:val="0"/>
                <w:sz w:val="20"/>
                <w:lang w:eastAsia="zh-CN"/>
              </w:rPr>
              <w:t>标“</w:t>
            </w:r>
            <w:r>
              <w:rPr>
                <w:rFonts w:hint="eastAsia" w:ascii="宋体" w:hAnsi="宋体" w:eastAsia="宋体" w:cs="宋体"/>
                <w:color w:val="FF0000"/>
                <w:kern w:val="0"/>
                <w:sz w:val="20"/>
                <w:lang w:eastAsia="zh-CN"/>
              </w:rPr>
              <w:t>Δ</w:t>
            </w:r>
            <w:r>
              <w:rPr>
                <w:rFonts w:hint="eastAsia" w:ascii="宋体" w:hAnsi="宋体" w:cs="宋体"/>
                <w:color w:val="FF0000"/>
                <w:kern w:val="0"/>
                <w:sz w:val="20"/>
                <w:lang w:eastAsia="zh-CN"/>
              </w:rPr>
              <w:t>”表示此设备或系统为核心产品。</w:t>
            </w:r>
          </w:p>
        </w:tc>
        <w:tc>
          <w:tcPr>
            <w:tcW w:w="606" w:type="dxa"/>
          </w:tcPr>
          <w:p>
            <w:pPr>
              <w:jc w:val="left"/>
              <w:rPr>
                <w:rFonts w:ascii="宋体" w:hAnsi="宋体" w:cs="宋体"/>
                <w:kern w:val="0"/>
                <w:sz w:val="20"/>
              </w:rPr>
            </w:pPr>
          </w:p>
        </w:tc>
        <w:tc>
          <w:tcPr>
            <w:tcW w:w="308" w:type="dxa"/>
          </w:tcPr>
          <w:p>
            <w:pPr>
              <w:jc w:val="left"/>
              <w:rPr>
                <w:rFonts w:ascii="宋体" w:hAnsi="宋体" w:cs="宋体"/>
                <w:kern w:val="0"/>
                <w:sz w:val="20"/>
              </w:rPr>
            </w:pPr>
          </w:p>
        </w:tc>
      </w:tr>
    </w:tbl>
    <w:p>
      <w:pPr>
        <w:numPr>
          <w:ilvl w:val="0"/>
          <w:numId w:val="2"/>
        </w:numPr>
        <w:ind w:left="0" w:leftChars="0" w:firstLine="0" w:firstLineChars="0"/>
        <w:rPr>
          <w:rFonts w:hint="eastAsia"/>
          <w:sz w:val="32"/>
          <w:szCs w:val="32"/>
          <w:lang w:eastAsia="zh-CN"/>
        </w:rPr>
      </w:pPr>
      <w:r>
        <w:rPr>
          <w:rFonts w:hint="eastAsia"/>
          <w:sz w:val="32"/>
          <w:szCs w:val="32"/>
          <w:lang w:eastAsia="zh-CN"/>
        </w:rPr>
        <w:t>原文件</w:t>
      </w:r>
    </w:p>
    <w:p>
      <w:pPr>
        <w:numPr>
          <w:ilvl w:val="0"/>
          <w:numId w:val="3"/>
        </w:numPr>
        <w:spacing w:line="360" w:lineRule="auto"/>
        <w:ind w:right="57"/>
        <w:rPr>
          <w:rFonts w:ascii="宋体" w:hAnsi="宋体" w:cs="宋体"/>
          <w:sz w:val="24"/>
          <w:szCs w:val="24"/>
        </w:rPr>
      </w:pPr>
      <w:r>
        <w:rPr>
          <w:rFonts w:hint="eastAsia" w:ascii="宋体" w:hAnsi="宋体" w:cs="宋体"/>
          <w:sz w:val="24"/>
          <w:szCs w:val="24"/>
        </w:rPr>
        <w:t>技术要求如下：</w:t>
      </w:r>
    </w:p>
    <w:p>
      <w:pPr>
        <w:pStyle w:val="2"/>
      </w:pPr>
      <w:r>
        <w:rPr>
          <w:rFonts w:hint="eastAsia"/>
        </w:rPr>
        <w:t>环保监管</w:t>
      </w:r>
    </w:p>
    <w:p>
      <w:pPr>
        <w:pStyle w:val="3"/>
      </w:pPr>
      <w:r>
        <w:rPr>
          <w:rFonts w:hint="eastAsia"/>
        </w:rPr>
        <w:t>园区环境污染监控网</w:t>
      </w:r>
    </w:p>
    <w:p>
      <w:pPr>
        <w:pStyle w:val="4"/>
      </w:pPr>
      <w:r>
        <w:rPr>
          <w:rFonts w:hint="eastAsia"/>
        </w:rPr>
        <w:t>厂界有毒有害气体监测预警系统</w:t>
      </w:r>
    </w:p>
    <w:p>
      <w:pPr>
        <w:pStyle w:val="5"/>
      </w:pPr>
      <w:r>
        <w:rPr>
          <w:rFonts w:hint="eastAsia"/>
        </w:rPr>
        <w:t>有毒有害多气体监测仪</w:t>
      </w:r>
    </w:p>
    <w:p>
      <w:pPr>
        <w:pStyle w:val="6"/>
      </w:pPr>
      <w:r>
        <w:rPr>
          <w:rFonts w:hint="eastAsia"/>
        </w:rPr>
        <w:t>有毒有害多气体监测仪主机</w:t>
      </w:r>
    </w:p>
    <w:p>
      <w:pPr>
        <w:pStyle w:val="11"/>
        <w:numPr>
          <w:ilvl w:val="0"/>
          <w:numId w:val="4"/>
        </w:numPr>
        <w:ind w:firstLineChars="0"/>
        <w:rPr>
          <w:rFonts w:ascii="宋体" w:hAnsi="宋体"/>
          <w:b/>
          <w:bCs/>
          <w:sz w:val="24"/>
          <w:szCs w:val="18"/>
        </w:rPr>
      </w:pPr>
      <w:r>
        <w:rPr>
          <w:rFonts w:hint="eastAsia" w:ascii="宋体" w:hAnsi="宋体"/>
          <w:b/>
          <w:bCs/>
        </w:rPr>
        <w:t>性能要求</w:t>
      </w:r>
      <w:r>
        <w:rPr>
          <w:rFonts w:ascii="宋体" w:hAnsi="宋体"/>
          <w:b/>
          <w:bCs/>
          <w:sz w:val="24"/>
          <w:szCs w:val="18"/>
        </w:rPr>
        <w:t xml:space="preserve"> </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512"/>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1"/>
                <w:szCs w:val="21"/>
              </w:rPr>
            </w:pPr>
            <w:bookmarkStart w:id="0" w:name="_Toc483696102"/>
            <w:r>
              <w:rPr>
                <w:rFonts w:hint="eastAsia" w:ascii="宋体" w:hAnsi="宋体"/>
                <w:b/>
                <w:bCs/>
                <w:sz w:val="21"/>
                <w:szCs w:val="21"/>
              </w:rPr>
              <w:t>序号</w:t>
            </w:r>
            <w:bookmarkEnd w:id="0"/>
          </w:p>
        </w:tc>
        <w:tc>
          <w:tcPr>
            <w:tcW w:w="1512" w:type="dxa"/>
            <w:tcBorders>
              <w:top w:val="single" w:color="auto" w:sz="4" w:space="0"/>
              <w:left w:val="nil"/>
              <w:bottom w:val="single" w:color="auto" w:sz="4" w:space="0"/>
              <w:right w:val="single" w:color="auto" w:sz="4" w:space="0"/>
            </w:tcBorders>
            <w:vAlign w:val="center"/>
          </w:tcPr>
          <w:p>
            <w:pPr>
              <w:jc w:val="center"/>
              <w:rPr>
                <w:rFonts w:ascii="宋体" w:hAnsi="宋体"/>
                <w:b/>
                <w:bCs/>
                <w:sz w:val="21"/>
                <w:szCs w:val="21"/>
              </w:rPr>
            </w:pPr>
            <w:r>
              <w:rPr>
                <w:rFonts w:hint="eastAsia" w:ascii="宋体" w:hAnsi="宋体"/>
                <w:b/>
                <w:bCs/>
                <w:sz w:val="21"/>
                <w:szCs w:val="21"/>
              </w:rPr>
              <w:t>气体探测器</w:t>
            </w:r>
          </w:p>
        </w:tc>
        <w:tc>
          <w:tcPr>
            <w:tcW w:w="7323" w:type="dxa"/>
            <w:tcBorders>
              <w:top w:val="single" w:color="auto" w:sz="4" w:space="0"/>
              <w:left w:val="nil"/>
              <w:bottom w:val="single" w:color="auto" w:sz="4" w:space="0"/>
              <w:right w:val="single" w:color="auto" w:sz="4" w:space="0"/>
            </w:tcBorders>
            <w:vAlign w:val="center"/>
          </w:tcPr>
          <w:p>
            <w:pPr>
              <w:jc w:val="center"/>
              <w:rPr>
                <w:rFonts w:ascii="宋体" w:hAnsi="宋体"/>
                <w:b/>
                <w:bCs/>
                <w:sz w:val="21"/>
                <w:szCs w:val="21"/>
              </w:rPr>
            </w:pPr>
            <w:r>
              <w:rPr>
                <w:rFonts w:hint="eastAsia" w:ascii="宋体" w:hAnsi="宋体"/>
                <w:b/>
                <w:bCs/>
                <w:sz w:val="21"/>
                <w:szCs w:val="21"/>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类别</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采用数字式气体探测器，具有对气体探测器自动识别的能力，可灵活变更检测因子，同时传感器支持热插拔，维护简便快捷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2</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检测原理</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支持多种检测原理（ECD、PID等），适用于有毒有害(HCL、NH3、H2S、HF)及VOC的无组织排放源的在线监测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3</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微型隔膜泵</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磁力式，供电电压24VDC，真空度450mbar， EPDM膜片，工作寿命不小于2万小时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4</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传感器</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采用精细过滤、恒流采样及自动清洗等预处理技术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5</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温度</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整机具备温度自动调节功能，低温自动开启箱体防爆电伴热模块，高温自动启动风扇进行降温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6</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气口</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设备检测气体管路分为常规样气和高湿样气两路进气口，可根据样气的湿度情况自动切换检测气路，保障传感器的有效运行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7</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防水防雷</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监测仪采用防水、防雷设计技术，电路检测单元采用隔爆箱体设计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8</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hAnsi="宋体"/>
              </w:rPr>
              <w:t>△</w:t>
            </w:r>
            <w:r>
              <w:rPr>
                <w:rFonts w:hint="eastAsia" w:ascii="宋体" w:hAnsi="宋体"/>
                <w:sz w:val="21"/>
                <w:szCs w:val="21"/>
              </w:rPr>
              <w:t>响应时间</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要求VOCs气体的响应时间不得大于20s，H2S气体的响应时间不得大于30s。（提供市级及市级以上质量技术监督检测机构出具的检测报告）</w:t>
            </w:r>
          </w:p>
        </w:tc>
      </w:tr>
    </w:tbl>
    <w:p>
      <w:pPr>
        <w:numPr>
          <w:ilvl w:val="0"/>
          <w:numId w:val="0"/>
        </w:numPr>
        <w:ind w:leftChars="0"/>
        <w:rPr>
          <w:rFonts w:hint="eastAsia"/>
          <w:sz w:val="32"/>
          <w:szCs w:val="32"/>
          <w:lang w:eastAsia="zh-CN"/>
        </w:rPr>
      </w:pPr>
      <w:r>
        <w:rPr>
          <w:rFonts w:hint="eastAsia"/>
          <w:sz w:val="32"/>
          <w:szCs w:val="32"/>
          <w:lang w:eastAsia="zh-CN"/>
        </w:rPr>
        <w:t>修改后</w:t>
      </w:r>
    </w:p>
    <w:p>
      <w:pPr>
        <w:numPr>
          <w:ilvl w:val="0"/>
          <w:numId w:val="3"/>
        </w:numPr>
        <w:spacing w:line="360" w:lineRule="auto"/>
        <w:ind w:right="57"/>
        <w:rPr>
          <w:rFonts w:ascii="宋体" w:hAnsi="宋体" w:cs="宋体"/>
          <w:color w:val="FF0000"/>
          <w:sz w:val="24"/>
          <w:szCs w:val="24"/>
        </w:rPr>
      </w:pPr>
      <w:r>
        <w:rPr>
          <w:rFonts w:hint="eastAsia" w:ascii="宋体" w:hAnsi="宋体" w:cs="宋体"/>
          <w:sz w:val="24"/>
          <w:szCs w:val="24"/>
        </w:rPr>
        <w:t>技术要求如下：</w:t>
      </w:r>
      <w:r>
        <w:rPr>
          <w:rFonts w:hint="eastAsia" w:ascii="宋体" w:hAnsi="宋体" w:cs="宋体"/>
          <w:color w:val="FF0000"/>
          <w:sz w:val="24"/>
          <w:szCs w:val="24"/>
          <w:lang w:eastAsia="zh-CN"/>
        </w:rPr>
        <w:t>（注：标“</w:t>
      </w:r>
      <w:r>
        <w:rPr>
          <w:rFonts w:hint="eastAsia" w:ascii="宋体" w:hAnsi="宋体" w:eastAsia="宋体" w:cs="宋体"/>
          <w:color w:val="FF0000"/>
          <w:sz w:val="21"/>
          <w:szCs w:val="21"/>
          <w:lang w:eastAsia="zh-CN"/>
        </w:rPr>
        <w:t>*</w:t>
      </w:r>
      <w:r>
        <w:rPr>
          <w:rFonts w:hint="eastAsia" w:ascii="宋体" w:hAnsi="宋体" w:cs="宋体"/>
          <w:color w:val="FF0000"/>
          <w:sz w:val="24"/>
          <w:szCs w:val="24"/>
          <w:lang w:eastAsia="zh-CN"/>
        </w:rPr>
        <w:t>”表示此参数为主要技术参数。）</w:t>
      </w:r>
    </w:p>
    <w:p>
      <w:pPr>
        <w:pStyle w:val="2"/>
      </w:pPr>
      <w:r>
        <w:rPr>
          <w:rFonts w:hint="eastAsia"/>
        </w:rPr>
        <w:t>环保监管</w:t>
      </w:r>
    </w:p>
    <w:p>
      <w:pPr>
        <w:pStyle w:val="3"/>
      </w:pPr>
      <w:r>
        <w:rPr>
          <w:rFonts w:hint="eastAsia"/>
        </w:rPr>
        <w:t>园区环境污染监控网</w:t>
      </w:r>
    </w:p>
    <w:p>
      <w:pPr>
        <w:pStyle w:val="4"/>
      </w:pPr>
      <w:r>
        <w:rPr>
          <w:rFonts w:hint="eastAsia"/>
        </w:rPr>
        <w:t>厂界有毒有害气体监测预警系统</w:t>
      </w:r>
    </w:p>
    <w:p>
      <w:pPr>
        <w:pStyle w:val="5"/>
      </w:pPr>
      <w:r>
        <w:rPr>
          <w:rFonts w:hint="eastAsia"/>
        </w:rPr>
        <w:t>有毒有害多气体监测仪</w:t>
      </w:r>
    </w:p>
    <w:p>
      <w:pPr>
        <w:pStyle w:val="6"/>
      </w:pPr>
      <w:r>
        <w:rPr>
          <w:rFonts w:hint="eastAsia"/>
        </w:rPr>
        <w:t>有毒有害多气体监测仪主机</w:t>
      </w:r>
    </w:p>
    <w:p>
      <w:pPr>
        <w:pStyle w:val="11"/>
        <w:numPr>
          <w:ilvl w:val="0"/>
          <w:numId w:val="4"/>
        </w:numPr>
        <w:ind w:firstLineChars="0"/>
        <w:rPr>
          <w:rFonts w:ascii="宋体" w:hAnsi="宋体"/>
          <w:b/>
          <w:bCs/>
          <w:sz w:val="24"/>
          <w:szCs w:val="18"/>
        </w:rPr>
      </w:pPr>
      <w:r>
        <w:rPr>
          <w:rFonts w:hint="eastAsia" w:ascii="宋体" w:hAnsi="宋体"/>
          <w:b/>
          <w:bCs/>
        </w:rPr>
        <w:t>性能要求</w:t>
      </w:r>
      <w:r>
        <w:rPr>
          <w:rFonts w:ascii="宋体" w:hAnsi="宋体"/>
          <w:b/>
          <w:bCs/>
          <w:sz w:val="24"/>
          <w:szCs w:val="18"/>
        </w:rPr>
        <w:t xml:space="preserve"> </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512"/>
        <w:gridCol w:w="7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1"/>
                <w:szCs w:val="21"/>
              </w:rPr>
            </w:pPr>
            <w:r>
              <w:rPr>
                <w:rFonts w:hint="eastAsia" w:ascii="宋体" w:hAnsi="宋体"/>
                <w:b/>
                <w:bCs/>
                <w:sz w:val="21"/>
                <w:szCs w:val="21"/>
              </w:rPr>
              <w:t>序号</w:t>
            </w:r>
          </w:p>
        </w:tc>
        <w:tc>
          <w:tcPr>
            <w:tcW w:w="1512" w:type="dxa"/>
            <w:tcBorders>
              <w:top w:val="single" w:color="auto" w:sz="4" w:space="0"/>
              <w:left w:val="nil"/>
              <w:bottom w:val="single" w:color="auto" w:sz="4" w:space="0"/>
              <w:right w:val="single" w:color="auto" w:sz="4" w:space="0"/>
            </w:tcBorders>
            <w:vAlign w:val="center"/>
          </w:tcPr>
          <w:p>
            <w:pPr>
              <w:jc w:val="center"/>
              <w:rPr>
                <w:rFonts w:ascii="宋体" w:hAnsi="宋体"/>
                <w:b/>
                <w:bCs/>
                <w:sz w:val="21"/>
                <w:szCs w:val="21"/>
              </w:rPr>
            </w:pPr>
            <w:r>
              <w:rPr>
                <w:rFonts w:hint="eastAsia" w:ascii="宋体" w:hAnsi="宋体"/>
                <w:b/>
                <w:bCs/>
                <w:sz w:val="21"/>
                <w:szCs w:val="21"/>
              </w:rPr>
              <w:t>气体探测器</w:t>
            </w:r>
          </w:p>
        </w:tc>
        <w:tc>
          <w:tcPr>
            <w:tcW w:w="7323" w:type="dxa"/>
            <w:tcBorders>
              <w:top w:val="single" w:color="auto" w:sz="4" w:space="0"/>
              <w:left w:val="nil"/>
              <w:bottom w:val="single" w:color="auto" w:sz="4" w:space="0"/>
              <w:right w:val="single" w:color="auto" w:sz="4" w:space="0"/>
            </w:tcBorders>
            <w:vAlign w:val="center"/>
          </w:tcPr>
          <w:p>
            <w:pPr>
              <w:jc w:val="center"/>
              <w:rPr>
                <w:rFonts w:ascii="宋体" w:hAnsi="宋体"/>
                <w:b/>
                <w:bCs/>
                <w:sz w:val="21"/>
                <w:szCs w:val="21"/>
              </w:rPr>
            </w:pPr>
            <w:r>
              <w:rPr>
                <w:rFonts w:hint="eastAsia" w:ascii="宋体" w:hAnsi="宋体"/>
                <w:b/>
                <w:bCs/>
                <w:sz w:val="21"/>
                <w:szCs w:val="21"/>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类别</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采用数字式气体探测器，具有对气体探测器自动识别的能力，可灵活变更检测因子，同时传感器支持热插拔，维护简便快捷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2</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检测原理</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支持多种检测原理（ECD、PID等），适用于有毒有害(HCL、NH3、H2S、HF)及VOC的无组织排放源的在线监测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3</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微型隔膜泵</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磁力式，供电电压24VDC，真空度450mbar， EPDM膜片，工作寿命不小于2万小时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4</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传感器</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采用精细过滤、恒流采样及自动清洗等预处理技术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5</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温度</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整机具备温度自动调节功能，低温自动开启箱体防爆电伴热模块，高温自动启动风扇进行降温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6</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气口</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设备检测气体管路分为常规样气和高湿样气两路进气口，可根据样气的湿度情况自动切换检测气路，保障传感器的有效运行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7</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防水防雷</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监测仪采用防水、防雷设计技术，电路检测单元采用隔爆箱体设计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 w:val="21"/>
                <w:szCs w:val="21"/>
              </w:rPr>
            </w:pPr>
            <w:r>
              <w:rPr>
                <w:rFonts w:hint="eastAsia" w:ascii="宋体" w:hAnsi="宋体" w:eastAsia="宋体" w:cs="宋体"/>
                <w:color w:val="FF0000"/>
                <w:sz w:val="21"/>
                <w:szCs w:val="21"/>
              </w:rPr>
              <w:t>*</w:t>
            </w:r>
            <w:r>
              <w:rPr>
                <w:rFonts w:hint="eastAsia" w:ascii="宋体" w:hAnsi="宋体"/>
                <w:color w:val="FF0000"/>
                <w:sz w:val="21"/>
                <w:szCs w:val="21"/>
              </w:rPr>
              <w:t>8</w:t>
            </w:r>
          </w:p>
        </w:tc>
        <w:tc>
          <w:tcPr>
            <w:tcW w:w="1512" w:type="dxa"/>
            <w:tcBorders>
              <w:top w:val="single" w:color="auto" w:sz="4" w:space="0"/>
              <w:left w:val="nil"/>
              <w:bottom w:val="single" w:color="auto" w:sz="4" w:space="0"/>
              <w:right w:val="single" w:color="auto" w:sz="4" w:space="0"/>
            </w:tcBorders>
            <w:vAlign w:val="center"/>
          </w:tcPr>
          <w:p>
            <w:pPr>
              <w:jc w:val="left"/>
              <w:rPr>
                <w:rFonts w:ascii="宋体" w:hAnsi="宋体"/>
                <w:color w:val="FF0000"/>
                <w:sz w:val="21"/>
                <w:szCs w:val="21"/>
              </w:rPr>
            </w:pPr>
            <w:r>
              <w:rPr>
                <w:rFonts w:hint="eastAsia" w:ascii="宋体" w:hAnsi="宋体"/>
                <w:color w:val="FF0000"/>
                <w:sz w:val="21"/>
                <w:szCs w:val="21"/>
              </w:rPr>
              <w:t>响应时间</w:t>
            </w:r>
          </w:p>
        </w:tc>
        <w:tc>
          <w:tcPr>
            <w:tcW w:w="7323" w:type="dxa"/>
            <w:tcBorders>
              <w:top w:val="single" w:color="auto" w:sz="4" w:space="0"/>
              <w:left w:val="nil"/>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要求VOCs气体的响应时间不得大于20s，H2S气体的响应时间不得大于30s。（提供市级及市级以上质量技术监督检测机构出具的检测报告）</w:t>
            </w:r>
          </w:p>
        </w:tc>
      </w:tr>
    </w:tbl>
    <w:p>
      <w:pPr>
        <w:numPr>
          <w:ilvl w:val="0"/>
          <w:numId w:val="2"/>
        </w:numPr>
        <w:ind w:left="0" w:leftChars="0" w:firstLine="0" w:firstLineChars="0"/>
        <w:rPr>
          <w:rFonts w:hint="eastAsia"/>
          <w:sz w:val="32"/>
          <w:szCs w:val="32"/>
          <w:lang w:eastAsia="zh-CN"/>
        </w:rPr>
      </w:pPr>
      <w:r>
        <w:rPr>
          <w:rFonts w:hint="eastAsia"/>
          <w:sz w:val="32"/>
          <w:szCs w:val="32"/>
          <w:lang w:eastAsia="zh-CN"/>
        </w:rPr>
        <w:t>原文件</w:t>
      </w:r>
    </w:p>
    <w:p>
      <w:pPr>
        <w:pStyle w:val="5"/>
        <w:rPr>
          <w:szCs w:val="24"/>
        </w:rPr>
      </w:pPr>
      <w:r>
        <w:rPr>
          <w:rFonts w:hint="eastAsia"/>
        </w:rPr>
        <w:t>甲烷</w:t>
      </w:r>
      <w:r>
        <w:rPr>
          <w:rFonts w:hint="eastAsia"/>
          <w:lang w:eastAsia="zh-CN"/>
        </w:rPr>
        <w:t>/</w:t>
      </w:r>
      <w:r>
        <w:rPr>
          <w:rFonts w:hint="eastAsia"/>
        </w:rPr>
        <w:t>非甲烷总烃</w:t>
      </w:r>
      <w:r>
        <w:rPr>
          <w:rFonts w:hint="eastAsia"/>
          <w:lang w:eastAsia="zh-CN"/>
        </w:rPr>
        <w:t>在线</w:t>
      </w:r>
      <w:r>
        <w:rPr>
          <w:rFonts w:hint="eastAsia"/>
        </w:rPr>
        <w:t>分析仪</w:t>
      </w:r>
    </w:p>
    <w:p>
      <w:pPr>
        <w:ind w:firstLine="482"/>
        <w:rPr>
          <w:rFonts w:ascii="宋体" w:hAnsi="宋体"/>
          <w:b/>
          <w:bCs/>
        </w:rPr>
      </w:pPr>
      <w:r>
        <w:rPr>
          <w:rFonts w:hint="eastAsia" w:ascii="宋体" w:hAnsi="宋体"/>
          <w:b/>
          <w:bCs/>
        </w:rPr>
        <w:t>1、基本要求</w:t>
      </w:r>
    </w:p>
    <w:tbl>
      <w:tblPr>
        <w:tblStyle w:val="8"/>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1"/>
                <w:szCs w:val="21"/>
              </w:rPr>
            </w:pPr>
            <w:r>
              <w:rPr>
                <w:rFonts w:hint="eastAsia" w:ascii="宋体" w:hAnsi="宋体"/>
                <w:b/>
                <w:bCs/>
                <w:kern w:val="0"/>
                <w:sz w:val="21"/>
                <w:szCs w:val="21"/>
              </w:rPr>
              <w:t>序号</w:t>
            </w:r>
          </w:p>
        </w:tc>
        <w:tc>
          <w:tcPr>
            <w:tcW w:w="1134" w:type="dxa"/>
            <w:tcBorders>
              <w:top w:val="single" w:color="auto" w:sz="4" w:space="0"/>
              <w:left w:val="nil"/>
              <w:bottom w:val="single" w:color="auto" w:sz="4" w:space="0"/>
              <w:right w:val="single" w:color="auto" w:sz="4" w:space="0"/>
            </w:tcBorders>
          </w:tcPr>
          <w:p>
            <w:pPr>
              <w:jc w:val="center"/>
              <w:rPr>
                <w:rFonts w:ascii="宋体" w:hAnsi="宋体"/>
                <w:b/>
                <w:bCs/>
                <w:sz w:val="21"/>
                <w:szCs w:val="21"/>
              </w:rPr>
            </w:pPr>
            <w:r>
              <w:rPr>
                <w:rFonts w:hint="eastAsia" w:ascii="宋体" w:hAnsi="宋体"/>
                <w:b/>
                <w:bCs/>
                <w:sz w:val="21"/>
                <w:szCs w:val="21"/>
              </w:rPr>
              <w:t>指标</w:t>
            </w:r>
          </w:p>
        </w:tc>
        <w:tc>
          <w:tcPr>
            <w:tcW w:w="7422" w:type="dxa"/>
            <w:tcBorders>
              <w:top w:val="single" w:color="auto" w:sz="4" w:space="0"/>
              <w:left w:val="nil"/>
              <w:bottom w:val="single" w:color="auto" w:sz="4" w:space="0"/>
              <w:right w:val="single" w:color="auto" w:sz="4" w:space="0"/>
            </w:tcBorders>
          </w:tcPr>
          <w:p>
            <w:pPr>
              <w:jc w:val="center"/>
              <w:rPr>
                <w:rFonts w:ascii="宋体" w:hAnsi="宋体"/>
                <w:b/>
                <w:bCs/>
                <w:sz w:val="21"/>
                <w:szCs w:val="21"/>
              </w:rPr>
            </w:pPr>
            <w:r>
              <w:rPr>
                <w:rFonts w:hint="eastAsia" w:ascii="宋体" w:hAnsi="宋体"/>
                <w:b/>
                <w:bCs/>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w:t>
            </w:r>
          </w:p>
        </w:tc>
        <w:tc>
          <w:tcPr>
            <w:tcW w:w="1134"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监测项目</w:t>
            </w:r>
          </w:p>
        </w:tc>
        <w:tc>
          <w:tcPr>
            <w:tcW w:w="7422"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空气VOCs（甲烷，总烃，非甲烷总烃）在线监测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2</w:t>
            </w:r>
          </w:p>
        </w:tc>
        <w:tc>
          <w:tcPr>
            <w:tcW w:w="1134"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sz w:val="21"/>
                <w:szCs w:val="21"/>
              </w:rPr>
              <w:t>△</w:t>
            </w:r>
            <w:r>
              <w:rPr>
                <w:rFonts w:hint="eastAsia" w:ascii="宋体" w:hAnsi="宋体"/>
                <w:sz w:val="21"/>
                <w:szCs w:val="21"/>
              </w:rPr>
              <w:t>检测报告</w:t>
            </w:r>
          </w:p>
        </w:tc>
        <w:tc>
          <w:tcPr>
            <w:tcW w:w="7422"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分析仪应具有中华人民共和国计量器具型式批准证书，产品类型应为在线式气相色谱仪，检测器应为氢火焰离子化检测器（FID）(提供型式批准证书复印件)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3</w:t>
            </w:r>
          </w:p>
        </w:tc>
        <w:tc>
          <w:tcPr>
            <w:tcW w:w="1134"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分析方法</w:t>
            </w:r>
          </w:p>
        </w:tc>
        <w:tc>
          <w:tcPr>
            <w:tcW w:w="7422"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气相色谱法</w:t>
            </w:r>
          </w:p>
        </w:tc>
      </w:tr>
    </w:tbl>
    <w:p>
      <w:pPr>
        <w:ind w:firstLine="482"/>
        <w:rPr>
          <w:rFonts w:ascii="宋体" w:hAnsi="宋体"/>
          <w:b/>
          <w:bCs/>
          <w:szCs w:val="28"/>
        </w:rPr>
      </w:pPr>
      <w:r>
        <w:rPr>
          <w:rFonts w:hint="eastAsia" w:ascii="宋体" w:hAnsi="宋体"/>
          <w:b/>
          <w:bCs/>
        </w:rPr>
        <w:t>2、技术要求</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681"/>
        <w:gridCol w:w="7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1"/>
                <w:szCs w:val="21"/>
              </w:rPr>
            </w:pPr>
            <w:r>
              <w:rPr>
                <w:rFonts w:hint="eastAsia" w:ascii="宋体" w:hAnsi="宋体"/>
                <w:b/>
                <w:bCs/>
                <w:kern w:val="0"/>
                <w:sz w:val="21"/>
                <w:szCs w:val="21"/>
              </w:rPr>
              <w:t>序号</w:t>
            </w:r>
          </w:p>
        </w:tc>
        <w:tc>
          <w:tcPr>
            <w:tcW w:w="1681" w:type="dxa"/>
            <w:tcBorders>
              <w:top w:val="single" w:color="auto" w:sz="4" w:space="0"/>
              <w:left w:val="nil"/>
              <w:bottom w:val="single" w:color="auto" w:sz="4" w:space="0"/>
              <w:right w:val="single" w:color="auto" w:sz="4" w:space="0"/>
            </w:tcBorders>
          </w:tcPr>
          <w:p>
            <w:pPr>
              <w:jc w:val="center"/>
              <w:rPr>
                <w:rFonts w:ascii="宋体" w:hAnsi="宋体"/>
                <w:b/>
                <w:bCs/>
                <w:sz w:val="21"/>
                <w:szCs w:val="21"/>
              </w:rPr>
            </w:pPr>
            <w:r>
              <w:rPr>
                <w:rFonts w:hint="eastAsia" w:ascii="宋体" w:hAnsi="宋体"/>
                <w:b/>
                <w:bCs/>
                <w:sz w:val="21"/>
                <w:szCs w:val="21"/>
              </w:rPr>
              <w:t>指标</w:t>
            </w:r>
          </w:p>
        </w:tc>
        <w:tc>
          <w:tcPr>
            <w:tcW w:w="7040" w:type="dxa"/>
            <w:tcBorders>
              <w:top w:val="single" w:color="auto" w:sz="4" w:space="0"/>
              <w:left w:val="nil"/>
              <w:bottom w:val="single" w:color="auto" w:sz="4" w:space="0"/>
              <w:right w:val="single" w:color="auto" w:sz="4" w:space="0"/>
            </w:tcBorders>
          </w:tcPr>
          <w:p>
            <w:pPr>
              <w:jc w:val="center"/>
              <w:rPr>
                <w:rFonts w:ascii="宋体" w:hAnsi="宋体"/>
                <w:b/>
                <w:bCs/>
                <w:sz w:val="21"/>
                <w:szCs w:val="21"/>
              </w:rPr>
            </w:pPr>
            <w:r>
              <w:rPr>
                <w:rFonts w:hint="eastAsia" w:ascii="宋体" w:hAnsi="宋体"/>
                <w:b/>
                <w:bCs/>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温控系统</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阀箱和柱箱独立控制，柱箱最高温度≥175℃；阀箱最高可控温度≥175℃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2</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sz w:val="21"/>
                <w:szCs w:val="21"/>
              </w:rPr>
              <w:t>△</w:t>
            </w:r>
            <w:r>
              <w:rPr>
                <w:rFonts w:hint="eastAsia" w:ascii="宋体" w:hAnsi="宋体"/>
                <w:sz w:val="21"/>
                <w:szCs w:val="21"/>
              </w:rPr>
              <w:t>压力/流量控制</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 xml:space="preserve">满足全自动在线监测的需求，仪器采用全电子压力/流量控制（载气，氢气，空气），具有保留时间锁定和自动校准功能.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3</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色谱柱</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非甲烷总烃采用填充柱带反吹功能；总烃采用空柱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4</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方法检出限</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非甲烷总烃（以甲烷计）≤0.05ppm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5</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测量重复性</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RSD≤2%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6</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断电复位功能</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具备断电复位功能，停电复位后，分析仪能自动回复原来的工作状态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7</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线性</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8</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检测器要求</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配置FID检测器；FID能自动点火，具有火焰温度判断和熄火保护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9</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人机交互要求</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分析仪表具有内置工业PC机和触摸操作显示屏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10</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操作系统</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软件采用全中文操作，能进行所有维护诊断功能操作，设置自动控制仪器的运行参数，自动进行数据处理，实现对外通讯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11</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sz w:val="21"/>
                <w:szCs w:val="21"/>
              </w:rPr>
              <w:t>△</w:t>
            </w:r>
            <w:r>
              <w:rPr>
                <w:rFonts w:hint="eastAsia" w:ascii="宋体" w:hAnsi="宋体"/>
                <w:sz w:val="21"/>
                <w:szCs w:val="21"/>
              </w:rPr>
              <w:t>检测报告</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仪器控制软件应具有软件著作权（需提供软件著作权证书复印件并盖公章）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12</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安装尺寸</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19"标准机箱，可集成安装于立式机柜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13</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其他</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提供校准气体1瓶及配套减压阀</w:t>
            </w:r>
          </w:p>
        </w:tc>
      </w:tr>
    </w:tbl>
    <w:p>
      <w:pPr>
        <w:numPr>
          <w:ilvl w:val="0"/>
          <w:numId w:val="0"/>
        </w:numPr>
        <w:ind w:leftChars="0"/>
        <w:rPr>
          <w:rFonts w:hint="eastAsia"/>
          <w:sz w:val="32"/>
          <w:szCs w:val="32"/>
          <w:lang w:eastAsia="zh-CN"/>
        </w:rPr>
      </w:pPr>
      <w:r>
        <w:rPr>
          <w:rFonts w:hint="eastAsia"/>
          <w:sz w:val="32"/>
          <w:szCs w:val="32"/>
          <w:lang w:eastAsia="zh-CN"/>
        </w:rPr>
        <w:t>修改后</w:t>
      </w:r>
    </w:p>
    <w:p>
      <w:pPr>
        <w:pStyle w:val="5"/>
        <w:rPr>
          <w:szCs w:val="24"/>
        </w:rPr>
      </w:pPr>
      <w:r>
        <w:rPr>
          <w:rFonts w:hint="eastAsia"/>
        </w:rPr>
        <w:t>甲烷</w:t>
      </w:r>
      <w:r>
        <w:rPr>
          <w:rFonts w:hint="eastAsia"/>
          <w:lang w:eastAsia="zh-CN"/>
        </w:rPr>
        <w:t>/</w:t>
      </w:r>
      <w:r>
        <w:rPr>
          <w:rFonts w:hint="eastAsia"/>
        </w:rPr>
        <w:t>非甲烷总烃</w:t>
      </w:r>
      <w:r>
        <w:rPr>
          <w:rFonts w:hint="eastAsia"/>
          <w:lang w:eastAsia="zh-CN"/>
        </w:rPr>
        <w:t>在线</w:t>
      </w:r>
      <w:r>
        <w:rPr>
          <w:rFonts w:hint="eastAsia"/>
        </w:rPr>
        <w:t>分析仪</w:t>
      </w:r>
    </w:p>
    <w:p>
      <w:pPr>
        <w:ind w:firstLine="482"/>
        <w:rPr>
          <w:rFonts w:ascii="宋体" w:hAnsi="宋体"/>
          <w:b/>
          <w:bCs/>
        </w:rPr>
      </w:pPr>
      <w:r>
        <w:rPr>
          <w:rFonts w:hint="eastAsia" w:ascii="宋体" w:hAnsi="宋体"/>
          <w:b/>
          <w:bCs/>
        </w:rPr>
        <w:t>1、基本要求</w:t>
      </w:r>
    </w:p>
    <w:tbl>
      <w:tblPr>
        <w:tblStyle w:val="8"/>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7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1"/>
                <w:szCs w:val="21"/>
              </w:rPr>
            </w:pPr>
            <w:r>
              <w:rPr>
                <w:rFonts w:hint="eastAsia" w:ascii="宋体" w:hAnsi="宋体"/>
                <w:b/>
                <w:bCs/>
                <w:kern w:val="0"/>
                <w:sz w:val="21"/>
                <w:szCs w:val="21"/>
              </w:rPr>
              <w:t>序号</w:t>
            </w:r>
          </w:p>
        </w:tc>
        <w:tc>
          <w:tcPr>
            <w:tcW w:w="1134" w:type="dxa"/>
            <w:tcBorders>
              <w:top w:val="single" w:color="auto" w:sz="4" w:space="0"/>
              <w:left w:val="nil"/>
              <w:bottom w:val="single" w:color="auto" w:sz="4" w:space="0"/>
              <w:right w:val="single" w:color="auto" w:sz="4" w:space="0"/>
            </w:tcBorders>
          </w:tcPr>
          <w:p>
            <w:pPr>
              <w:jc w:val="center"/>
              <w:rPr>
                <w:rFonts w:ascii="宋体" w:hAnsi="宋体"/>
                <w:b/>
                <w:bCs/>
                <w:sz w:val="21"/>
                <w:szCs w:val="21"/>
              </w:rPr>
            </w:pPr>
            <w:r>
              <w:rPr>
                <w:rFonts w:hint="eastAsia" w:ascii="宋体" w:hAnsi="宋体"/>
                <w:b/>
                <w:bCs/>
                <w:sz w:val="21"/>
                <w:szCs w:val="21"/>
              </w:rPr>
              <w:t>指标</w:t>
            </w:r>
          </w:p>
        </w:tc>
        <w:tc>
          <w:tcPr>
            <w:tcW w:w="7422" w:type="dxa"/>
            <w:tcBorders>
              <w:top w:val="single" w:color="auto" w:sz="4" w:space="0"/>
              <w:left w:val="nil"/>
              <w:bottom w:val="single" w:color="auto" w:sz="4" w:space="0"/>
              <w:right w:val="single" w:color="auto" w:sz="4" w:space="0"/>
            </w:tcBorders>
          </w:tcPr>
          <w:p>
            <w:pPr>
              <w:jc w:val="center"/>
              <w:rPr>
                <w:rFonts w:ascii="宋体" w:hAnsi="宋体"/>
                <w:b/>
                <w:bCs/>
                <w:sz w:val="21"/>
                <w:szCs w:val="21"/>
              </w:rPr>
            </w:pPr>
            <w:r>
              <w:rPr>
                <w:rFonts w:hint="eastAsia" w:ascii="宋体" w:hAnsi="宋体"/>
                <w:b/>
                <w:bCs/>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w:t>
            </w:r>
          </w:p>
        </w:tc>
        <w:tc>
          <w:tcPr>
            <w:tcW w:w="1134"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监测项目</w:t>
            </w:r>
          </w:p>
        </w:tc>
        <w:tc>
          <w:tcPr>
            <w:tcW w:w="7422"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空气VOCs（甲烷，总烃，非甲烷总烃）在线监测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 w:val="21"/>
                <w:szCs w:val="21"/>
              </w:rPr>
            </w:pPr>
            <w:r>
              <w:rPr>
                <w:rFonts w:hint="eastAsia" w:ascii="宋体" w:hAnsi="宋体" w:eastAsia="宋体" w:cs="宋体"/>
                <w:color w:val="FF0000"/>
                <w:sz w:val="21"/>
                <w:szCs w:val="21"/>
                <w:lang w:eastAsia="zh-CN"/>
              </w:rPr>
              <w:t>*</w:t>
            </w:r>
            <w:r>
              <w:rPr>
                <w:rFonts w:hint="eastAsia" w:ascii="宋体" w:hAnsi="宋体"/>
                <w:color w:val="FF0000"/>
                <w:kern w:val="0"/>
                <w:sz w:val="21"/>
                <w:szCs w:val="21"/>
              </w:rPr>
              <w:t>2</w:t>
            </w:r>
          </w:p>
        </w:tc>
        <w:tc>
          <w:tcPr>
            <w:tcW w:w="1134" w:type="dxa"/>
            <w:tcBorders>
              <w:top w:val="single" w:color="auto" w:sz="4" w:space="0"/>
              <w:left w:val="nil"/>
              <w:bottom w:val="single" w:color="auto" w:sz="4" w:space="0"/>
              <w:right w:val="single" w:color="auto" w:sz="4" w:space="0"/>
            </w:tcBorders>
            <w:vAlign w:val="center"/>
          </w:tcPr>
          <w:p>
            <w:pPr>
              <w:rPr>
                <w:rFonts w:ascii="宋体" w:hAnsi="宋体"/>
                <w:color w:val="FF0000"/>
                <w:sz w:val="21"/>
                <w:szCs w:val="21"/>
              </w:rPr>
            </w:pPr>
            <w:r>
              <w:rPr>
                <w:rFonts w:hint="eastAsia" w:ascii="宋体" w:hAnsi="宋体"/>
                <w:color w:val="FF0000"/>
                <w:sz w:val="21"/>
                <w:szCs w:val="21"/>
              </w:rPr>
              <w:t>检测报告</w:t>
            </w:r>
          </w:p>
        </w:tc>
        <w:tc>
          <w:tcPr>
            <w:tcW w:w="7422"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分析仪应具有中华人民共和国计量器具型式批准证书，产品类型应为在线式气相色谱仪，检测器应为氢火焰离子化检测器（FID）(提供型式批准证书复印件)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3</w:t>
            </w:r>
          </w:p>
        </w:tc>
        <w:tc>
          <w:tcPr>
            <w:tcW w:w="1134"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分析方法</w:t>
            </w:r>
          </w:p>
        </w:tc>
        <w:tc>
          <w:tcPr>
            <w:tcW w:w="7422"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气相色谱法</w:t>
            </w:r>
          </w:p>
        </w:tc>
      </w:tr>
    </w:tbl>
    <w:p>
      <w:pPr>
        <w:ind w:firstLine="482"/>
        <w:rPr>
          <w:rFonts w:ascii="宋体" w:hAnsi="宋体"/>
          <w:b/>
          <w:bCs/>
          <w:szCs w:val="28"/>
        </w:rPr>
      </w:pPr>
      <w:r>
        <w:rPr>
          <w:rFonts w:hint="eastAsia" w:ascii="宋体" w:hAnsi="宋体"/>
          <w:b/>
          <w:bCs/>
        </w:rPr>
        <w:t>2、技术要求</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681"/>
        <w:gridCol w:w="7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1"/>
                <w:szCs w:val="21"/>
              </w:rPr>
            </w:pPr>
            <w:r>
              <w:rPr>
                <w:rFonts w:hint="eastAsia" w:ascii="宋体" w:hAnsi="宋体"/>
                <w:b/>
                <w:bCs/>
                <w:kern w:val="0"/>
                <w:sz w:val="21"/>
                <w:szCs w:val="21"/>
              </w:rPr>
              <w:t>序号</w:t>
            </w:r>
          </w:p>
        </w:tc>
        <w:tc>
          <w:tcPr>
            <w:tcW w:w="1681" w:type="dxa"/>
            <w:tcBorders>
              <w:top w:val="single" w:color="auto" w:sz="4" w:space="0"/>
              <w:left w:val="nil"/>
              <w:bottom w:val="single" w:color="auto" w:sz="4" w:space="0"/>
              <w:right w:val="single" w:color="auto" w:sz="4" w:space="0"/>
            </w:tcBorders>
          </w:tcPr>
          <w:p>
            <w:pPr>
              <w:jc w:val="center"/>
              <w:rPr>
                <w:rFonts w:ascii="宋体" w:hAnsi="宋体"/>
                <w:b/>
                <w:bCs/>
                <w:sz w:val="21"/>
                <w:szCs w:val="21"/>
              </w:rPr>
            </w:pPr>
            <w:r>
              <w:rPr>
                <w:rFonts w:hint="eastAsia" w:ascii="宋体" w:hAnsi="宋体"/>
                <w:b/>
                <w:bCs/>
                <w:sz w:val="21"/>
                <w:szCs w:val="21"/>
              </w:rPr>
              <w:t>指标</w:t>
            </w:r>
          </w:p>
        </w:tc>
        <w:tc>
          <w:tcPr>
            <w:tcW w:w="7040" w:type="dxa"/>
            <w:tcBorders>
              <w:top w:val="single" w:color="auto" w:sz="4" w:space="0"/>
              <w:left w:val="nil"/>
              <w:bottom w:val="single" w:color="auto" w:sz="4" w:space="0"/>
              <w:right w:val="single" w:color="auto" w:sz="4" w:space="0"/>
            </w:tcBorders>
          </w:tcPr>
          <w:p>
            <w:pPr>
              <w:jc w:val="center"/>
              <w:rPr>
                <w:rFonts w:ascii="宋体" w:hAnsi="宋体"/>
                <w:b/>
                <w:bCs/>
                <w:sz w:val="21"/>
                <w:szCs w:val="21"/>
              </w:rPr>
            </w:pPr>
            <w:r>
              <w:rPr>
                <w:rFonts w:hint="eastAsia" w:ascii="宋体" w:hAnsi="宋体"/>
                <w:b/>
                <w:bCs/>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温控系统</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阀箱和柱箱独立控制，柱箱最高温度≥175℃；阀箱最高可控温度≥175℃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 w:val="21"/>
                <w:szCs w:val="21"/>
              </w:rPr>
            </w:pPr>
            <w:r>
              <w:rPr>
                <w:rFonts w:hint="eastAsia" w:ascii="宋体" w:hAnsi="宋体" w:eastAsia="宋体" w:cs="宋体"/>
                <w:color w:val="FF0000"/>
                <w:sz w:val="21"/>
                <w:szCs w:val="21"/>
                <w:lang w:eastAsia="zh-CN"/>
              </w:rPr>
              <w:t>*</w:t>
            </w:r>
            <w:r>
              <w:rPr>
                <w:rFonts w:hint="eastAsia" w:ascii="宋体" w:hAnsi="宋体"/>
                <w:color w:val="FF0000"/>
                <w:kern w:val="0"/>
                <w:sz w:val="21"/>
                <w:szCs w:val="21"/>
              </w:rPr>
              <w:t>2</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FF0000"/>
                <w:sz w:val="21"/>
                <w:szCs w:val="21"/>
              </w:rPr>
            </w:pPr>
            <w:r>
              <w:rPr>
                <w:rFonts w:hint="eastAsia" w:ascii="宋体" w:hAnsi="宋体"/>
                <w:color w:val="FF0000"/>
                <w:sz w:val="21"/>
                <w:szCs w:val="21"/>
              </w:rPr>
              <w:t>压力/流量控制</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 xml:space="preserve">满足全自动在线监测的需求，仪器采用全电子压力/流量控制（载气，氢气，空气），具有保留时间锁定和自动校准功能.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3</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色谱柱</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非甲烷总烃采用填充柱带反吹功能；总烃采用空柱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4</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方法检出限</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非甲烷总烃（以甲烷计）≤0.05ppm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5</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测量重复性</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RSD≤2%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6</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断电复位功能</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具备断电复位功能，停电复位后，分析仪能自动回复原来的工作状态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7</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线性</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8</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检测器要求</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配置FID检测器；FID能自动点火，具有火焰温度判断和熄火保护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9</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人机交互要求</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分析仪表具有内置工业PC机和触摸操作显示屏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10</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操作系统</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软件采用全中文操作，能进行所有维护诊断功能操作，设置自动控制仪器的运行参数，自动进行数据处理，实现对外通讯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 w:val="21"/>
                <w:szCs w:val="21"/>
              </w:rPr>
            </w:pPr>
            <w:r>
              <w:rPr>
                <w:rFonts w:hint="eastAsia" w:ascii="宋体" w:hAnsi="宋体" w:eastAsia="宋体" w:cs="宋体"/>
                <w:color w:val="FF0000"/>
                <w:sz w:val="21"/>
                <w:szCs w:val="21"/>
                <w:lang w:eastAsia="zh-CN"/>
              </w:rPr>
              <w:t>*</w:t>
            </w:r>
            <w:r>
              <w:rPr>
                <w:rFonts w:hint="eastAsia" w:ascii="宋体" w:hAnsi="宋体"/>
                <w:color w:val="FF0000"/>
                <w:kern w:val="0"/>
                <w:sz w:val="21"/>
                <w:szCs w:val="21"/>
              </w:rPr>
              <w:t>11</w:t>
            </w:r>
          </w:p>
        </w:tc>
        <w:tc>
          <w:tcPr>
            <w:tcW w:w="1681" w:type="dxa"/>
            <w:tcBorders>
              <w:top w:val="single" w:color="auto" w:sz="4" w:space="0"/>
              <w:left w:val="nil"/>
              <w:bottom w:val="single" w:color="auto" w:sz="4" w:space="0"/>
              <w:right w:val="single" w:color="auto" w:sz="4" w:space="0"/>
            </w:tcBorders>
            <w:vAlign w:val="center"/>
          </w:tcPr>
          <w:p>
            <w:pPr>
              <w:rPr>
                <w:rFonts w:ascii="宋体" w:hAnsi="宋体"/>
                <w:color w:val="FF0000"/>
                <w:sz w:val="21"/>
                <w:szCs w:val="21"/>
              </w:rPr>
            </w:pPr>
            <w:r>
              <w:rPr>
                <w:rFonts w:hint="eastAsia" w:ascii="宋体" w:hAnsi="宋体"/>
                <w:color w:val="FF0000"/>
                <w:sz w:val="21"/>
                <w:szCs w:val="21"/>
              </w:rPr>
              <w:t>检测报告</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仪器控制软件应具有软件著作权（需提供软件著作权证书复印件并盖公章）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12</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安装尺寸</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19"标准机箱，可集成安装于立式机柜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13</w:t>
            </w:r>
          </w:p>
        </w:tc>
        <w:tc>
          <w:tcPr>
            <w:tcW w:w="1681"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其他</w:t>
            </w:r>
          </w:p>
        </w:tc>
        <w:tc>
          <w:tcPr>
            <w:tcW w:w="7040"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提供校准气体1瓶及配套减压阀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2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宋体" w:hAnsi="宋体"/>
                <w:color w:val="FF0000"/>
                <w:sz w:val="24"/>
                <w:szCs w:val="24"/>
              </w:rPr>
            </w:pPr>
            <w:r>
              <w:rPr>
                <w:rFonts w:hint="eastAsia" w:ascii="宋体" w:hAnsi="宋体" w:eastAsia="宋体" w:cs="宋体"/>
                <w:color w:val="FF0000"/>
                <w:sz w:val="21"/>
                <w:szCs w:val="21"/>
                <w:lang w:eastAsia="zh-CN"/>
              </w:rPr>
              <w:t>*</w:t>
            </w:r>
            <w:r>
              <w:rPr>
                <w:rFonts w:hint="eastAsia" w:ascii="宋体" w:hAnsi="宋体"/>
                <w:color w:val="FF0000"/>
                <w:sz w:val="24"/>
                <w:szCs w:val="24"/>
                <w:lang w:val="en-US" w:eastAsia="zh-CN"/>
              </w:rPr>
              <w:t>1.</w:t>
            </w:r>
            <w:r>
              <w:rPr>
                <w:rFonts w:hint="eastAsia" w:ascii="宋体" w:hAnsi="宋体"/>
                <w:color w:val="FF0000"/>
                <w:sz w:val="24"/>
                <w:szCs w:val="24"/>
              </w:rPr>
              <w:t>所投产品具有计量器具形式批准证书（CPA）。</w:t>
            </w:r>
          </w:p>
          <w:p>
            <w:pPr>
              <w:rPr>
                <w:rFonts w:hint="eastAsia" w:ascii="宋体" w:hAnsi="宋体" w:eastAsiaTheme="minorEastAsia"/>
                <w:sz w:val="21"/>
                <w:szCs w:val="21"/>
                <w:lang w:val="en-US" w:eastAsia="zh-CN"/>
              </w:rPr>
            </w:pPr>
            <w:r>
              <w:rPr>
                <w:rFonts w:hint="eastAsia" w:ascii="宋体" w:hAnsi="宋体"/>
                <w:sz w:val="21"/>
                <w:szCs w:val="21"/>
                <w:lang w:val="en-US" w:eastAsia="zh-CN"/>
              </w:rPr>
              <w:t xml:space="preserve">    </w:t>
            </w:r>
            <w:r>
              <w:rPr>
                <w:rFonts w:hint="eastAsia" w:ascii="宋体" w:hAnsi="宋体" w:eastAsia="宋体" w:cs="宋体"/>
                <w:color w:val="FF0000"/>
                <w:sz w:val="21"/>
                <w:szCs w:val="21"/>
                <w:lang w:eastAsia="zh-CN"/>
              </w:rPr>
              <w:t>*</w:t>
            </w:r>
            <w:r>
              <w:rPr>
                <w:rFonts w:hint="eastAsia" w:ascii="宋体" w:hAnsi="宋体"/>
                <w:color w:val="FF0000"/>
                <w:sz w:val="24"/>
                <w:szCs w:val="24"/>
                <w:lang w:val="en-US" w:eastAsia="zh-CN"/>
              </w:rPr>
              <w:t>2.要求所投产品取得中国环境保护产品认证证书并有省级以上环境类质量监督检测机构出具的检测报告</w:t>
            </w:r>
          </w:p>
        </w:tc>
      </w:tr>
    </w:tbl>
    <w:p>
      <w:pPr>
        <w:numPr>
          <w:ilvl w:val="0"/>
          <w:numId w:val="2"/>
        </w:numPr>
        <w:ind w:left="0" w:leftChars="0" w:firstLine="0" w:firstLineChars="0"/>
        <w:rPr>
          <w:rFonts w:hint="eastAsia"/>
          <w:sz w:val="32"/>
          <w:szCs w:val="32"/>
          <w:lang w:eastAsia="zh-CN"/>
        </w:rPr>
      </w:pPr>
      <w:r>
        <w:rPr>
          <w:rFonts w:hint="eastAsia"/>
          <w:sz w:val="32"/>
          <w:szCs w:val="32"/>
          <w:lang w:eastAsia="zh-CN"/>
        </w:rPr>
        <w:t>原文件</w:t>
      </w:r>
    </w:p>
    <w:p>
      <w:pPr>
        <w:spacing w:line="360" w:lineRule="auto"/>
        <w:ind w:firstLine="480"/>
        <w:rPr>
          <w:rFonts w:ascii="宋体" w:hAnsi="宋体"/>
          <w:sz w:val="24"/>
          <w:szCs w:val="24"/>
        </w:rPr>
      </w:pPr>
      <w:r>
        <w:rPr>
          <w:rFonts w:hint="eastAsia" w:ascii="宋体" w:hAnsi="宋体"/>
          <w:sz w:val="24"/>
          <w:szCs w:val="24"/>
        </w:rPr>
        <w:t>（4）质谱检测器</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176"/>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1"/>
                <w:szCs w:val="21"/>
              </w:rPr>
            </w:pPr>
            <w:r>
              <w:rPr>
                <w:rFonts w:hint="eastAsia" w:ascii="宋体" w:hAnsi="宋体"/>
                <w:b/>
                <w:bCs/>
                <w:kern w:val="0"/>
                <w:sz w:val="21"/>
                <w:szCs w:val="21"/>
              </w:rPr>
              <w:t>序号</w:t>
            </w:r>
          </w:p>
        </w:tc>
        <w:tc>
          <w:tcPr>
            <w:tcW w:w="2176" w:type="dxa"/>
            <w:tcBorders>
              <w:top w:val="single" w:color="auto" w:sz="4" w:space="0"/>
              <w:left w:val="nil"/>
              <w:bottom w:val="single" w:color="auto" w:sz="4" w:space="0"/>
              <w:right w:val="single" w:color="auto" w:sz="4" w:space="0"/>
            </w:tcBorders>
          </w:tcPr>
          <w:p>
            <w:pPr>
              <w:jc w:val="center"/>
              <w:rPr>
                <w:rFonts w:ascii="宋体" w:hAnsi="宋体"/>
                <w:b/>
                <w:bCs/>
                <w:sz w:val="21"/>
                <w:szCs w:val="21"/>
              </w:rPr>
            </w:pPr>
            <w:r>
              <w:rPr>
                <w:rFonts w:hint="eastAsia" w:ascii="宋体" w:hAnsi="宋体"/>
                <w:b/>
                <w:bCs/>
                <w:sz w:val="21"/>
                <w:szCs w:val="21"/>
              </w:rPr>
              <w:t>指标</w:t>
            </w:r>
          </w:p>
        </w:tc>
        <w:tc>
          <w:tcPr>
            <w:tcW w:w="6589" w:type="dxa"/>
            <w:tcBorders>
              <w:top w:val="single" w:color="auto" w:sz="4" w:space="0"/>
              <w:left w:val="nil"/>
              <w:bottom w:val="single" w:color="auto" w:sz="4" w:space="0"/>
              <w:right w:val="single" w:color="auto" w:sz="4" w:space="0"/>
            </w:tcBorders>
          </w:tcPr>
          <w:p>
            <w:pPr>
              <w:jc w:val="center"/>
              <w:rPr>
                <w:rFonts w:ascii="宋体" w:hAnsi="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w:t>
            </w:r>
          </w:p>
        </w:tc>
        <w:tc>
          <w:tcPr>
            <w:tcW w:w="2176"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离子化方式</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2</w:t>
            </w:r>
          </w:p>
        </w:tc>
        <w:tc>
          <w:tcPr>
            <w:tcW w:w="2176"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质量分析器</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四极质谱检测器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3</w:t>
            </w:r>
          </w:p>
        </w:tc>
        <w:tc>
          <w:tcPr>
            <w:tcW w:w="2176"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sz w:val="21"/>
                <w:szCs w:val="21"/>
              </w:rPr>
              <w:t>△</w:t>
            </w:r>
            <w:r>
              <w:rPr>
                <w:rFonts w:hint="eastAsia" w:ascii="宋体" w:hAnsi="宋体"/>
                <w:sz w:val="21"/>
                <w:szCs w:val="21"/>
              </w:rPr>
              <w:t>最高温度</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 xml:space="preserve">为确保测试间隔无残留，质量分析器可高温烘烤；最高温度可加热至200度。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4</w:t>
            </w:r>
          </w:p>
        </w:tc>
        <w:tc>
          <w:tcPr>
            <w:tcW w:w="2176"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sz w:val="21"/>
                <w:szCs w:val="21"/>
              </w:rPr>
              <w:t>△</w:t>
            </w:r>
            <w:r>
              <w:rPr>
                <w:rFonts w:hint="eastAsia" w:ascii="宋体" w:hAnsi="宋体"/>
                <w:sz w:val="21"/>
                <w:szCs w:val="21"/>
              </w:rPr>
              <w:t>质量稳定度</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 xml:space="preserve">≤0.1amu/12 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5</w:t>
            </w:r>
          </w:p>
        </w:tc>
        <w:tc>
          <w:tcPr>
            <w:tcW w:w="2176"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质谱最大扫描速度</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不低于：10000amu/s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6</w:t>
            </w:r>
          </w:p>
        </w:tc>
        <w:tc>
          <w:tcPr>
            <w:tcW w:w="2176"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质量准确度</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≤0.1amu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7</w:t>
            </w:r>
          </w:p>
        </w:tc>
        <w:tc>
          <w:tcPr>
            <w:tcW w:w="2176"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质量范围</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10-500amu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8</w:t>
            </w:r>
          </w:p>
        </w:tc>
        <w:tc>
          <w:tcPr>
            <w:tcW w:w="2176"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质量分辨率</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优于单位质量分辨率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9</w:t>
            </w:r>
          </w:p>
        </w:tc>
        <w:tc>
          <w:tcPr>
            <w:tcW w:w="2176"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真空系统</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无油涡卷泵+分子泵组合，真空系统无油设计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10</w:t>
            </w:r>
          </w:p>
        </w:tc>
        <w:tc>
          <w:tcPr>
            <w:tcW w:w="2176"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启动及恢复时间</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开机抽真空到分析，时间不超过20分钟。意外断电后可以自行恢复测试，确保数据获取率达到国家要求</w:t>
            </w:r>
          </w:p>
        </w:tc>
      </w:tr>
    </w:tbl>
    <w:p>
      <w:pPr>
        <w:spacing w:line="360" w:lineRule="auto"/>
        <w:ind w:firstLine="480"/>
        <w:rPr>
          <w:rFonts w:ascii="宋体" w:hAnsi="宋体"/>
          <w:sz w:val="24"/>
          <w:szCs w:val="24"/>
        </w:rPr>
      </w:pPr>
      <w:r>
        <w:rPr>
          <w:rFonts w:hint="eastAsia" w:ascii="宋体" w:hAnsi="宋体"/>
          <w:sz w:val="24"/>
          <w:szCs w:val="24"/>
        </w:rPr>
        <w:t>（5）仪器可集成在19英寸机柜内。</w:t>
      </w:r>
    </w:p>
    <w:p>
      <w:pPr>
        <w:spacing w:line="360" w:lineRule="auto"/>
        <w:ind w:firstLine="480"/>
        <w:rPr>
          <w:rFonts w:ascii="宋体" w:hAnsi="宋体"/>
          <w:sz w:val="24"/>
          <w:szCs w:val="24"/>
        </w:rPr>
      </w:pPr>
      <w:r>
        <w:rPr>
          <w:rFonts w:hint="eastAsia" w:ascii="宋体" w:hAnsi="宋体"/>
          <w:sz w:val="24"/>
          <w:szCs w:val="24"/>
        </w:rPr>
        <w:t>2）仪器软件</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8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仪器软件</w:t>
            </w:r>
          </w:p>
        </w:tc>
        <w:tc>
          <w:tcPr>
            <w:tcW w:w="8411"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软件全中文操作，具有图标式操作界面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11"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软件在WIN7/WIN8/XP等操作环境下工作；主机对温度、压力、气体、流量、时间等参数进行控制；主机屏幕实时显示浓度数据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11"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数据加密存储，所有谱图原始文件，均进行加密，不可修改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11"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数据分析软件具有数据采集，数据处理、谱库检索、报告输出功能。输出报告中可对所有物质进行分类统计，并提供各物质在不同时间段的变化趋势图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11"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内置基于质谱数据的AMDIS解卷积算法，可有效应对共流程出的干扰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11"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 xml:space="preserve">配置NIST谱库和环境VOCs专用数据库，根据检索结果和其它的信息，对未知物进行定性分析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11"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sz w:val="21"/>
                <w:szCs w:val="21"/>
              </w:rPr>
              <w:t>△</w:t>
            </w:r>
            <w:r>
              <w:rPr>
                <w:rFonts w:hint="eastAsia" w:ascii="宋体" w:hAnsi="宋体"/>
                <w:sz w:val="21"/>
                <w:szCs w:val="21"/>
              </w:rPr>
              <w:t xml:space="preserve">内置NIOSH化合物信息库，辅助用户进行信息决策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11"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 xml:space="preserve">软件终生提供免费升级服务 </w:t>
            </w:r>
          </w:p>
        </w:tc>
      </w:tr>
    </w:tbl>
    <w:p>
      <w:pPr>
        <w:ind w:firstLine="482"/>
        <w:rPr>
          <w:rFonts w:ascii="宋体" w:hAnsi="宋体"/>
          <w:b/>
          <w:bCs/>
          <w:szCs w:val="28"/>
        </w:rPr>
      </w:pPr>
      <w:r>
        <w:rPr>
          <w:rFonts w:hint="eastAsia" w:ascii="宋体" w:hAnsi="宋体"/>
          <w:b/>
          <w:bCs/>
        </w:rPr>
        <w:t>4、仪器性能</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8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仪器性能</w:t>
            </w:r>
          </w:p>
        </w:tc>
        <w:tc>
          <w:tcPr>
            <w:tcW w:w="8276" w:type="dxa"/>
            <w:tcBorders>
              <w:top w:val="single" w:color="auto" w:sz="4" w:space="0"/>
              <w:left w:val="nil"/>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可分析组分：大气中挥发性有机物，包括PAMS（57种），TO14（39种），TO15组分（65种），OVOC（12种）等有机物，卤代烃挥发性有机物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276" w:type="dxa"/>
            <w:tcBorders>
              <w:top w:val="single" w:color="auto" w:sz="4" w:space="0"/>
              <w:left w:val="nil"/>
              <w:bottom w:val="single" w:color="auto" w:sz="4" w:space="0"/>
              <w:right w:val="single" w:color="auto" w:sz="4" w:space="0"/>
            </w:tcBorders>
          </w:tcPr>
          <w:p>
            <w:pPr>
              <w:jc w:val="left"/>
              <w:rPr>
                <w:rFonts w:ascii="宋体" w:hAnsi="宋体"/>
                <w:sz w:val="21"/>
                <w:szCs w:val="21"/>
              </w:rPr>
            </w:pPr>
            <w:r>
              <w:rPr>
                <w:rFonts w:hint="eastAsia"/>
                <w:sz w:val="21"/>
                <w:szCs w:val="21"/>
              </w:rPr>
              <w:t>△</w:t>
            </w:r>
            <w:r>
              <w:rPr>
                <w:rFonts w:hint="eastAsia" w:ascii="宋体" w:hAnsi="宋体"/>
                <w:sz w:val="21"/>
                <w:szCs w:val="21"/>
              </w:rPr>
              <w:t>最低检出限(信噪比方法)：C2-C4，采用FID检测器；MSD测量C5-C12范围的碳氢化合物、含氧/氮挥发性有机物及卤代烃，对所有的目标分析物均能很好的分析和检测，提供加盖公章的PAMS，TO15及OVOC色谱分离谱图）PAMS中90%组份（至少包含乙烷和乙烯）的方法检出限≤0.1nmol/m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276" w:type="dxa"/>
            <w:tcBorders>
              <w:top w:val="single" w:color="auto" w:sz="4" w:space="0"/>
              <w:left w:val="nil"/>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保留时间漂移：≤5%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276" w:type="dxa"/>
            <w:tcBorders>
              <w:top w:val="single" w:color="auto" w:sz="4" w:space="0"/>
              <w:left w:val="nil"/>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方法线性范围：全部目化合物的线性相关系统≥0.9</w:t>
            </w:r>
            <w:r>
              <w:rPr>
                <w:rFonts w:ascii="宋体" w:hAnsi="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276" w:type="dxa"/>
            <w:tcBorders>
              <w:top w:val="single" w:color="auto" w:sz="4" w:space="0"/>
              <w:left w:val="nil"/>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量程范围：0.05ppb～8ppm直接进样，自动分析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276" w:type="dxa"/>
            <w:tcBorders>
              <w:top w:val="single" w:color="auto" w:sz="4" w:space="0"/>
              <w:left w:val="nil"/>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重复性和稳定性：连续7次以上测定同一浓度目标化合物的标准气体，不少于90%的目标化合物RSD小于10%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276" w:type="dxa"/>
            <w:tcBorders>
              <w:top w:val="single" w:color="auto" w:sz="4" w:space="0"/>
              <w:left w:val="nil"/>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系统残留小于方法检出限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276" w:type="dxa"/>
            <w:tcBorders>
              <w:top w:val="single" w:color="auto" w:sz="4" w:space="0"/>
              <w:left w:val="nil"/>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供电及功率：220VAC±10%，50Hz ，≤1000瓦（含峰值）；（提供仪器原厂技术说明书或用户手册等证明文件）</w:t>
            </w:r>
          </w:p>
        </w:tc>
      </w:tr>
    </w:tbl>
    <w:p>
      <w:pPr>
        <w:numPr>
          <w:ilvl w:val="0"/>
          <w:numId w:val="0"/>
        </w:numPr>
        <w:ind w:leftChars="0"/>
        <w:rPr>
          <w:rFonts w:hint="eastAsia"/>
          <w:sz w:val="32"/>
          <w:szCs w:val="32"/>
          <w:lang w:eastAsia="zh-CN"/>
        </w:rPr>
      </w:pPr>
      <w:r>
        <w:rPr>
          <w:rFonts w:hint="eastAsia"/>
          <w:sz w:val="32"/>
          <w:szCs w:val="32"/>
          <w:lang w:eastAsia="zh-CN"/>
        </w:rPr>
        <w:t>修改后</w:t>
      </w:r>
    </w:p>
    <w:p>
      <w:pPr>
        <w:spacing w:line="360" w:lineRule="auto"/>
        <w:ind w:firstLine="480"/>
        <w:rPr>
          <w:rFonts w:ascii="宋体" w:hAnsi="宋体"/>
          <w:sz w:val="24"/>
          <w:szCs w:val="24"/>
        </w:rPr>
      </w:pPr>
      <w:r>
        <w:rPr>
          <w:rFonts w:hint="eastAsia" w:ascii="宋体" w:hAnsi="宋体"/>
          <w:sz w:val="24"/>
          <w:szCs w:val="24"/>
        </w:rPr>
        <w:t>（4）质谱检测器</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176"/>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1"/>
                <w:szCs w:val="21"/>
              </w:rPr>
            </w:pPr>
            <w:r>
              <w:rPr>
                <w:rFonts w:hint="eastAsia" w:ascii="宋体" w:hAnsi="宋体"/>
                <w:b/>
                <w:bCs/>
                <w:kern w:val="0"/>
                <w:sz w:val="21"/>
                <w:szCs w:val="21"/>
              </w:rPr>
              <w:t>序号</w:t>
            </w:r>
          </w:p>
        </w:tc>
        <w:tc>
          <w:tcPr>
            <w:tcW w:w="2176" w:type="dxa"/>
            <w:tcBorders>
              <w:top w:val="single" w:color="auto" w:sz="4" w:space="0"/>
              <w:left w:val="nil"/>
              <w:bottom w:val="single" w:color="auto" w:sz="4" w:space="0"/>
              <w:right w:val="single" w:color="auto" w:sz="4" w:space="0"/>
            </w:tcBorders>
          </w:tcPr>
          <w:p>
            <w:pPr>
              <w:jc w:val="center"/>
              <w:rPr>
                <w:rFonts w:ascii="宋体" w:hAnsi="宋体"/>
                <w:b/>
                <w:bCs/>
                <w:sz w:val="21"/>
                <w:szCs w:val="21"/>
              </w:rPr>
            </w:pPr>
            <w:r>
              <w:rPr>
                <w:rFonts w:hint="eastAsia" w:ascii="宋体" w:hAnsi="宋体"/>
                <w:b/>
                <w:bCs/>
                <w:sz w:val="21"/>
                <w:szCs w:val="21"/>
              </w:rPr>
              <w:t>指标</w:t>
            </w:r>
          </w:p>
        </w:tc>
        <w:tc>
          <w:tcPr>
            <w:tcW w:w="6589" w:type="dxa"/>
            <w:tcBorders>
              <w:top w:val="single" w:color="auto" w:sz="4" w:space="0"/>
              <w:left w:val="nil"/>
              <w:bottom w:val="single" w:color="auto" w:sz="4" w:space="0"/>
              <w:right w:val="single" w:color="auto" w:sz="4" w:space="0"/>
            </w:tcBorders>
          </w:tcPr>
          <w:p>
            <w:pPr>
              <w:jc w:val="center"/>
              <w:rPr>
                <w:rFonts w:ascii="宋体" w:hAnsi="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w:t>
            </w:r>
          </w:p>
        </w:tc>
        <w:tc>
          <w:tcPr>
            <w:tcW w:w="2176"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离子化方式</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2</w:t>
            </w:r>
          </w:p>
        </w:tc>
        <w:tc>
          <w:tcPr>
            <w:tcW w:w="2176"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质量分析器</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四极质谱检测器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 w:val="21"/>
                <w:szCs w:val="21"/>
              </w:rPr>
            </w:pPr>
            <w:r>
              <w:rPr>
                <w:rFonts w:hint="eastAsia" w:ascii="宋体" w:hAnsi="宋体" w:eastAsia="宋体" w:cs="宋体"/>
                <w:color w:val="FF0000"/>
                <w:sz w:val="21"/>
                <w:szCs w:val="21"/>
                <w:lang w:eastAsia="zh-CN"/>
              </w:rPr>
              <w:t>*</w:t>
            </w:r>
            <w:r>
              <w:rPr>
                <w:rFonts w:hint="eastAsia" w:ascii="宋体" w:hAnsi="宋体"/>
                <w:color w:val="FF0000"/>
                <w:kern w:val="0"/>
                <w:sz w:val="21"/>
                <w:szCs w:val="21"/>
              </w:rPr>
              <w:t>3</w:t>
            </w:r>
          </w:p>
        </w:tc>
        <w:tc>
          <w:tcPr>
            <w:tcW w:w="2176" w:type="dxa"/>
            <w:tcBorders>
              <w:top w:val="single" w:color="auto" w:sz="4" w:space="0"/>
              <w:left w:val="nil"/>
              <w:bottom w:val="single" w:color="auto" w:sz="4" w:space="0"/>
              <w:right w:val="single" w:color="auto" w:sz="4" w:space="0"/>
            </w:tcBorders>
            <w:vAlign w:val="center"/>
          </w:tcPr>
          <w:p>
            <w:pPr>
              <w:rPr>
                <w:rFonts w:ascii="宋体" w:hAnsi="宋体"/>
                <w:color w:val="FF0000"/>
                <w:sz w:val="21"/>
                <w:szCs w:val="21"/>
              </w:rPr>
            </w:pPr>
            <w:r>
              <w:rPr>
                <w:rFonts w:hint="eastAsia" w:ascii="宋体" w:hAnsi="宋体"/>
                <w:color w:val="FF0000"/>
                <w:sz w:val="21"/>
                <w:szCs w:val="21"/>
              </w:rPr>
              <w:t>最高温度</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 xml:space="preserve">为确保测试间隔无残留，质量分析器可高温烘烤；最高温度可加热至200度。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 w:val="21"/>
                <w:szCs w:val="21"/>
              </w:rPr>
            </w:pPr>
            <w:r>
              <w:rPr>
                <w:rFonts w:hint="eastAsia" w:ascii="宋体" w:hAnsi="宋体" w:eastAsia="宋体" w:cs="宋体"/>
                <w:color w:val="FF0000"/>
                <w:sz w:val="21"/>
                <w:szCs w:val="21"/>
                <w:lang w:eastAsia="zh-CN"/>
              </w:rPr>
              <w:t>*</w:t>
            </w:r>
            <w:r>
              <w:rPr>
                <w:rFonts w:hint="eastAsia" w:ascii="宋体" w:hAnsi="宋体"/>
                <w:color w:val="FF0000"/>
                <w:kern w:val="0"/>
                <w:sz w:val="21"/>
                <w:szCs w:val="21"/>
              </w:rPr>
              <w:t>4</w:t>
            </w:r>
          </w:p>
        </w:tc>
        <w:tc>
          <w:tcPr>
            <w:tcW w:w="2176" w:type="dxa"/>
            <w:tcBorders>
              <w:top w:val="single" w:color="auto" w:sz="4" w:space="0"/>
              <w:left w:val="nil"/>
              <w:bottom w:val="single" w:color="auto" w:sz="4" w:space="0"/>
              <w:right w:val="single" w:color="auto" w:sz="4" w:space="0"/>
            </w:tcBorders>
            <w:vAlign w:val="center"/>
          </w:tcPr>
          <w:p>
            <w:pPr>
              <w:rPr>
                <w:rFonts w:ascii="宋体" w:hAnsi="宋体"/>
                <w:color w:val="FF0000"/>
                <w:sz w:val="21"/>
                <w:szCs w:val="21"/>
              </w:rPr>
            </w:pPr>
            <w:r>
              <w:rPr>
                <w:rFonts w:hint="eastAsia" w:ascii="宋体" w:hAnsi="宋体"/>
                <w:color w:val="FF0000"/>
                <w:sz w:val="21"/>
                <w:szCs w:val="21"/>
              </w:rPr>
              <w:t>质量稳定度</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 xml:space="preserve">≤0.1amu/12 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5</w:t>
            </w:r>
          </w:p>
        </w:tc>
        <w:tc>
          <w:tcPr>
            <w:tcW w:w="2176"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质谱最大扫描速度</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不低于：10000amu/s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6</w:t>
            </w:r>
          </w:p>
        </w:tc>
        <w:tc>
          <w:tcPr>
            <w:tcW w:w="2176"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质量准确度</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≤0.1amu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7</w:t>
            </w:r>
          </w:p>
        </w:tc>
        <w:tc>
          <w:tcPr>
            <w:tcW w:w="2176"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质量范围</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10-500amu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8</w:t>
            </w:r>
          </w:p>
        </w:tc>
        <w:tc>
          <w:tcPr>
            <w:tcW w:w="2176"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质量分辨率</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优于单位质量分辨率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9</w:t>
            </w:r>
          </w:p>
        </w:tc>
        <w:tc>
          <w:tcPr>
            <w:tcW w:w="2176"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真空系统</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无油涡卷泵+分子泵组合，真空系统无油设计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kern w:val="0"/>
                <w:sz w:val="21"/>
                <w:szCs w:val="21"/>
              </w:rPr>
              <w:t>10</w:t>
            </w:r>
          </w:p>
        </w:tc>
        <w:tc>
          <w:tcPr>
            <w:tcW w:w="2176" w:type="dxa"/>
            <w:tcBorders>
              <w:top w:val="single" w:color="auto" w:sz="4" w:space="0"/>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启动及恢复时间</w:t>
            </w:r>
          </w:p>
        </w:tc>
        <w:tc>
          <w:tcPr>
            <w:tcW w:w="6589"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开机抽真空到分析，时间不超过20分钟。意外断电后可以自行恢复测试，确保数据获取率达到国家要求</w:t>
            </w:r>
          </w:p>
        </w:tc>
      </w:tr>
    </w:tbl>
    <w:p>
      <w:pPr>
        <w:spacing w:line="360" w:lineRule="auto"/>
        <w:ind w:firstLine="480"/>
        <w:rPr>
          <w:rFonts w:ascii="宋体" w:hAnsi="宋体"/>
          <w:sz w:val="24"/>
          <w:szCs w:val="24"/>
        </w:rPr>
      </w:pPr>
      <w:r>
        <w:rPr>
          <w:rFonts w:hint="eastAsia" w:ascii="宋体" w:hAnsi="宋体"/>
          <w:sz w:val="24"/>
          <w:szCs w:val="24"/>
        </w:rPr>
        <w:t>（5）仪器可集成在19英寸机柜内。</w:t>
      </w:r>
    </w:p>
    <w:p>
      <w:pPr>
        <w:spacing w:line="360" w:lineRule="auto"/>
        <w:ind w:firstLine="480"/>
        <w:rPr>
          <w:rFonts w:ascii="宋体" w:hAnsi="宋体"/>
          <w:sz w:val="24"/>
          <w:szCs w:val="24"/>
        </w:rPr>
      </w:pPr>
      <w:r>
        <w:rPr>
          <w:rFonts w:hint="eastAsia" w:ascii="宋体" w:hAnsi="宋体"/>
          <w:sz w:val="24"/>
          <w:szCs w:val="24"/>
        </w:rPr>
        <w:t>2）仪器软件</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8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仪器软件</w:t>
            </w:r>
          </w:p>
        </w:tc>
        <w:tc>
          <w:tcPr>
            <w:tcW w:w="8411"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软件全中文操作，具有图标式操作界面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11"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软件在WIN7/WIN8/XP等操作环境下工作；主机对温度、压力、气体、流量、时间等参数进行控制；主机屏幕实时显示浓度数据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11"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数据加密存储，所有谱图原始文件，均进行加密，不可修改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11"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数据分析软件具有数据采集，数据处理、谱库检索、报告输出功能。输出报告中可对所有物质进行分类统计，并提供各物质在不同时间段的变化趋势图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11"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内置基于质谱数据的AMDIS解卷积算法，可有效应对共流程出的干扰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11"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 xml:space="preserve">配置NIST谱库和环境VOCs专用数据库，根据检索结果和其它的信息，对未知物进行定性分析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11"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eastAsia="宋体" w:cs="宋体"/>
                <w:color w:val="FF0000"/>
                <w:sz w:val="21"/>
                <w:szCs w:val="21"/>
                <w:lang w:eastAsia="zh-CN"/>
              </w:rPr>
              <w:t>*</w:t>
            </w:r>
            <w:r>
              <w:rPr>
                <w:rFonts w:hint="eastAsia" w:ascii="宋体" w:hAnsi="宋体"/>
                <w:color w:val="FF0000"/>
                <w:sz w:val="21"/>
                <w:szCs w:val="21"/>
              </w:rPr>
              <w:t xml:space="preserve">内置NIOSH化合物信息库，辅助用户进行信息决策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2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11" w:type="dxa"/>
            <w:tcBorders>
              <w:top w:val="single" w:color="auto" w:sz="4" w:space="0"/>
              <w:left w:val="nil"/>
              <w:bottom w:val="single" w:color="auto" w:sz="4" w:space="0"/>
              <w:right w:val="single" w:color="auto" w:sz="4" w:space="0"/>
            </w:tcBorders>
          </w:tcPr>
          <w:p>
            <w:pPr>
              <w:rPr>
                <w:rFonts w:ascii="宋体" w:hAnsi="宋体"/>
                <w:sz w:val="21"/>
                <w:szCs w:val="21"/>
              </w:rPr>
            </w:pPr>
            <w:r>
              <w:rPr>
                <w:rFonts w:hint="eastAsia" w:ascii="宋体" w:hAnsi="宋体"/>
                <w:sz w:val="21"/>
                <w:szCs w:val="21"/>
              </w:rPr>
              <w:t xml:space="preserve">软件终生提供免费升级服务 </w:t>
            </w:r>
          </w:p>
        </w:tc>
      </w:tr>
    </w:tbl>
    <w:p>
      <w:pPr>
        <w:ind w:firstLine="482"/>
        <w:rPr>
          <w:rFonts w:ascii="宋体" w:hAnsi="宋体"/>
          <w:b/>
          <w:bCs/>
          <w:szCs w:val="28"/>
        </w:rPr>
      </w:pPr>
      <w:r>
        <w:rPr>
          <w:rFonts w:hint="eastAsia" w:ascii="宋体" w:hAnsi="宋体"/>
          <w:b/>
          <w:bCs/>
        </w:rPr>
        <w:t>4、仪器性能</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8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仪器性能</w:t>
            </w:r>
          </w:p>
        </w:tc>
        <w:tc>
          <w:tcPr>
            <w:tcW w:w="8276" w:type="dxa"/>
            <w:tcBorders>
              <w:top w:val="single" w:color="auto" w:sz="4" w:space="0"/>
              <w:left w:val="nil"/>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可分析组分：大气中挥发性有机物，包括PAMS（57种），TO14（39种），TO15组分（65种），OVOC（12种）等有机物，卤代烃挥发性有机物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276" w:type="dxa"/>
            <w:tcBorders>
              <w:top w:val="single" w:color="auto" w:sz="4" w:space="0"/>
              <w:left w:val="nil"/>
              <w:bottom w:val="single" w:color="auto" w:sz="4" w:space="0"/>
              <w:right w:val="single" w:color="auto" w:sz="4" w:space="0"/>
            </w:tcBorders>
          </w:tcPr>
          <w:p>
            <w:pPr>
              <w:jc w:val="left"/>
              <w:rPr>
                <w:rFonts w:ascii="宋体" w:hAnsi="宋体"/>
                <w:sz w:val="21"/>
                <w:szCs w:val="21"/>
              </w:rPr>
            </w:pPr>
            <w:r>
              <w:rPr>
                <w:rFonts w:hint="eastAsia" w:ascii="宋体" w:hAnsi="宋体" w:eastAsia="宋体" w:cs="宋体"/>
                <w:color w:val="FF0000"/>
                <w:sz w:val="21"/>
                <w:szCs w:val="21"/>
                <w:lang w:eastAsia="zh-CN"/>
              </w:rPr>
              <w:t>*</w:t>
            </w:r>
            <w:r>
              <w:rPr>
                <w:rFonts w:hint="eastAsia" w:ascii="宋体" w:hAnsi="宋体"/>
                <w:color w:val="FF0000"/>
                <w:sz w:val="21"/>
                <w:szCs w:val="21"/>
              </w:rPr>
              <w:t>最低检出限(信噪比方法)：C2-C4，采用FID检测器；MSD测量C5-C12范围的碳氢化合物、含氧/氮挥发性有机物及卤代烃，对所有的目标分析物均能很好的分析和检测，提供加盖公章的PAMS，TO15及OVOC色谱分离谱图）PAMS中90%组份（至少包含乙烷和乙烯）的方法检出限≤0.1nmol/mo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276" w:type="dxa"/>
            <w:tcBorders>
              <w:top w:val="single" w:color="auto" w:sz="4" w:space="0"/>
              <w:left w:val="nil"/>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保留时间漂移：≤5%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276" w:type="dxa"/>
            <w:tcBorders>
              <w:top w:val="single" w:color="auto" w:sz="4" w:space="0"/>
              <w:left w:val="nil"/>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方法线性范围：全部目化合物的线性相关系统≥0.9</w:t>
            </w:r>
            <w:r>
              <w:rPr>
                <w:rFonts w:ascii="宋体" w:hAnsi="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276" w:type="dxa"/>
            <w:tcBorders>
              <w:top w:val="single" w:color="auto" w:sz="4" w:space="0"/>
              <w:left w:val="nil"/>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量程范围：0.05ppb～8ppm直接进样，自动分析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276" w:type="dxa"/>
            <w:tcBorders>
              <w:top w:val="single" w:color="auto" w:sz="4" w:space="0"/>
              <w:left w:val="nil"/>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重复性和稳定性：连续7次以上测定同一浓度目标化合物的标准气体，不少于90%的目标化合物RSD小于10%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276" w:type="dxa"/>
            <w:tcBorders>
              <w:top w:val="single" w:color="auto" w:sz="4" w:space="0"/>
              <w:left w:val="nil"/>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系统残留小于方法检出限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13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276" w:type="dxa"/>
            <w:tcBorders>
              <w:top w:val="single" w:color="auto" w:sz="4" w:space="0"/>
              <w:left w:val="nil"/>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供电及功率：220VAC±10%，50Hz ，≤1000瓦（含峰值）；（提供仪器原厂技术说明书或用户手册等证明文件）</w:t>
            </w:r>
          </w:p>
        </w:tc>
      </w:tr>
    </w:tbl>
    <w:p>
      <w:pPr>
        <w:ind w:firstLine="482"/>
        <w:rPr>
          <w:rFonts w:hint="eastAsia" w:ascii="宋体" w:hAnsi="宋体" w:eastAsiaTheme="minorEastAsia"/>
          <w:b/>
          <w:bCs/>
          <w:sz w:val="32"/>
          <w:szCs w:val="32"/>
          <w:lang w:eastAsia="zh-CN"/>
        </w:rPr>
      </w:pPr>
      <w:r>
        <w:rPr>
          <w:rFonts w:hint="eastAsia" w:ascii="宋体" w:hAnsi="宋体"/>
          <w:b/>
          <w:bCs/>
          <w:sz w:val="32"/>
          <w:szCs w:val="32"/>
          <w:lang w:eastAsia="zh-CN"/>
        </w:rPr>
        <w:t>七、原文件</w:t>
      </w:r>
    </w:p>
    <w:p>
      <w:pPr>
        <w:ind w:firstLine="482"/>
        <w:rPr>
          <w:rFonts w:ascii="宋体" w:hAnsi="宋体"/>
          <w:b/>
          <w:bCs/>
        </w:rPr>
      </w:pPr>
      <w:r>
        <w:rPr>
          <w:rFonts w:hint="eastAsia" w:ascii="宋体" w:hAnsi="宋体"/>
          <w:b/>
          <w:bCs/>
        </w:rPr>
        <w:t>7. 资质要求</w:t>
      </w:r>
    </w:p>
    <w:p>
      <w:pPr>
        <w:spacing w:line="360" w:lineRule="auto"/>
        <w:ind w:firstLine="480"/>
        <w:rPr>
          <w:rFonts w:ascii="宋体" w:hAnsi="宋体"/>
          <w:sz w:val="24"/>
          <w:szCs w:val="24"/>
        </w:rPr>
      </w:pPr>
      <w:r>
        <w:rPr>
          <w:rFonts w:hint="eastAsia" w:ascii="宋体" w:hAnsi="宋体"/>
          <w:sz w:val="24"/>
          <w:szCs w:val="24"/>
        </w:rPr>
        <w:t>1）所投产品具有计量器具形式批准证书（CPA）。</w:t>
      </w:r>
    </w:p>
    <w:p>
      <w:pPr>
        <w:spacing w:line="360" w:lineRule="auto"/>
        <w:ind w:firstLine="480"/>
        <w:rPr>
          <w:rFonts w:ascii="宋体" w:hAnsi="宋体"/>
          <w:sz w:val="24"/>
          <w:szCs w:val="24"/>
        </w:rPr>
      </w:pPr>
      <w:r>
        <w:rPr>
          <w:rFonts w:hint="eastAsia" w:ascii="宋体" w:hAnsi="宋体"/>
          <w:sz w:val="24"/>
          <w:szCs w:val="24"/>
        </w:rPr>
        <w:t>△2）所投产品能满足环保部《2018年重点地区环境空气挥发性有机物监测方案》规定的VOCs在线监测设备技术要求，提供中国环保产业协会出具的环境空气挥发性有机物在线监测设备环保认证证书和环保部环境监测仪器质量监督检验中心出具第三方检测报告</w:t>
      </w:r>
    </w:p>
    <w:p>
      <w:pPr>
        <w:spacing w:line="360" w:lineRule="auto"/>
        <w:ind w:firstLine="480"/>
        <w:rPr>
          <w:rFonts w:hint="eastAsia" w:ascii="宋体" w:hAnsi="宋体"/>
          <w:sz w:val="24"/>
          <w:szCs w:val="24"/>
        </w:rPr>
      </w:pPr>
      <w:r>
        <w:rPr>
          <w:rFonts w:hint="eastAsia" w:ascii="宋体" w:hAnsi="宋体"/>
          <w:sz w:val="24"/>
          <w:szCs w:val="24"/>
        </w:rPr>
        <w:t>△3）产品在中国环境监测总站国家大气光化学监测网建设项目中有具有应用案例，提供至少1份验收报告，并提供所签合同相关部分的复印件并加盖公章。</w:t>
      </w:r>
    </w:p>
    <w:p>
      <w:pPr>
        <w:spacing w:line="360" w:lineRule="auto"/>
        <w:ind w:firstLine="480"/>
        <w:rPr>
          <w:rFonts w:hint="eastAsia" w:ascii="宋体" w:hAnsi="宋体"/>
          <w:sz w:val="32"/>
          <w:szCs w:val="32"/>
          <w:lang w:eastAsia="zh-CN"/>
        </w:rPr>
      </w:pPr>
      <w:r>
        <w:rPr>
          <w:rFonts w:hint="eastAsia" w:ascii="宋体" w:hAnsi="宋体"/>
          <w:sz w:val="32"/>
          <w:szCs w:val="32"/>
          <w:lang w:eastAsia="zh-CN"/>
        </w:rPr>
        <w:t>修改后</w:t>
      </w:r>
    </w:p>
    <w:p>
      <w:pPr>
        <w:ind w:firstLine="482"/>
        <w:rPr>
          <w:rFonts w:ascii="宋体" w:hAnsi="宋体"/>
          <w:b/>
          <w:bCs/>
        </w:rPr>
      </w:pPr>
      <w:r>
        <w:rPr>
          <w:rFonts w:hint="eastAsia" w:ascii="宋体" w:hAnsi="宋体"/>
          <w:b/>
          <w:bCs/>
        </w:rPr>
        <w:t>7. 资质要求</w:t>
      </w:r>
    </w:p>
    <w:p>
      <w:pPr>
        <w:spacing w:line="360" w:lineRule="auto"/>
        <w:ind w:firstLine="480"/>
        <w:rPr>
          <w:rFonts w:ascii="宋体" w:hAnsi="宋体"/>
          <w:color w:val="FF0000"/>
          <w:sz w:val="24"/>
          <w:szCs w:val="24"/>
        </w:rPr>
      </w:pPr>
      <w:r>
        <w:rPr>
          <w:rFonts w:hint="eastAsia" w:ascii="宋体" w:hAnsi="宋体" w:eastAsia="宋体" w:cs="宋体"/>
          <w:color w:val="FF0000"/>
          <w:sz w:val="21"/>
          <w:szCs w:val="21"/>
          <w:lang w:eastAsia="zh-CN"/>
        </w:rPr>
        <w:t>*</w:t>
      </w:r>
      <w:r>
        <w:rPr>
          <w:rFonts w:hint="eastAsia" w:ascii="宋体" w:hAnsi="宋体"/>
          <w:color w:val="FF0000"/>
          <w:sz w:val="24"/>
          <w:szCs w:val="24"/>
        </w:rPr>
        <w:t>1）所投产品具有计量器具形式批准证书（CPA）。</w:t>
      </w:r>
    </w:p>
    <w:p>
      <w:pPr>
        <w:spacing w:line="360" w:lineRule="auto"/>
        <w:ind w:firstLine="480"/>
        <w:rPr>
          <w:rFonts w:hint="eastAsia" w:ascii="宋体" w:hAnsi="宋体"/>
          <w:color w:val="FF0000"/>
          <w:sz w:val="24"/>
          <w:szCs w:val="24"/>
        </w:rPr>
      </w:pPr>
      <w:r>
        <w:rPr>
          <w:rFonts w:hint="eastAsia" w:ascii="宋体" w:hAnsi="宋体" w:eastAsia="宋体" w:cs="宋体"/>
          <w:color w:val="FF0000"/>
          <w:sz w:val="21"/>
          <w:szCs w:val="21"/>
          <w:lang w:eastAsia="zh-CN"/>
        </w:rPr>
        <w:t>*</w:t>
      </w:r>
      <w:r>
        <w:rPr>
          <w:rFonts w:hint="eastAsia" w:ascii="宋体" w:hAnsi="宋体"/>
          <w:color w:val="FF0000"/>
          <w:sz w:val="24"/>
          <w:szCs w:val="24"/>
        </w:rPr>
        <w:t>2）所投产品能满足环保部《2018年重点地区环境空气挥发性有机物监测方案》规定的VOCs在线监测设备技术要求，提供中国环保产业协会出具的环境空气挥发性有机物在线监测设备环保认证证书和环保部环境监测仪器质量监督检验中心出具第三方检测报告</w:t>
      </w:r>
    </w:p>
    <w:p>
      <w:pPr>
        <w:numPr>
          <w:ilvl w:val="0"/>
          <w:numId w:val="0"/>
        </w:numPr>
        <w:spacing w:line="360" w:lineRule="auto"/>
        <w:ind w:leftChars="0"/>
        <w:rPr>
          <w:rFonts w:hint="eastAsia" w:ascii="宋体" w:hAnsi="宋体"/>
          <w:color w:val="auto"/>
          <w:sz w:val="32"/>
          <w:szCs w:val="32"/>
          <w:lang w:eastAsia="zh-CN"/>
        </w:rPr>
      </w:pPr>
      <w:r>
        <w:rPr>
          <w:rFonts w:hint="eastAsia" w:ascii="宋体" w:hAnsi="宋体"/>
          <w:color w:val="auto"/>
          <w:sz w:val="32"/>
          <w:szCs w:val="32"/>
          <w:lang w:eastAsia="zh-CN"/>
        </w:rPr>
        <w:t>八、原文件</w:t>
      </w:r>
    </w:p>
    <w:p>
      <w:pPr>
        <w:pStyle w:val="5"/>
        <w:numPr>
          <w:ilvl w:val="4"/>
          <w:numId w:val="0"/>
        </w:numPr>
        <w:ind w:leftChars="0"/>
        <w:rPr>
          <w:szCs w:val="24"/>
        </w:rPr>
      </w:pPr>
      <w:r>
        <w:rPr>
          <w:rFonts w:hint="eastAsia"/>
          <w:lang w:val="en-US" w:eastAsia="zh-CN"/>
        </w:rPr>
        <w:t>4.1.2.1.16. 15</w:t>
      </w:r>
      <w:r>
        <w:rPr>
          <w:rFonts w:hint="eastAsia"/>
        </w:rPr>
        <w:t>生物多模态识别门禁</w:t>
      </w:r>
    </w:p>
    <w:tbl>
      <w:tblPr>
        <w:tblStyle w:val="8"/>
        <w:tblW w:w="9428" w:type="dxa"/>
        <w:tblInd w:w="0" w:type="dxa"/>
        <w:tblLayout w:type="fixed"/>
        <w:tblCellMar>
          <w:top w:w="0" w:type="dxa"/>
          <w:left w:w="0" w:type="dxa"/>
          <w:bottom w:w="0" w:type="dxa"/>
          <w:right w:w="0" w:type="dxa"/>
        </w:tblCellMar>
      </w:tblPr>
      <w:tblGrid>
        <w:gridCol w:w="1109"/>
        <w:gridCol w:w="1075"/>
        <w:gridCol w:w="1320"/>
        <w:gridCol w:w="5924"/>
      </w:tblGrid>
      <w:tr>
        <w:tblPrEx>
          <w:tblCellMar>
            <w:top w:w="0" w:type="dxa"/>
            <w:left w:w="0" w:type="dxa"/>
            <w:bottom w:w="0" w:type="dxa"/>
            <w:right w:w="0" w:type="dxa"/>
          </w:tblCellMar>
        </w:tblPrEx>
        <w:trPr>
          <w:trHeight w:val="285" w:hRule="atLeast"/>
        </w:trPr>
        <w:tc>
          <w:tcPr>
            <w:tcW w:w="1109" w:type="dxa"/>
            <w:vMerge w:val="restart"/>
            <w:tcBorders>
              <w:top w:val="single" w:color="000000" w:sz="4" w:space="0"/>
              <w:left w:val="single" w:color="000000" w:sz="4" w:space="0"/>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人脸产品</w:t>
            </w:r>
            <w:r>
              <w:rPr>
                <w:rFonts w:hint="eastAsia" w:ascii="宋体" w:hAnsi="宋体"/>
                <w:sz w:val="21"/>
                <w:szCs w:val="21"/>
              </w:rPr>
              <w:br w:type="textWrapping"/>
            </w:r>
            <w:r>
              <w:rPr>
                <w:rFonts w:hint="eastAsia" w:ascii="宋体" w:hAnsi="宋体"/>
                <w:sz w:val="21"/>
                <w:szCs w:val="21"/>
              </w:rPr>
              <w:t>技术参数</w:t>
            </w:r>
          </w:p>
        </w:tc>
        <w:tc>
          <w:tcPr>
            <w:tcW w:w="1075" w:type="dxa"/>
            <w:vMerge w:val="restart"/>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基本参数</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产品类型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双模摄像头：近红外和可见光</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传感器</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CMOS</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像素</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彩色：300万像素 红外：200万像素</w:t>
            </w:r>
          </w:p>
        </w:tc>
      </w:tr>
      <w:tr>
        <w:tblPrEx>
          <w:tblCellMar>
            <w:top w:w="0" w:type="dxa"/>
            <w:left w:w="0" w:type="dxa"/>
            <w:bottom w:w="0" w:type="dxa"/>
            <w:right w:w="0" w:type="dxa"/>
          </w:tblCellMar>
        </w:tblPrEx>
        <w:trPr>
          <w:trHeight w:val="533"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分辨率</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彩色：支持320*240、640*480、1280*720*、1920*1080、2048*1536等分辨率</w:t>
            </w:r>
            <w:r>
              <w:rPr>
                <w:rFonts w:hint="eastAsia" w:ascii="宋体" w:hAnsi="宋体"/>
                <w:sz w:val="21"/>
                <w:szCs w:val="21"/>
              </w:rPr>
              <w:br w:type="textWrapping"/>
            </w:r>
            <w:r>
              <w:rPr>
                <w:rFonts w:hint="eastAsia" w:ascii="宋体" w:hAnsi="宋体"/>
                <w:sz w:val="21"/>
                <w:szCs w:val="21"/>
              </w:rPr>
              <w:t>红外：支持320*240、640*480、1280*720*、1920*1080等分辨率</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输出格式</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MJPEG、YUV</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接口类型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双USB2.0</w:t>
            </w:r>
          </w:p>
        </w:tc>
      </w:tr>
      <w:tr>
        <w:tblPrEx>
          <w:tblCellMar>
            <w:top w:w="0" w:type="dxa"/>
            <w:left w:w="0" w:type="dxa"/>
            <w:bottom w:w="0" w:type="dxa"/>
            <w:right w:w="0" w:type="dxa"/>
          </w:tblCellMar>
        </w:tblPrEx>
        <w:trPr>
          <w:trHeight w:val="548"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识别距离</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400-1200mm</w:t>
            </w:r>
          </w:p>
        </w:tc>
      </w:tr>
      <w:tr>
        <w:tblPrEx>
          <w:tblCellMar>
            <w:top w:w="0" w:type="dxa"/>
            <w:left w:w="0" w:type="dxa"/>
            <w:bottom w:w="0" w:type="dxa"/>
            <w:right w:w="0" w:type="dxa"/>
          </w:tblCellMar>
        </w:tblPrEx>
        <w:trPr>
          <w:trHeight w:val="548"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成像面积</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4.73*3.52mm</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光线畸变</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小于1%</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系统支持</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windows xp、windows 7、windows 8、windows10、LINUX系统</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性能参数</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镜头</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高清镜头</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曝光控制</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自动</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白平衡</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自动</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宽动态</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100dB(支持半室外环境)</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信噪比</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≥39dB</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红外灯光谱</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850nm</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国密参数</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支持算法</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规范芯片指令，支持DES、3DES、RSA1024、RSA2048、SM2、SM3、SM4等国际、国密算法；</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加密速度</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SM2 签名≥50次/秒；SM3≥1.5Mbps；SM4≥1.5Mbps；</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△所需认证</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具备国家密码管理局认证的芯片证书</w:t>
            </w:r>
          </w:p>
        </w:tc>
      </w:tr>
      <w:tr>
        <w:tblPrEx>
          <w:tblCellMar>
            <w:top w:w="0" w:type="dxa"/>
            <w:left w:w="0" w:type="dxa"/>
            <w:bottom w:w="0" w:type="dxa"/>
            <w:right w:w="0" w:type="dxa"/>
          </w:tblCellMar>
        </w:tblPrEx>
        <w:trPr>
          <w:trHeight w:val="285"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人脸算法技术参数</w:t>
            </w:r>
          </w:p>
        </w:tc>
        <w:tc>
          <w:tcPr>
            <w:tcW w:w="1320"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活体检测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利用红外成像、立体成像检测、可见光与红外成像匹</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配等技术，实现静默检活。</w:t>
            </w:r>
          </w:p>
        </w:tc>
      </w:tr>
      <w:tr>
        <w:tblPrEx>
          <w:tblCellMar>
            <w:top w:w="0" w:type="dxa"/>
            <w:left w:w="0" w:type="dxa"/>
            <w:bottom w:w="0" w:type="dxa"/>
            <w:right w:w="0" w:type="dxa"/>
          </w:tblCellMar>
        </w:tblPrEx>
        <w:trPr>
          <w:trHeight w:val="510"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活体检测时间</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0.1 秒-0.5 秒</w:t>
            </w:r>
          </w:p>
        </w:tc>
      </w:tr>
      <w:tr>
        <w:tblPrEx>
          <w:tblCellMar>
            <w:top w:w="0" w:type="dxa"/>
            <w:left w:w="0" w:type="dxa"/>
            <w:bottom w:w="0" w:type="dxa"/>
            <w:right w:w="0" w:type="dxa"/>
          </w:tblCellMar>
        </w:tblPrEx>
        <w:trPr>
          <w:trHeight w:val="510"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活体检测距离</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30cm-100cm</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交互智能</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对于口罩，墨镜，过度侧脸及遮挡脸部等不当行为能给予准确提示</w:t>
            </w:r>
          </w:p>
        </w:tc>
      </w:tr>
      <w:tr>
        <w:tblPrEx>
          <w:tblCellMar>
            <w:top w:w="0" w:type="dxa"/>
            <w:left w:w="0" w:type="dxa"/>
            <w:bottom w:w="0" w:type="dxa"/>
            <w:right w:w="0" w:type="dxa"/>
          </w:tblCellMar>
        </w:tblPrEx>
        <w:trPr>
          <w:trHeight w:val="510"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最佳人脸抓拍</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产品支持自动获取最佳可见光人脸照片抓拍功能</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适应多场景</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适应多种场景，室内外场景，逆光场景，侧光场景等</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换人检测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产品支持换人检测，检测准确率大于 99.8%检测</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预警反馈时间小于 0.5 秒。</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前端人脸识别</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产品支持在设备端的人脸识别，识别准确率大于</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99.8%，识别时间小于 1 秒</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逆光处理</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针对反光有落地验证解决方案，可供设计方案和落地材料</w:t>
            </w:r>
          </w:p>
        </w:tc>
      </w:tr>
      <w:tr>
        <w:tblPrEx>
          <w:tblCellMar>
            <w:top w:w="0" w:type="dxa"/>
            <w:left w:w="0" w:type="dxa"/>
            <w:bottom w:w="0" w:type="dxa"/>
            <w:right w:w="0" w:type="dxa"/>
          </w:tblCellMar>
        </w:tblPrEx>
        <w:trPr>
          <w:trHeight w:val="510"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支持多场景应用</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产品支持多场景布设需求，可设计图和安装效果图</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设备适应性</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摄像头配套SDK需按照行方要求定制化开发</w:t>
            </w:r>
          </w:p>
        </w:tc>
      </w:tr>
      <w:tr>
        <w:tblPrEx>
          <w:tblCellMar>
            <w:top w:w="0" w:type="dxa"/>
            <w:left w:w="0" w:type="dxa"/>
            <w:bottom w:w="0" w:type="dxa"/>
            <w:right w:w="0" w:type="dxa"/>
          </w:tblCellMar>
        </w:tblPrEx>
        <w:trPr>
          <w:trHeight w:val="285" w:hRule="atLeast"/>
        </w:trPr>
        <w:tc>
          <w:tcPr>
            <w:tcW w:w="1109" w:type="dxa"/>
            <w:vMerge w:val="restart"/>
            <w:tcBorders>
              <w:top w:val="nil"/>
              <w:left w:val="single" w:color="000000" w:sz="4" w:space="0"/>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虹膜产品</w:t>
            </w:r>
            <w:r>
              <w:rPr>
                <w:rFonts w:hint="eastAsia" w:ascii="宋体" w:hAnsi="宋体"/>
                <w:sz w:val="21"/>
                <w:szCs w:val="21"/>
              </w:rPr>
              <w:br w:type="textWrapping"/>
            </w:r>
            <w:r>
              <w:rPr>
                <w:rFonts w:hint="eastAsia" w:ascii="宋体" w:hAnsi="宋体"/>
                <w:sz w:val="21"/>
                <w:szCs w:val="21"/>
              </w:rPr>
              <w:t>技术参数</w:t>
            </w: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基本参数</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摄像头类型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单模近红外镜头</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像素</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200 万像素</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分辨率</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1920*1080</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最大帧率</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1920*1080@30fps</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输出格式</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MJPG/YUV</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接口类型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USB2.0</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性能参数</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驱动类型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免驱动</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识别距离</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40~70cm</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系统支持</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windows 7、windows 8、windows10、LINUX系统</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曝光控制</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自动</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白平衡</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自动</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使用环境</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操作温度</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0~50℃</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存储温度</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-30~60℃</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工作湿度</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5%~95%RH</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电源供应</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USB供电</w:t>
            </w:r>
          </w:p>
        </w:tc>
      </w:tr>
      <w:tr>
        <w:tblPrEx>
          <w:tblCellMar>
            <w:top w:w="0" w:type="dxa"/>
            <w:left w:w="0" w:type="dxa"/>
            <w:bottom w:w="0" w:type="dxa"/>
            <w:right w:w="0" w:type="dxa"/>
          </w:tblCellMar>
        </w:tblPrEx>
        <w:trPr>
          <w:trHeight w:val="285"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sz w:val="21"/>
                <w:szCs w:val="21"/>
              </w:rPr>
              <w:t>△</w:t>
            </w:r>
            <w:r>
              <w:rPr>
                <w:rFonts w:hint="eastAsia" w:ascii="宋体" w:hAnsi="宋体"/>
                <w:sz w:val="21"/>
                <w:szCs w:val="21"/>
              </w:rPr>
              <w:t>所需认证</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须具备国家安全防范报警系统产品质量监督检验中心检测，并检验报告复印件。</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算法指标</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错误注册率</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&lt;0.03%</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注册失败率</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&lt;0.3%</w:t>
            </w:r>
          </w:p>
        </w:tc>
      </w:tr>
      <w:tr>
        <w:tblPrEx>
          <w:tblCellMar>
            <w:top w:w="0" w:type="dxa"/>
            <w:left w:w="0" w:type="dxa"/>
            <w:bottom w:w="0" w:type="dxa"/>
            <w:right w:w="0" w:type="dxa"/>
          </w:tblCellMar>
        </w:tblPrEx>
        <w:trPr>
          <w:trHeight w:val="675"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错误接受率（FAR）为0.0001%时</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错误拒绝率（FRR）&lt;0.05%</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注册时间</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&lt;70ms</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比对时间</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&lt;0.006ms</w:t>
            </w:r>
          </w:p>
        </w:tc>
      </w:tr>
      <w:tr>
        <w:tblPrEx>
          <w:tblCellMar>
            <w:top w:w="0" w:type="dxa"/>
            <w:left w:w="0" w:type="dxa"/>
            <w:bottom w:w="0" w:type="dxa"/>
            <w:right w:w="0" w:type="dxa"/>
          </w:tblCellMar>
        </w:tblPrEx>
        <w:trPr>
          <w:trHeight w:val="285"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sz w:val="21"/>
                <w:szCs w:val="21"/>
              </w:rPr>
              <w:t>△</w:t>
            </w:r>
            <w:r>
              <w:rPr>
                <w:rFonts w:hint="eastAsia" w:ascii="宋体" w:hAnsi="宋体"/>
                <w:sz w:val="21"/>
                <w:szCs w:val="21"/>
              </w:rPr>
              <w:t>认证需求</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须具备国家安全防范报警系统产品质量监督检验中心检测，并检验报告复印件。</w:t>
            </w:r>
          </w:p>
        </w:tc>
      </w:tr>
    </w:tbl>
    <w:p>
      <w:pPr>
        <w:numPr>
          <w:ilvl w:val="0"/>
          <w:numId w:val="0"/>
        </w:numPr>
        <w:spacing w:line="360" w:lineRule="auto"/>
        <w:ind w:leftChars="0"/>
        <w:rPr>
          <w:rFonts w:hint="eastAsia" w:ascii="宋体" w:hAnsi="宋体"/>
          <w:color w:val="auto"/>
          <w:sz w:val="32"/>
          <w:szCs w:val="32"/>
          <w:lang w:eastAsia="zh-CN"/>
        </w:rPr>
      </w:pPr>
      <w:r>
        <w:rPr>
          <w:rFonts w:hint="eastAsia" w:ascii="宋体" w:hAnsi="宋体"/>
          <w:color w:val="auto"/>
          <w:sz w:val="32"/>
          <w:szCs w:val="32"/>
          <w:lang w:eastAsia="zh-CN"/>
        </w:rPr>
        <w:t>修改后</w:t>
      </w:r>
    </w:p>
    <w:p>
      <w:pPr>
        <w:pStyle w:val="5"/>
        <w:numPr>
          <w:ilvl w:val="4"/>
          <w:numId w:val="0"/>
        </w:numPr>
        <w:ind w:leftChars="0"/>
        <w:rPr>
          <w:szCs w:val="24"/>
        </w:rPr>
      </w:pPr>
      <w:r>
        <w:rPr>
          <w:rFonts w:hint="eastAsia"/>
          <w:lang w:val="en-US" w:eastAsia="zh-CN"/>
        </w:rPr>
        <w:t>4.1.2.1.16. 15</w:t>
      </w:r>
      <w:r>
        <w:rPr>
          <w:rFonts w:hint="eastAsia"/>
        </w:rPr>
        <w:t>生物多模态识别门禁</w:t>
      </w:r>
    </w:p>
    <w:tbl>
      <w:tblPr>
        <w:tblStyle w:val="8"/>
        <w:tblW w:w="9428" w:type="dxa"/>
        <w:tblInd w:w="0" w:type="dxa"/>
        <w:tblLayout w:type="fixed"/>
        <w:tblCellMar>
          <w:top w:w="0" w:type="dxa"/>
          <w:left w:w="0" w:type="dxa"/>
          <w:bottom w:w="0" w:type="dxa"/>
          <w:right w:w="0" w:type="dxa"/>
        </w:tblCellMar>
      </w:tblPr>
      <w:tblGrid>
        <w:gridCol w:w="1109"/>
        <w:gridCol w:w="1075"/>
        <w:gridCol w:w="1320"/>
        <w:gridCol w:w="5924"/>
      </w:tblGrid>
      <w:tr>
        <w:tblPrEx>
          <w:tblCellMar>
            <w:top w:w="0" w:type="dxa"/>
            <w:left w:w="0" w:type="dxa"/>
            <w:bottom w:w="0" w:type="dxa"/>
            <w:right w:w="0" w:type="dxa"/>
          </w:tblCellMar>
        </w:tblPrEx>
        <w:trPr>
          <w:trHeight w:val="285" w:hRule="atLeast"/>
        </w:trPr>
        <w:tc>
          <w:tcPr>
            <w:tcW w:w="1109" w:type="dxa"/>
            <w:vMerge w:val="restart"/>
            <w:tcBorders>
              <w:top w:val="single" w:color="000000" w:sz="4" w:space="0"/>
              <w:left w:val="single" w:color="000000" w:sz="4" w:space="0"/>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人脸产品</w:t>
            </w:r>
            <w:r>
              <w:rPr>
                <w:rFonts w:hint="eastAsia" w:ascii="宋体" w:hAnsi="宋体"/>
                <w:sz w:val="21"/>
                <w:szCs w:val="21"/>
              </w:rPr>
              <w:br w:type="textWrapping"/>
            </w:r>
            <w:r>
              <w:rPr>
                <w:rFonts w:hint="eastAsia" w:ascii="宋体" w:hAnsi="宋体"/>
                <w:sz w:val="21"/>
                <w:szCs w:val="21"/>
              </w:rPr>
              <w:t>技术参数</w:t>
            </w:r>
          </w:p>
        </w:tc>
        <w:tc>
          <w:tcPr>
            <w:tcW w:w="1075" w:type="dxa"/>
            <w:vMerge w:val="restart"/>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基本参数</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产品类型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双模摄像头：近红外和可见光</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传感器</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CMOS</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像素</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彩色：300万像素 红外：200万像素</w:t>
            </w:r>
          </w:p>
        </w:tc>
      </w:tr>
      <w:tr>
        <w:tblPrEx>
          <w:tblCellMar>
            <w:top w:w="0" w:type="dxa"/>
            <w:left w:w="0" w:type="dxa"/>
            <w:bottom w:w="0" w:type="dxa"/>
            <w:right w:w="0" w:type="dxa"/>
          </w:tblCellMar>
        </w:tblPrEx>
        <w:trPr>
          <w:trHeight w:val="533"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分辨率</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彩色：支持320*240、640*480、1280*720*、1920*1080、2048*1536等分辨率</w:t>
            </w:r>
            <w:r>
              <w:rPr>
                <w:rFonts w:hint="eastAsia" w:ascii="宋体" w:hAnsi="宋体"/>
                <w:sz w:val="21"/>
                <w:szCs w:val="21"/>
              </w:rPr>
              <w:br w:type="textWrapping"/>
            </w:r>
            <w:r>
              <w:rPr>
                <w:rFonts w:hint="eastAsia" w:ascii="宋体" w:hAnsi="宋体"/>
                <w:sz w:val="21"/>
                <w:szCs w:val="21"/>
              </w:rPr>
              <w:t>红外：支持320*240、640*480、1280*720*、1920*1080等分辨率</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输出格式</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MJPEG、YUV</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接口类型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双USB2.0</w:t>
            </w:r>
          </w:p>
        </w:tc>
      </w:tr>
      <w:tr>
        <w:tblPrEx>
          <w:tblCellMar>
            <w:top w:w="0" w:type="dxa"/>
            <w:left w:w="0" w:type="dxa"/>
            <w:bottom w:w="0" w:type="dxa"/>
            <w:right w:w="0" w:type="dxa"/>
          </w:tblCellMar>
        </w:tblPrEx>
        <w:trPr>
          <w:trHeight w:val="548"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识别距离</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400-1200mm</w:t>
            </w:r>
          </w:p>
        </w:tc>
      </w:tr>
      <w:tr>
        <w:tblPrEx>
          <w:tblCellMar>
            <w:top w:w="0" w:type="dxa"/>
            <w:left w:w="0" w:type="dxa"/>
            <w:bottom w:w="0" w:type="dxa"/>
            <w:right w:w="0" w:type="dxa"/>
          </w:tblCellMar>
        </w:tblPrEx>
        <w:trPr>
          <w:trHeight w:val="548"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成像面积</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4.73*3.52mm</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光线畸变</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小于1%</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系统支持</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windows xp、windows 7、windows 8、windows10、LINUX系统</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性能参数</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镜头</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高清镜头</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曝光控制</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自动</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白平衡</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自动</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宽动态</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100dB(支持半室外环境)</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信噪比</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≥39dB</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红外灯光谱</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850nm</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国密参数</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支持算法</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规范芯片指令，支持DES、3DES、RSA1024、RSA2048、SM2、SM3、SM4等国际、国密算法；</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加密速度</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SM2 签名≥50次/秒；SM3≥1.5Mbps；SM4≥1.5Mbps；</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FF0000"/>
                <w:sz w:val="21"/>
                <w:szCs w:val="21"/>
              </w:rPr>
            </w:pPr>
            <w:r>
              <w:rPr>
                <w:rFonts w:hint="eastAsia" w:ascii="宋体" w:hAnsi="宋体" w:eastAsia="宋体" w:cs="宋体"/>
                <w:color w:val="FF0000"/>
                <w:sz w:val="21"/>
                <w:szCs w:val="21"/>
              </w:rPr>
              <w:t>*</w:t>
            </w:r>
            <w:r>
              <w:rPr>
                <w:rFonts w:hint="eastAsia" w:ascii="宋体" w:hAnsi="宋体"/>
                <w:color w:val="FF0000"/>
                <w:sz w:val="21"/>
                <w:szCs w:val="21"/>
              </w:rPr>
              <w:t>所需认证</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color w:val="FF0000"/>
                <w:sz w:val="21"/>
                <w:szCs w:val="21"/>
              </w:rPr>
            </w:pPr>
            <w:r>
              <w:rPr>
                <w:rFonts w:hint="eastAsia" w:ascii="宋体" w:hAnsi="宋体"/>
                <w:color w:val="FF0000"/>
                <w:sz w:val="21"/>
                <w:szCs w:val="21"/>
              </w:rPr>
              <w:t>具备国家密码管理局认证的芯片证书</w:t>
            </w:r>
          </w:p>
        </w:tc>
      </w:tr>
      <w:tr>
        <w:tblPrEx>
          <w:tblCellMar>
            <w:top w:w="0" w:type="dxa"/>
            <w:left w:w="0" w:type="dxa"/>
            <w:bottom w:w="0" w:type="dxa"/>
            <w:right w:w="0" w:type="dxa"/>
          </w:tblCellMar>
        </w:tblPrEx>
        <w:trPr>
          <w:trHeight w:val="285"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人脸算法技术参数</w:t>
            </w:r>
          </w:p>
        </w:tc>
        <w:tc>
          <w:tcPr>
            <w:tcW w:w="1320"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活体检测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利用红外成像、立体成像检测、可见光与红外成像匹</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配等技术，实现静默检活。</w:t>
            </w:r>
          </w:p>
        </w:tc>
      </w:tr>
      <w:tr>
        <w:tblPrEx>
          <w:tblCellMar>
            <w:top w:w="0" w:type="dxa"/>
            <w:left w:w="0" w:type="dxa"/>
            <w:bottom w:w="0" w:type="dxa"/>
            <w:right w:w="0" w:type="dxa"/>
          </w:tblCellMar>
        </w:tblPrEx>
        <w:trPr>
          <w:trHeight w:val="510"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活体检测时间</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0.1 秒-0.5 秒</w:t>
            </w:r>
          </w:p>
        </w:tc>
      </w:tr>
      <w:tr>
        <w:tblPrEx>
          <w:tblCellMar>
            <w:top w:w="0" w:type="dxa"/>
            <w:left w:w="0" w:type="dxa"/>
            <w:bottom w:w="0" w:type="dxa"/>
            <w:right w:w="0" w:type="dxa"/>
          </w:tblCellMar>
        </w:tblPrEx>
        <w:trPr>
          <w:trHeight w:val="510"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活体检测距离</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30cm-100cm</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交互智能</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对于口罩，墨镜，过度侧脸及遮挡脸部等不当行为能给予准确提示</w:t>
            </w:r>
          </w:p>
        </w:tc>
      </w:tr>
      <w:tr>
        <w:tblPrEx>
          <w:tblCellMar>
            <w:top w:w="0" w:type="dxa"/>
            <w:left w:w="0" w:type="dxa"/>
            <w:bottom w:w="0" w:type="dxa"/>
            <w:right w:w="0" w:type="dxa"/>
          </w:tblCellMar>
        </w:tblPrEx>
        <w:trPr>
          <w:trHeight w:val="510"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最佳人脸抓拍</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产品支持自动获取最佳可见光人脸照片抓拍功能</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适应多场景</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适应多种场景，室内外场景，逆光场景，侧光场景等</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换人检测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产品支持换人检测，检测准确率大于 99.8%检测</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预警反馈时间小于 0.5 秒。</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前端人脸识别</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产品支持在设备端的人脸识别，识别准确率大于</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99.8%，识别时间小于 1 秒</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逆光处理</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针对反光有落地验证解决方案，可供设计方案和落地材料</w:t>
            </w:r>
          </w:p>
        </w:tc>
      </w:tr>
      <w:tr>
        <w:tblPrEx>
          <w:tblCellMar>
            <w:top w:w="0" w:type="dxa"/>
            <w:left w:w="0" w:type="dxa"/>
            <w:bottom w:w="0" w:type="dxa"/>
            <w:right w:w="0" w:type="dxa"/>
          </w:tblCellMar>
        </w:tblPrEx>
        <w:trPr>
          <w:trHeight w:val="510"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支持多场景应用</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产品支持多场景布设需求，可设计图和安装效果图</w:t>
            </w:r>
          </w:p>
        </w:tc>
      </w:tr>
      <w:tr>
        <w:tblPrEx>
          <w:tblCellMar>
            <w:top w:w="0" w:type="dxa"/>
            <w:left w:w="0" w:type="dxa"/>
            <w:bottom w:w="0" w:type="dxa"/>
            <w:right w:w="0" w:type="dxa"/>
          </w:tblCellMar>
        </w:tblPrEx>
        <w:trPr>
          <w:trHeight w:val="277" w:hRule="atLeast"/>
        </w:trPr>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设备适应性</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摄像头配套SDK需按照行方要求定制化开发</w:t>
            </w:r>
          </w:p>
        </w:tc>
      </w:tr>
      <w:tr>
        <w:tblPrEx>
          <w:tblCellMar>
            <w:top w:w="0" w:type="dxa"/>
            <w:left w:w="0" w:type="dxa"/>
            <w:bottom w:w="0" w:type="dxa"/>
            <w:right w:w="0" w:type="dxa"/>
          </w:tblCellMar>
        </w:tblPrEx>
        <w:trPr>
          <w:trHeight w:val="285" w:hRule="atLeast"/>
        </w:trPr>
        <w:tc>
          <w:tcPr>
            <w:tcW w:w="1109" w:type="dxa"/>
            <w:vMerge w:val="restart"/>
            <w:tcBorders>
              <w:top w:val="nil"/>
              <w:left w:val="single" w:color="000000" w:sz="4" w:space="0"/>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虹膜产品</w:t>
            </w:r>
            <w:r>
              <w:rPr>
                <w:rFonts w:hint="eastAsia" w:ascii="宋体" w:hAnsi="宋体"/>
                <w:sz w:val="21"/>
                <w:szCs w:val="21"/>
              </w:rPr>
              <w:br w:type="textWrapping"/>
            </w:r>
            <w:r>
              <w:rPr>
                <w:rFonts w:hint="eastAsia" w:ascii="宋体" w:hAnsi="宋体"/>
                <w:sz w:val="21"/>
                <w:szCs w:val="21"/>
              </w:rPr>
              <w:t>技术参数</w:t>
            </w: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基本参数</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摄像头类型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单模近红外镜头</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像素</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200 万像素</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分辨率</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1920*1080</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最大帧率</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1920*1080@30fps</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输出格式</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MJPG/YUV</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接口类型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USB2.0</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性能参数</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驱动类型</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免驱动</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识别距离</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40~70cm</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系统支持</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windows 7、windows 8、windows10、LINUX系统</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曝光控制</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自动</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白平衡</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自动</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使用环境</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操作温度</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0~50℃</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存储温度</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-30~60℃</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工作湿度</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5%~95%RH</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电源供应</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USB供电</w:t>
            </w:r>
          </w:p>
        </w:tc>
      </w:tr>
      <w:tr>
        <w:tblPrEx>
          <w:tblCellMar>
            <w:top w:w="0" w:type="dxa"/>
            <w:left w:w="0" w:type="dxa"/>
            <w:bottom w:w="0" w:type="dxa"/>
            <w:right w:w="0" w:type="dxa"/>
          </w:tblCellMar>
        </w:tblPrEx>
        <w:trPr>
          <w:trHeight w:val="285"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eastAsia="宋体" w:cs="宋体"/>
                <w:color w:val="FF0000"/>
                <w:sz w:val="21"/>
                <w:szCs w:val="21"/>
                <w:lang w:eastAsia="zh-CN"/>
              </w:rPr>
              <w:t>*</w:t>
            </w:r>
            <w:r>
              <w:rPr>
                <w:rFonts w:hint="eastAsia" w:ascii="宋体" w:hAnsi="宋体"/>
                <w:color w:val="FF0000"/>
                <w:sz w:val="21"/>
                <w:szCs w:val="21"/>
              </w:rPr>
              <w:t>所需认证</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须具备国家安全防范报警系统产品质量监督检验中心检测，并检验报告复印件。</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restart"/>
            <w:tcBorders>
              <w:top w:val="nil"/>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算法指标</w:t>
            </w: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错误注册率</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&lt;0.03%</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注册失败率</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&lt;0.3%</w:t>
            </w:r>
          </w:p>
        </w:tc>
      </w:tr>
      <w:tr>
        <w:tblPrEx>
          <w:tblCellMar>
            <w:top w:w="0" w:type="dxa"/>
            <w:left w:w="0" w:type="dxa"/>
            <w:bottom w:w="0" w:type="dxa"/>
            <w:right w:w="0" w:type="dxa"/>
          </w:tblCellMar>
        </w:tblPrEx>
        <w:trPr>
          <w:trHeight w:val="675"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错误接受率（FAR）为0.0001%时</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错误拒绝率（FRR）&lt;0.05%</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注册时间</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&lt;70ms</w:t>
            </w:r>
          </w:p>
        </w:tc>
      </w:tr>
      <w:tr>
        <w:tblPrEx>
          <w:tblCellMar>
            <w:top w:w="0" w:type="dxa"/>
            <w:left w:w="0" w:type="dxa"/>
            <w:bottom w:w="0" w:type="dxa"/>
            <w:right w:w="0" w:type="dxa"/>
          </w:tblCellMar>
        </w:tblPrEx>
        <w:trPr>
          <w:trHeight w:val="277"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比对时间</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&lt;0.006ms</w:t>
            </w:r>
          </w:p>
        </w:tc>
      </w:tr>
      <w:tr>
        <w:tblPrEx>
          <w:tblCellMar>
            <w:top w:w="0" w:type="dxa"/>
            <w:left w:w="0" w:type="dxa"/>
            <w:bottom w:w="0" w:type="dxa"/>
            <w:right w:w="0" w:type="dxa"/>
          </w:tblCellMar>
        </w:tblPrEx>
        <w:trPr>
          <w:trHeight w:val="285" w:hRule="atLeast"/>
        </w:trPr>
        <w:tc>
          <w:tcPr>
            <w:tcW w:w="110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sz w:val="21"/>
                <w:szCs w:val="21"/>
              </w:rPr>
            </w:pPr>
          </w:p>
        </w:tc>
        <w:tc>
          <w:tcPr>
            <w:tcW w:w="1075" w:type="dxa"/>
            <w:vMerge w:val="continue"/>
            <w:tcBorders>
              <w:top w:val="nil"/>
              <w:left w:val="nil"/>
              <w:bottom w:val="single" w:color="000000" w:sz="4" w:space="0"/>
              <w:right w:val="single" w:color="000000" w:sz="4" w:space="0"/>
            </w:tcBorders>
            <w:vAlign w:val="center"/>
          </w:tcPr>
          <w:p>
            <w:pPr>
              <w:widowControl/>
              <w:jc w:val="left"/>
              <w:rPr>
                <w:rFonts w:ascii="宋体" w:hAnsi="宋体"/>
                <w:sz w:val="21"/>
                <w:szCs w:val="21"/>
              </w:rPr>
            </w:pPr>
          </w:p>
        </w:tc>
        <w:tc>
          <w:tcPr>
            <w:tcW w:w="1320"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eastAsia="宋体" w:cs="宋体"/>
                <w:color w:val="FF0000"/>
                <w:sz w:val="21"/>
                <w:szCs w:val="21"/>
                <w:lang w:eastAsia="zh-CN"/>
              </w:rPr>
              <w:t>*</w:t>
            </w:r>
            <w:r>
              <w:rPr>
                <w:rFonts w:hint="eastAsia" w:ascii="宋体" w:hAnsi="宋体"/>
                <w:color w:val="FF0000"/>
                <w:sz w:val="21"/>
                <w:szCs w:val="21"/>
              </w:rPr>
              <w:t>认证需求</w:t>
            </w:r>
          </w:p>
        </w:tc>
        <w:tc>
          <w:tcPr>
            <w:tcW w:w="5924" w:type="dxa"/>
            <w:tcBorders>
              <w:top w:val="single" w:color="000000" w:sz="4" w:space="0"/>
              <w:left w:val="nil"/>
              <w:bottom w:val="single" w:color="000000" w:sz="4" w:space="0"/>
              <w:right w:val="single" w:color="000000" w:sz="4" w:space="0"/>
            </w:tcBorders>
            <w:tcMar>
              <w:top w:w="8" w:type="dxa"/>
              <w:left w:w="8" w:type="dxa"/>
              <w:bottom w:w="0" w:type="dxa"/>
              <w:right w:w="8" w:type="dxa"/>
            </w:tcMar>
            <w:vAlign w:val="center"/>
          </w:tcPr>
          <w:p>
            <w:pPr>
              <w:rPr>
                <w:rFonts w:ascii="宋体" w:hAnsi="宋体"/>
                <w:sz w:val="21"/>
                <w:szCs w:val="21"/>
              </w:rPr>
            </w:pPr>
            <w:r>
              <w:rPr>
                <w:rFonts w:hint="eastAsia" w:ascii="宋体" w:hAnsi="宋体"/>
                <w:sz w:val="21"/>
                <w:szCs w:val="21"/>
              </w:rPr>
              <w:t>须具备国家安全防范报警系统产品质量监督检验中心检测，并检验报告复印件。</w:t>
            </w:r>
          </w:p>
        </w:tc>
      </w:tr>
    </w:tbl>
    <w:p>
      <w:pPr>
        <w:numPr>
          <w:ilvl w:val="0"/>
          <w:numId w:val="5"/>
        </w:numPr>
        <w:spacing w:line="360" w:lineRule="auto"/>
        <w:ind w:leftChars="0"/>
        <w:rPr>
          <w:rFonts w:hint="eastAsia" w:ascii="宋体" w:hAnsi="宋体"/>
          <w:color w:val="auto"/>
          <w:sz w:val="32"/>
          <w:szCs w:val="32"/>
          <w:lang w:val="en-US" w:eastAsia="zh-CN"/>
        </w:rPr>
      </w:pPr>
      <w:r>
        <w:rPr>
          <w:rFonts w:hint="eastAsia" w:ascii="宋体" w:hAnsi="宋体"/>
          <w:color w:val="auto"/>
          <w:sz w:val="32"/>
          <w:szCs w:val="32"/>
          <w:lang w:val="en-US" w:eastAsia="zh-CN"/>
        </w:rPr>
        <w:t>原文件</w:t>
      </w:r>
    </w:p>
    <w:p>
      <w:pPr>
        <w:pStyle w:val="5"/>
        <w:numPr>
          <w:ilvl w:val="4"/>
          <w:numId w:val="0"/>
        </w:numPr>
        <w:ind w:leftChars="0"/>
      </w:pPr>
      <w:r>
        <w:rPr>
          <w:rFonts w:hint="eastAsia"/>
          <w:lang w:val="en-US" w:eastAsia="zh-CN"/>
        </w:rPr>
        <w:t>4.2.1.4.2.</w:t>
      </w:r>
      <w:r>
        <w:rPr>
          <w:rFonts w:hint="eastAsia"/>
        </w:rPr>
        <w:t>物联网主机硬件技术要求</w:t>
      </w:r>
    </w:p>
    <w:p>
      <w:pPr>
        <w:spacing w:line="360" w:lineRule="auto"/>
        <w:ind w:firstLine="480"/>
        <w:rPr>
          <w:rFonts w:ascii="宋体" w:hAnsi="宋体"/>
          <w:sz w:val="24"/>
          <w:szCs w:val="24"/>
        </w:rPr>
      </w:pPr>
      <w:r>
        <w:rPr>
          <w:rFonts w:hint="eastAsia" w:ascii="宋体" w:hAnsi="宋体"/>
          <w:sz w:val="24"/>
          <w:szCs w:val="24"/>
        </w:rPr>
        <w:t>物联网主机应可以支持企业现场安全生产数据实时上传至园区智慧安监平台，具有多个标准接口，可接驳模拟摄像机、网络摄像机、网络快球等，支持本地模拟量数据监测、超限报警；支持开关量报警量输入，具有防剪、防短功能；支持报警输出，输出时间可控，并支持报警联动输出，可实现数据的存储等功能。</w:t>
      </w:r>
    </w:p>
    <w:tbl>
      <w:tblPr>
        <w:tblStyle w:val="8"/>
        <w:tblW w:w="9628" w:type="dxa"/>
        <w:tblInd w:w="0" w:type="dxa"/>
        <w:tblLayout w:type="fixed"/>
        <w:tblCellMar>
          <w:top w:w="0" w:type="dxa"/>
          <w:left w:w="108" w:type="dxa"/>
          <w:bottom w:w="0" w:type="dxa"/>
          <w:right w:w="108" w:type="dxa"/>
        </w:tblCellMar>
      </w:tblPr>
      <w:tblGrid>
        <w:gridCol w:w="1217"/>
        <w:gridCol w:w="8411"/>
      </w:tblGrid>
      <w:tr>
        <w:tblPrEx>
          <w:tblCellMar>
            <w:top w:w="0" w:type="dxa"/>
            <w:left w:w="108" w:type="dxa"/>
            <w:bottom w:w="0" w:type="dxa"/>
            <w:right w:w="108" w:type="dxa"/>
          </w:tblCellMar>
        </w:tblPrEx>
        <w:trPr>
          <w:trHeight w:val="283" w:hRule="atLeast"/>
        </w:trPr>
        <w:tc>
          <w:tcPr>
            <w:tcW w:w="1217"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b/>
                <w:bCs/>
              </w:rPr>
            </w:pPr>
            <w:r>
              <w:rPr>
                <w:rFonts w:hint="eastAsia" w:ascii="宋体" w:hAnsi="宋体"/>
                <w:b/>
                <w:bCs/>
              </w:rPr>
              <w:t>产品</w:t>
            </w:r>
          </w:p>
        </w:tc>
        <w:tc>
          <w:tcPr>
            <w:tcW w:w="8411" w:type="dxa"/>
            <w:tcBorders>
              <w:top w:val="single" w:color="auto" w:sz="4" w:space="0"/>
              <w:left w:val="nil"/>
              <w:bottom w:val="single" w:color="auto" w:sz="4" w:space="0"/>
              <w:right w:val="single" w:color="auto" w:sz="4" w:space="0"/>
            </w:tcBorders>
            <w:vAlign w:val="center"/>
          </w:tcPr>
          <w:p>
            <w:pPr>
              <w:pStyle w:val="12"/>
              <w:jc w:val="center"/>
              <w:rPr>
                <w:rFonts w:ascii="宋体" w:hAnsi="宋体"/>
                <w:b/>
                <w:bCs/>
              </w:rPr>
            </w:pPr>
            <w:r>
              <w:rPr>
                <w:rFonts w:hint="eastAsia" w:ascii="宋体" w:hAnsi="宋体"/>
                <w:b/>
                <w:bCs/>
              </w:rPr>
              <w:t>技术指标要求</w:t>
            </w:r>
          </w:p>
        </w:tc>
      </w:tr>
      <w:tr>
        <w:tblPrEx>
          <w:tblCellMar>
            <w:top w:w="0" w:type="dxa"/>
            <w:left w:w="108" w:type="dxa"/>
            <w:bottom w:w="0" w:type="dxa"/>
            <w:right w:w="108" w:type="dxa"/>
          </w:tblCellMar>
        </w:tblPrEx>
        <w:trPr>
          <w:trHeight w:val="283" w:hRule="atLeast"/>
        </w:trPr>
        <w:tc>
          <w:tcPr>
            <w:tcW w:w="121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重大危险源安全监控物联网主机</w:t>
            </w:r>
          </w:p>
        </w:tc>
        <w:tc>
          <w:tcPr>
            <w:tcW w:w="8411" w:type="dxa"/>
            <w:tcBorders>
              <w:top w:val="single" w:color="auto" w:sz="4" w:space="0"/>
              <w:left w:val="nil"/>
              <w:bottom w:val="single" w:color="auto" w:sz="4" w:space="0"/>
              <w:right w:val="single" w:color="auto" w:sz="4" w:space="0"/>
            </w:tcBorders>
            <w:vAlign w:val="center"/>
          </w:tcPr>
          <w:p>
            <w:pPr>
              <w:rPr>
                <w:rFonts w:ascii="宋体" w:hAnsi="宋体"/>
                <w:sz w:val="21"/>
                <w:szCs w:val="21"/>
                <w14:textFill>
                  <w14:gradFill>
                    <w14:gsLst>
                      <w14:gs w14:pos="0">
                        <w14:srgbClr w14:val="E30000"/>
                      </w14:gs>
                      <w14:gs w14:pos="100000">
                        <w14:srgbClr w14:val="760303"/>
                      </w14:gs>
                    </w14:gsLst>
                    <w14:lin w14:scaled="0"/>
                  </w14:gradFill>
                </w14:textFill>
              </w:rPr>
            </w:pPr>
            <w:r>
              <w:rPr>
                <w:rFonts w:hint="eastAsia" w:ascii="宋体" w:hAnsi="宋体"/>
                <w:sz w:val="21"/>
                <w:szCs w:val="21"/>
              </w:rPr>
              <w:t>△支持至少8路模拟量数据采集，并可通过网络上传到软件平台，支持至少16路开关量输入并可通过网络上传到软件平台，支持至少</w:t>
            </w:r>
            <w:r>
              <w:rPr>
                <w:rFonts w:ascii="宋体" w:hAnsi="宋体"/>
                <w:sz w:val="21"/>
                <w:szCs w:val="21"/>
              </w:rPr>
              <w:t>8路独立RS-485数据通信功能</w:t>
            </w:r>
            <w:r>
              <w:rPr>
                <w:rFonts w:hint="eastAsia" w:ascii="宋体" w:hAnsi="宋体"/>
                <w:sz w:val="21"/>
                <w:szCs w:val="21"/>
              </w:rPr>
              <w:t>，并可通过网络上传到软件平台；</w:t>
            </w:r>
            <w:r>
              <w:rPr>
                <w:rFonts w:hint="eastAsia" w:ascii="宋体" w:hAnsi="宋体"/>
                <w:sz w:val="21"/>
                <w:szCs w:val="21"/>
                <w14:textFill>
                  <w14:gradFill>
                    <w14:gsLst>
                      <w14:gs w14:pos="0">
                        <w14:srgbClr w14:val="E30000"/>
                      </w14:gs>
                      <w14:gs w14:pos="100000">
                        <w14:srgbClr w14:val="760303"/>
                      </w14:gs>
                    </w14:gsLst>
                    <w14:lin w14:scaled="0"/>
                  </w14:gradFill>
                </w14:textFill>
              </w:rPr>
              <w:t>（提供国家安防产品质量检验中心的检测报告复印件并加盖公章）</w:t>
            </w:r>
          </w:p>
          <w:p>
            <w:pPr>
              <w:pStyle w:val="10"/>
              <w:rPr>
                <w:rFonts w:ascii="Times New Roman" w:hAnsi="Times New Roman" w:cs="Times New Roman" w:eastAsiaTheme="majorEastAsia"/>
              </w:rPr>
            </w:pPr>
            <w:r>
              <w:rPr>
                <w:rFonts w:ascii="Times New Roman" w:hAnsi="Times New Roman" w:cs="Times New Roman" w:eastAsiaTheme="majorEastAsia"/>
              </w:rPr>
              <w:t>硬盘总容量不少于4TB，硬盘企业级7200转；</w:t>
            </w:r>
          </w:p>
          <w:p>
            <w:pPr>
              <w:pStyle w:val="10"/>
              <w:rPr>
                <w:rFonts w:ascii="Times New Roman" w:hAnsi="Times New Roman" w:cs="Times New Roman" w:eastAsiaTheme="majorEastAsia"/>
              </w:rPr>
            </w:pPr>
            <w:r>
              <w:rPr>
                <w:rFonts w:ascii="Times New Roman" w:hAnsi="Times New Roman" w:cs="Times New Roman" w:eastAsiaTheme="majorEastAsia"/>
              </w:rPr>
              <w:t>所有模拟通道支持WD1实时编码；</w:t>
            </w:r>
          </w:p>
          <w:p>
            <w:pPr>
              <w:pStyle w:val="10"/>
              <w:rPr>
                <w:rFonts w:ascii="Times New Roman" w:hAnsi="Times New Roman" w:cs="Times New Roman" w:eastAsiaTheme="majorEastAsia"/>
              </w:rPr>
            </w:pPr>
            <w:r>
              <w:rPr>
                <w:rFonts w:ascii="Times New Roman" w:hAnsi="Times New Roman" w:cs="Times New Roman" w:eastAsiaTheme="majorEastAsia"/>
              </w:rPr>
              <w:t>支持HDMI、VGA、CVBS同时输出，HDMI与VGA输出分辨率可达1920x1080p；</w:t>
            </w:r>
          </w:p>
          <w:p>
            <w:pPr>
              <w:pStyle w:val="10"/>
              <w:rPr>
                <w:rFonts w:ascii="Times New Roman" w:hAnsi="Times New Roman" w:cs="Times New Roman" w:eastAsiaTheme="majorEastAsia"/>
              </w:rPr>
            </w:pPr>
            <w:r>
              <w:rPr>
                <w:rFonts w:ascii="Times New Roman" w:hAnsi="Times New Roman" w:cs="Times New Roman" w:eastAsiaTheme="majorEastAsia"/>
              </w:rPr>
              <w:t>支持冗余录像、假日录像和抓图计划配置；</w:t>
            </w:r>
          </w:p>
          <w:p>
            <w:pPr>
              <w:pStyle w:val="10"/>
              <w:rPr>
                <w:rFonts w:ascii="Times New Roman" w:hAnsi="Times New Roman" w:cs="Times New Roman" w:eastAsiaTheme="majorEastAsia"/>
              </w:rPr>
            </w:pPr>
            <w:r>
              <w:rPr>
                <w:rFonts w:ascii="Times New Roman" w:hAnsi="Times New Roman" w:cs="Times New Roman" w:eastAsiaTheme="majorEastAsia"/>
              </w:rPr>
              <w:t>支持即时回放功能，在预览画面下对指定通道的当前录像进行回放，并且不影响其他通道预览；</w:t>
            </w:r>
          </w:p>
          <w:p>
            <w:pPr>
              <w:pStyle w:val="10"/>
              <w:rPr>
                <w:rFonts w:ascii="Times New Roman" w:hAnsi="Times New Roman" w:cs="Times New Roman" w:eastAsiaTheme="majorEastAsia"/>
              </w:rPr>
            </w:pPr>
            <w:r>
              <w:rPr>
                <w:rFonts w:ascii="Times New Roman" w:hAnsi="Times New Roman" w:cs="Times New Roman" w:eastAsiaTheme="majorEastAsia"/>
              </w:rPr>
              <w:t>支持</w:t>
            </w:r>
            <w:r>
              <w:rPr>
                <w:rFonts w:hint="eastAsia" w:ascii="Times New Roman" w:hAnsi="Times New Roman" w:cs="Times New Roman" w:eastAsiaTheme="majorEastAsia"/>
              </w:rPr>
              <w:t>至少</w:t>
            </w:r>
            <w:r>
              <w:rPr>
                <w:rFonts w:ascii="Times New Roman" w:hAnsi="Times New Roman" w:cs="Times New Roman" w:eastAsiaTheme="majorEastAsia"/>
              </w:rPr>
              <w:t>16路WD1同步回放及多路同步倒放；</w:t>
            </w:r>
          </w:p>
          <w:p>
            <w:pPr>
              <w:pStyle w:val="10"/>
              <w:rPr>
                <w:rFonts w:ascii="Times New Roman" w:hAnsi="Times New Roman" w:cs="Times New Roman" w:eastAsiaTheme="majorEastAsia"/>
              </w:rPr>
            </w:pPr>
            <w:r>
              <w:rPr>
                <w:rFonts w:ascii="Times New Roman" w:hAnsi="Times New Roman" w:cs="Times New Roman" w:eastAsiaTheme="majorEastAsia"/>
              </w:rPr>
              <w:t>支持标签定义、查询、回放录像文件；</w:t>
            </w:r>
          </w:p>
          <w:p>
            <w:pPr>
              <w:pStyle w:val="10"/>
              <w:rPr>
                <w:rFonts w:ascii="Times New Roman" w:hAnsi="Times New Roman" w:cs="Times New Roman" w:eastAsiaTheme="majorEastAsia"/>
              </w:rPr>
            </w:pPr>
            <w:r>
              <w:rPr>
                <w:rFonts w:ascii="Times New Roman" w:hAnsi="Times New Roman" w:cs="Times New Roman" w:eastAsiaTheme="majorEastAsia"/>
              </w:rPr>
              <w:t>支持重要录像文件加锁保护功能；</w:t>
            </w:r>
          </w:p>
          <w:p>
            <w:pPr>
              <w:pStyle w:val="10"/>
              <w:rPr>
                <w:rFonts w:ascii="Times New Roman" w:hAnsi="Times New Roman" w:cs="Times New Roman" w:eastAsiaTheme="majorEastAsia"/>
              </w:rPr>
            </w:pPr>
            <w:r>
              <w:rPr>
                <w:rFonts w:ascii="Times New Roman" w:hAnsi="Times New Roman" w:cs="Times New Roman" w:eastAsiaTheme="majorEastAsia"/>
              </w:rPr>
              <w:t>支持硬盘配额和硬盘盘组两种存储模式，可对不同通道分配不同的录像保存容量或周期；</w:t>
            </w:r>
          </w:p>
          <w:p>
            <w:pPr>
              <w:pStyle w:val="10"/>
              <w:rPr>
                <w:rFonts w:ascii="Times New Roman" w:hAnsi="Times New Roman" w:cs="Times New Roman" w:eastAsiaTheme="majorEastAsia"/>
              </w:rPr>
            </w:pPr>
            <w:r>
              <w:rPr>
                <w:rFonts w:ascii="Times New Roman" w:hAnsi="Times New Roman" w:cs="Times New Roman" w:eastAsiaTheme="majorEastAsia"/>
              </w:rPr>
              <w:t>支持至少8个SATA接口，1个eSATA盘库，可用于录像和备份；</w:t>
            </w:r>
          </w:p>
          <w:p>
            <w:pPr>
              <w:pStyle w:val="10"/>
              <w:rPr>
                <w:rFonts w:ascii="Times New Roman" w:hAnsi="Times New Roman" w:cs="Times New Roman" w:eastAsiaTheme="majorEastAsia"/>
              </w:rPr>
            </w:pPr>
            <w:r>
              <w:rPr>
                <w:rFonts w:ascii="Times New Roman" w:hAnsi="Times New Roman" w:cs="Times New Roman" w:eastAsiaTheme="majorEastAsia"/>
              </w:rPr>
              <w:t>双千兆网卡，支持网络容错、负载均衡以及双网络IP设定等应用；</w:t>
            </w:r>
          </w:p>
          <w:p>
            <w:pPr>
              <w:rPr>
                <w:rFonts w:ascii="宋体" w:hAnsi="宋体"/>
                <w:sz w:val="21"/>
                <w:szCs w:val="21"/>
              </w:rPr>
            </w:pPr>
            <w:r>
              <w:rPr>
                <w:rFonts w:ascii="宋体" w:hAnsi="宋体"/>
                <w:sz w:val="21"/>
                <w:szCs w:val="21"/>
              </w:rPr>
              <w:t>可安装危险源安全监控数据采集软件采集企业的危险源监测数据</w:t>
            </w:r>
            <w:r>
              <w:rPr>
                <w:rFonts w:hint="eastAsia" w:ascii="宋体" w:hAnsi="宋体"/>
                <w:sz w:val="21"/>
                <w:szCs w:val="21"/>
              </w:rPr>
              <w:t>。</w:t>
            </w:r>
          </w:p>
        </w:tc>
      </w:tr>
    </w:tbl>
    <w:p>
      <w:pPr>
        <w:numPr>
          <w:ilvl w:val="0"/>
          <w:numId w:val="0"/>
        </w:numPr>
        <w:spacing w:line="360" w:lineRule="auto"/>
        <w:rPr>
          <w:rFonts w:hint="eastAsia" w:ascii="宋体" w:hAnsi="宋体"/>
          <w:color w:val="auto"/>
          <w:sz w:val="32"/>
          <w:szCs w:val="32"/>
          <w:lang w:val="en-US" w:eastAsia="zh-CN"/>
        </w:rPr>
      </w:pPr>
      <w:r>
        <w:rPr>
          <w:rFonts w:hint="eastAsia" w:ascii="宋体" w:hAnsi="宋体"/>
          <w:color w:val="auto"/>
          <w:sz w:val="32"/>
          <w:szCs w:val="32"/>
          <w:lang w:val="en-US" w:eastAsia="zh-CN"/>
        </w:rPr>
        <w:t>修改后</w:t>
      </w:r>
    </w:p>
    <w:p>
      <w:pPr>
        <w:pStyle w:val="5"/>
        <w:numPr>
          <w:ilvl w:val="4"/>
          <w:numId w:val="0"/>
        </w:numPr>
        <w:ind w:leftChars="0"/>
      </w:pPr>
      <w:r>
        <w:rPr>
          <w:rFonts w:hint="eastAsia"/>
          <w:lang w:val="en-US" w:eastAsia="zh-CN"/>
        </w:rPr>
        <w:t>4.2.1.4.2.</w:t>
      </w:r>
      <w:r>
        <w:rPr>
          <w:rFonts w:hint="eastAsia"/>
        </w:rPr>
        <w:t>物联网主机硬件技术要求</w:t>
      </w:r>
    </w:p>
    <w:p>
      <w:pPr>
        <w:spacing w:line="360" w:lineRule="auto"/>
        <w:ind w:firstLine="480"/>
        <w:rPr>
          <w:rFonts w:ascii="宋体" w:hAnsi="宋体"/>
          <w:sz w:val="24"/>
          <w:szCs w:val="24"/>
        </w:rPr>
      </w:pPr>
      <w:r>
        <w:rPr>
          <w:rFonts w:hint="eastAsia" w:ascii="宋体" w:hAnsi="宋体"/>
          <w:sz w:val="24"/>
          <w:szCs w:val="24"/>
        </w:rPr>
        <w:t>物联网主机应可以支持企业现场安全生产数据实时上传至园区智慧安监平台，具有多个标准接口，可接驳模拟摄像机、网络摄像机、网络快球等，支持本地模拟量数据监测、超限报警；支持开关量报警量输入，具有防剪、防短功能；支持报警输出，输出时间可控，并支持报警联动输出，可实现数据的存储等功能。</w:t>
      </w:r>
    </w:p>
    <w:tbl>
      <w:tblPr>
        <w:tblStyle w:val="8"/>
        <w:tblW w:w="9628" w:type="dxa"/>
        <w:tblInd w:w="0" w:type="dxa"/>
        <w:tblLayout w:type="fixed"/>
        <w:tblCellMar>
          <w:top w:w="0" w:type="dxa"/>
          <w:left w:w="108" w:type="dxa"/>
          <w:bottom w:w="0" w:type="dxa"/>
          <w:right w:w="108" w:type="dxa"/>
        </w:tblCellMar>
      </w:tblPr>
      <w:tblGrid>
        <w:gridCol w:w="1217"/>
        <w:gridCol w:w="8411"/>
      </w:tblGrid>
      <w:tr>
        <w:tblPrEx>
          <w:tblCellMar>
            <w:top w:w="0" w:type="dxa"/>
            <w:left w:w="108" w:type="dxa"/>
            <w:bottom w:w="0" w:type="dxa"/>
            <w:right w:w="108" w:type="dxa"/>
          </w:tblCellMar>
        </w:tblPrEx>
        <w:trPr>
          <w:trHeight w:val="283" w:hRule="atLeast"/>
        </w:trPr>
        <w:tc>
          <w:tcPr>
            <w:tcW w:w="1217" w:type="dxa"/>
            <w:tcBorders>
              <w:top w:val="single" w:color="auto" w:sz="4" w:space="0"/>
              <w:left w:val="single" w:color="auto" w:sz="4" w:space="0"/>
              <w:bottom w:val="single" w:color="auto" w:sz="4" w:space="0"/>
              <w:right w:val="single" w:color="auto" w:sz="4" w:space="0"/>
            </w:tcBorders>
            <w:vAlign w:val="center"/>
          </w:tcPr>
          <w:p>
            <w:pPr>
              <w:pStyle w:val="12"/>
              <w:jc w:val="center"/>
              <w:rPr>
                <w:rFonts w:ascii="宋体" w:hAnsi="宋体"/>
                <w:b/>
                <w:bCs/>
              </w:rPr>
            </w:pPr>
            <w:r>
              <w:rPr>
                <w:rFonts w:hint="eastAsia" w:ascii="宋体" w:hAnsi="宋体"/>
                <w:b/>
                <w:bCs/>
              </w:rPr>
              <w:t>产品</w:t>
            </w:r>
          </w:p>
        </w:tc>
        <w:tc>
          <w:tcPr>
            <w:tcW w:w="8411" w:type="dxa"/>
            <w:tcBorders>
              <w:top w:val="single" w:color="auto" w:sz="4" w:space="0"/>
              <w:left w:val="nil"/>
              <w:bottom w:val="single" w:color="auto" w:sz="4" w:space="0"/>
              <w:right w:val="single" w:color="auto" w:sz="4" w:space="0"/>
            </w:tcBorders>
            <w:vAlign w:val="center"/>
          </w:tcPr>
          <w:p>
            <w:pPr>
              <w:pStyle w:val="12"/>
              <w:jc w:val="center"/>
              <w:rPr>
                <w:rFonts w:ascii="宋体" w:hAnsi="宋体"/>
                <w:b/>
                <w:bCs/>
              </w:rPr>
            </w:pPr>
            <w:r>
              <w:rPr>
                <w:rFonts w:hint="eastAsia" w:ascii="宋体" w:hAnsi="宋体"/>
                <w:b/>
                <w:bCs/>
              </w:rPr>
              <w:t>技术指标要求</w:t>
            </w:r>
          </w:p>
        </w:tc>
      </w:tr>
      <w:tr>
        <w:tblPrEx>
          <w:tblCellMar>
            <w:top w:w="0" w:type="dxa"/>
            <w:left w:w="108" w:type="dxa"/>
            <w:bottom w:w="0" w:type="dxa"/>
            <w:right w:w="108" w:type="dxa"/>
          </w:tblCellMar>
        </w:tblPrEx>
        <w:trPr>
          <w:trHeight w:val="283" w:hRule="atLeast"/>
        </w:trPr>
        <w:tc>
          <w:tcPr>
            <w:tcW w:w="1217" w:type="dxa"/>
            <w:tcBorders>
              <w:top w:val="single" w:color="auto" w:sz="4" w:space="0"/>
              <w:left w:val="single" w:color="auto" w:sz="4" w:space="0"/>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重大危险源安全监控物联网主机</w:t>
            </w:r>
          </w:p>
        </w:tc>
        <w:tc>
          <w:tcPr>
            <w:tcW w:w="8411" w:type="dxa"/>
            <w:tcBorders>
              <w:top w:val="single" w:color="auto" w:sz="4" w:space="0"/>
              <w:left w:val="nil"/>
              <w:bottom w:val="single" w:color="auto" w:sz="4" w:space="0"/>
              <w:right w:val="single" w:color="auto" w:sz="4" w:space="0"/>
            </w:tcBorders>
            <w:vAlign w:val="center"/>
          </w:tcPr>
          <w:p>
            <w:pPr>
              <w:rPr>
                <w:rFonts w:ascii="宋体" w:hAnsi="宋体"/>
                <w:sz w:val="21"/>
                <w:szCs w:val="21"/>
                <w14:textFill>
                  <w14:gradFill>
                    <w14:gsLst>
                      <w14:gs w14:pos="0">
                        <w14:srgbClr w14:val="E30000"/>
                      </w14:gs>
                      <w14:gs w14:pos="100000">
                        <w14:srgbClr w14:val="760303"/>
                      </w14:gs>
                    </w14:gsLst>
                    <w14:lin w14:scaled="0"/>
                  </w14:gradFill>
                </w14:textFill>
              </w:rPr>
            </w:pPr>
            <w:r>
              <w:rPr>
                <w:rFonts w:hint="eastAsia" w:ascii="宋体" w:hAnsi="宋体" w:eastAsia="宋体" w:cs="宋体"/>
                <w:color w:val="FF0000"/>
                <w:sz w:val="21"/>
                <w:szCs w:val="21"/>
                <w:lang w:eastAsia="zh-CN"/>
              </w:rPr>
              <w:t>*</w:t>
            </w:r>
            <w:r>
              <w:rPr>
                <w:rFonts w:hint="eastAsia" w:ascii="宋体" w:hAnsi="宋体"/>
                <w:color w:val="FF0000"/>
                <w:sz w:val="21"/>
                <w:szCs w:val="21"/>
              </w:rPr>
              <w:t>支持至少8路模拟量数据采集</w:t>
            </w:r>
            <w:r>
              <w:rPr>
                <w:rFonts w:hint="eastAsia" w:ascii="宋体" w:hAnsi="宋体"/>
                <w:sz w:val="21"/>
                <w:szCs w:val="21"/>
              </w:rPr>
              <w:t>，并可通过网络上传到软件平台，支持至少16路开关量输入并可通过网络上传到软件平台，支持至少</w:t>
            </w:r>
            <w:r>
              <w:rPr>
                <w:rFonts w:ascii="宋体" w:hAnsi="宋体"/>
                <w:sz w:val="21"/>
                <w:szCs w:val="21"/>
              </w:rPr>
              <w:t>8路独立RS-485数据通信功能</w:t>
            </w:r>
            <w:r>
              <w:rPr>
                <w:rFonts w:hint="eastAsia" w:ascii="宋体" w:hAnsi="宋体"/>
                <w:sz w:val="21"/>
                <w:szCs w:val="21"/>
              </w:rPr>
              <w:t>，并可通过网络上传到软件平台；</w:t>
            </w:r>
            <w:r>
              <w:rPr>
                <w:rFonts w:hint="eastAsia" w:ascii="宋体" w:hAnsi="宋体"/>
                <w:color w:val="auto"/>
                <w:sz w:val="21"/>
                <w:szCs w:val="21"/>
              </w:rPr>
              <w:t>（提供国家安防产品质量检验中心的检测报告复印件并加盖公章）</w:t>
            </w:r>
          </w:p>
          <w:p>
            <w:pPr>
              <w:pStyle w:val="10"/>
              <w:rPr>
                <w:rFonts w:ascii="Times New Roman" w:hAnsi="Times New Roman" w:cs="Times New Roman" w:eastAsiaTheme="majorEastAsia"/>
              </w:rPr>
            </w:pPr>
            <w:r>
              <w:rPr>
                <w:rFonts w:ascii="Times New Roman" w:hAnsi="Times New Roman" w:cs="Times New Roman" w:eastAsiaTheme="majorEastAsia"/>
              </w:rPr>
              <w:t>硬盘总容量不少于4TB，硬盘企业级7200转；</w:t>
            </w:r>
          </w:p>
          <w:p>
            <w:pPr>
              <w:pStyle w:val="10"/>
              <w:rPr>
                <w:rFonts w:ascii="Times New Roman" w:hAnsi="Times New Roman" w:cs="Times New Roman" w:eastAsiaTheme="majorEastAsia"/>
              </w:rPr>
            </w:pPr>
            <w:r>
              <w:rPr>
                <w:rFonts w:ascii="Times New Roman" w:hAnsi="Times New Roman" w:cs="Times New Roman" w:eastAsiaTheme="majorEastAsia"/>
              </w:rPr>
              <w:t>所有模拟通道支持WD1实时编码；</w:t>
            </w:r>
          </w:p>
          <w:p>
            <w:pPr>
              <w:pStyle w:val="10"/>
              <w:rPr>
                <w:rFonts w:ascii="Times New Roman" w:hAnsi="Times New Roman" w:cs="Times New Roman" w:eastAsiaTheme="majorEastAsia"/>
              </w:rPr>
            </w:pPr>
            <w:r>
              <w:rPr>
                <w:rFonts w:ascii="Times New Roman" w:hAnsi="Times New Roman" w:cs="Times New Roman" w:eastAsiaTheme="majorEastAsia"/>
              </w:rPr>
              <w:t>支持HDMI、VGA、CVBS同时输出，HDMI与VGA输出分辨率可达1920x1080p；</w:t>
            </w:r>
          </w:p>
          <w:p>
            <w:pPr>
              <w:pStyle w:val="10"/>
              <w:rPr>
                <w:rFonts w:ascii="Times New Roman" w:hAnsi="Times New Roman" w:cs="Times New Roman" w:eastAsiaTheme="majorEastAsia"/>
              </w:rPr>
            </w:pPr>
            <w:r>
              <w:rPr>
                <w:rFonts w:ascii="Times New Roman" w:hAnsi="Times New Roman" w:cs="Times New Roman" w:eastAsiaTheme="majorEastAsia"/>
              </w:rPr>
              <w:t>支持冗余录像、假日录像和抓图计划配置；</w:t>
            </w:r>
          </w:p>
          <w:p>
            <w:pPr>
              <w:pStyle w:val="10"/>
              <w:rPr>
                <w:rFonts w:ascii="Times New Roman" w:hAnsi="Times New Roman" w:cs="Times New Roman" w:eastAsiaTheme="majorEastAsia"/>
              </w:rPr>
            </w:pPr>
            <w:r>
              <w:rPr>
                <w:rFonts w:ascii="Times New Roman" w:hAnsi="Times New Roman" w:cs="Times New Roman" w:eastAsiaTheme="majorEastAsia"/>
              </w:rPr>
              <w:t>支持即时回放功能，在预览画面下对指定通道的当前录像进行回放，并且不影响其他通道预览；</w:t>
            </w:r>
          </w:p>
          <w:p>
            <w:pPr>
              <w:pStyle w:val="10"/>
              <w:rPr>
                <w:rFonts w:ascii="Times New Roman" w:hAnsi="Times New Roman" w:cs="Times New Roman" w:eastAsiaTheme="majorEastAsia"/>
              </w:rPr>
            </w:pPr>
            <w:r>
              <w:rPr>
                <w:rFonts w:ascii="Times New Roman" w:hAnsi="Times New Roman" w:cs="Times New Roman" w:eastAsiaTheme="majorEastAsia"/>
              </w:rPr>
              <w:t>支持</w:t>
            </w:r>
            <w:r>
              <w:rPr>
                <w:rFonts w:hint="eastAsia" w:ascii="Times New Roman" w:hAnsi="Times New Roman" w:cs="Times New Roman" w:eastAsiaTheme="majorEastAsia"/>
              </w:rPr>
              <w:t>至少</w:t>
            </w:r>
            <w:r>
              <w:rPr>
                <w:rFonts w:ascii="Times New Roman" w:hAnsi="Times New Roman" w:cs="Times New Roman" w:eastAsiaTheme="majorEastAsia"/>
              </w:rPr>
              <w:t>16路WD1同步回放及多路同步倒放；</w:t>
            </w:r>
          </w:p>
          <w:p>
            <w:pPr>
              <w:pStyle w:val="10"/>
              <w:rPr>
                <w:rFonts w:ascii="Times New Roman" w:hAnsi="Times New Roman" w:cs="Times New Roman" w:eastAsiaTheme="majorEastAsia"/>
              </w:rPr>
            </w:pPr>
            <w:r>
              <w:rPr>
                <w:rFonts w:ascii="Times New Roman" w:hAnsi="Times New Roman" w:cs="Times New Roman" w:eastAsiaTheme="majorEastAsia"/>
              </w:rPr>
              <w:t>支持标签定义、查询、回放录像文件；</w:t>
            </w:r>
          </w:p>
          <w:p>
            <w:pPr>
              <w:pStyle w:val="10"/>
              <w:rPr>
                <w:rFonts w:ascii="Times New Roman" w:hAnsi="Times New Roman" w:cs="Times New Roman" w:eastAsiaTheme="majorEastAsia"/>
              </w:rPr>
            </w:pPr>
            <w:r>
              <w:rPr>
                <w:rFonts w:ascii="Times New Roman" w:hAnsi="Times New Roman" w:cs="Times New Roman" w:eastAsiaTheme="majorEastAsia"/>
              </w:rPr>
              <w:t>支持重要录像文件加锁保护功能；</w:t>
            </w:r>
          </w:p>
          <w:p>
            <w:pPr>
              <w:pStyle w:val="10"/>
              <w:rPr>
                <w:rFonts w:ascii="Times New Roman" w:hAnsi="Times New Roman" w:cs="Times New Roman" w:eastAsiaTheme="majorEastAsia"/>
              </w:rPr>
            </w:pPr>
            <w:r>
              <w:rPr>
                <w:rFonts w:ascii="Times New Roman" w:hAnsi="Times New Roman" w:cs="Times New Roman" w:eastAsiaTheme="majorEastAsia"/>
              </w:rPr>
              <w:t>支持硬盘配额和硬盘盘组两种存储模式，可对不同通道分配不同的录像保存容量或周期；</w:t>
            </w:r>
          </w:p>
          <w:p>
            <w:pPr>
              <w:pStyle w:val="10"/>
              <w:rPr>
                <w:rFonts w:ascii="Times New Roman" w:hAnsi="Times New Roman" w:cs="Times New Roman" w:eastAsiaTheme="majorEastAsia"/>
              </w:rPr>
            </w:pPr>
            <w:r>
              <w:rPr>
                <w:rFonts w:ascii="Times New Roman" w:hAnsi="Times New Roman" w:cs="Times New Roman" w:eastAsiaTheme="majorEastAsia"/>
              </w:rPr>
              <w:t>支持至少8个SATA接口，1个eSATA盘库，可用于录像和备份；</w:t>
            </w:r>
          </w:p>
          <w:p>
            <w:pPr>
              <w:pStyle w:val="10"/>
              <w:rPr>
                <w:rFonts w:ascii="Times New Roman" w:hAnsi="Times New Roman" w:cs="Times New Roman" w:eastAsiaTheme="majorEastAsia"/>
              </w:rPr>
            </w:pPr>
            <w:r>
              <w:rPr>
                <w:rFonts w:ascii="Times New Roman" w:hAnsi="Times New Roman" w:cs="Times New Roman" w:eastAsiaTheme="majorEastAsia"/>
              </w:rPr>
              <w:t>双千兆网卡，支持网络容错、负载均衡以及双网络IP设定等应用；</w:t>
            </w:r>
          </w:p>
          <w:p>
            <w:pPr>
              <w:rPr>
                <w:rFonts w:ascii="宋体" w:hAnsi="宋体"/>
                <w:sz w:val="21"/>
                <w:szCs w:val="21"/>
              </w:rPr>
            </w:pPr>
            <w:r>
              <w:rPr>
                <w:rFonts w:ascii="宋体" w:hAnsi="宋体"/>
                <w:sz w:val="21"/>
                <w:szCs w:val="21"/>
              </w:rPr>
              <w:t>可安装危险源安全监控数据采集软件采集企业的危险源监测数据</w:t>
            </w:r>
            <w:r>
              <w:rPr>
                <w:rFonts w:hint="eastAsia" w:ascii="宋体" w:hAnsi="宋体"/>
                <w:sz w:val="21"/>
                <w:szCs w:val="21"/>
              </w:rPr>
              <w:t>。</w:t>
            </w:r>
          </w:p>
        </w:tc>
      </w:tr>
    </w:tbl>
    <w:p>
      <w:pPr>
        <w:numPr>
          <w:ilvl w:val="0"/>
          <w:numId w:val="0"/>
        </w:numPr>
        <w:spacing w:line="360" w:lineRule="auto"/>
        <w:rPr>
          <w:rFonts w:hint="eastAsia" w:ascii="宋体" w:hAnsi="宋体"/>
          <w:color w:val="auto"/>
          <w:sz w:val="32"/>
          <w:szCs w:val="32"/>
          <w:lang w:val="en-US" w:eastAsia="zh-CN"/>
        </w:rPr>
      </w:pPr>
    </w:p>
    <w:p>
      <w:pPr>
        <w:numPr>
          <w:ilvl w:val="0"/>
          <w:numId w:val="0"/>
        </w:numPr>
        <w:spacing w:line="360" w:lineRule="auto"/>
        <w:ind w:leftChars="0"/>
        <w:rPr>
          <w:rFonts w:hint="eastAsia" w:ascii="宋体" w:hAnsi="宋体"/>
          <w:color w:val="auto"/>
          <w:sz w:val="32"/>
          <w:szCs w:val="32"/>
          <w:lang w:eastAsia="zh-CN"/>
        </w:rPr>
      </w:pPr>
      <w:r>
        <w:rPr>
          <w:rFonts w:hint="eastAsia" w:ascii="宋体" w:hAnsi="宋体"/>
          <w:color w:val="auto"/>
          <w:sz w:val="32"/>
          <w:szCs w:val="32"/>
          <w:lang w:eastAsia="zh-CN"/>
        </w:rPr>
        <w:t>十、原文件</w:t>
      </w:r>
    </w:p>
    <w:p>
      <w:pPr>
        <w:pStyle w:val="5"/>
        <w:numPr>
          <w:ilvl w:val="4"/>
          <w:numId w:val="0"/>
        </w:numPr>
        <w:ind w:leftChars="0"/>
      </w:pPr>
      <w:r>
        <w:rPr>
          <w:rFonts w:hint="eastAsia"/>
          <w:lang w:val="en-US" w:eastAsia="zh-CN"/>
        </w:rPr>
        <w:t>4.8.2.3.2.</w:t>
      </w:r>
      <w:r>
        <w:rPr>
          <w:rFonts w:hint="eastAsia"/>
        </w:rPr>
        <w:t>入侵防御系统</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311"/>
        <w:gridCol w:w="7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b/>
                <w:bCs/>
                <w:sz w:val="21"/>
                <w:szCs w:val="21"/>
              </w:rPr>
              <w:t>序号</w:t>
            </w:r>
          </w:p>
        </w:tc>
        <w:tc>
          <w:tcPr>
            <w:tcW w:w="1311" w:type="dxa"/>
            <w:tcBorders>
              <w:top w:val="single" w:color="auto" w:sz="4" w:space="0"/>
              <w:left w:val="nil"/>
              <w:bottom w:val="single" w:color="auto" w:sz="4" w:space="0"/>
              <w:right w:val="single" w:color="auto" w:sz="4" w:space="0"/>
            </w:tcBorders>
            <w:vAlign w:val="center"/>
          </w:tcPr>
          <w:p>
            <w:pPr>
              <w:pStyle w:val="10"/>
              <w:rPr>
                <w:rFonts w:ascii="宋体" w:hAnsi="宋体"/>
                <w:b/>
                <w:bCs/>
              </w:rPr>
            </w:pPr>
            <w:r>
              <w:rPr>
                <w:rFonts w:hint="eastAsia" w:ascii="宋体" w:hAnsi="宋体"/>
                <w:b/>
                <w:bCs/>
              </w:rPr>
              <w:t>指标项</w:t>
            </w:r>
          </w:p>
        </w:tc>
        <w:tc>
          <w:tcPr>
            <w:tcW w:w="7348" w:type="dxa"/>
            <w:tcBorders>
              <w:top w:val="single" w:color="auto" w:sz="4" w:space="0"/>
              <w:left w:val="nil"/>
              <w:bottom w:val="single" w:color="auto" w:sz="4" w:space="0"/>
              <w:right w:val="single" w:color="auto" w:sz="4" w:space="0"/>
            </w:tcBorders>
            <w:vAlign w:val="center"/>
          </w:tcPr>
          <w:p>
            <w:pPr>
              <w:pStyle w:val="10"/>
              <w:ind w:firstLine="361"/>
              <w:jc w:val="center"/>
              <w:rPr>
                <w:rFonts w:ascii="宋体" w:hAnsi="宋体"/>
                <w:b/>
                <w:bCs/>
              </w:rPr>
            </w:pPr>
            <w:r>
              <w:rPr>
                <w:rFonts w:hint="eastAsia" w:ascii="宋体" w:hAnsi="宋体"/>
                <w:b/>
                <w:bC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21"/>
                <w:szCs w:val="21"/>
              </w:rPr>
              <w:t>1</w:t>
            </w:r>
          </w:p>
        </w:tc>
        <w:tc>
          <w:tcPr>
            <w:tcW w:w="1311"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基本要求和性能</w:t>
            </w: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要求设备</w:t>
            </w:r>
            <w:r>
              <w:rPr>
                <w:rFonts w:hint="eastAsia" w:ascii="宋体" w:hAnsi="宋体"/>
                <w:szCs w:val="21"/>
              </w:rPr>
              <w:t>不低于</w:t>
            </w:r>
            <w:r>
              <w:rPr>
                <w:rFonts w:hint="eastAsia" w:ascii="宋体" w:hAnsi="宋体"/>
              </w:rPr>
              <w:t>1U标准机箱，配置不少于6个10/100/1000Base-T端口，</w:t>
            </w:r>
            <w:r>
              <w:rPr>
                <w:rFonts w:hint="eastAsia" w:ascii="宋体" w:hAnsi="宋体"/>
                <w:szCs w:val="21"/>
              </w:rPr>
              <w:t>至少</w:t>
            </w:r>
            <w:r>
              <w:rPr>
                <w:rFonts w:hint="eastAsia" w:ascii="宋体" w:hAnsi="宋体"/>
              </w:rPr>
              <w:t>1个console口，2个USB，配置至少3年规则特征库升级许可；整机吞吐率：3Gbps，最大并发连接数：150W，IPS吞吐率：1.2Gbps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21"/>
                <w:szCs w:val="21"/>
              </w:rPr>
              <w:t>2</w:t>
            </w:r>
          </w:p>
        </w:tc>
        <w:tc>
          <w:tcPr>
            <w:tcW w:w="1311"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系统架构</w:t>
            </w: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要求设备采用自主知识产权的专用安全操作系统，采用多核平台并行处理特性（提供相应资质证明）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restart"/>
            <w:tcBorders>
              <w:top w:val="nil"/>
              <w:left w:val="single" w:color="auto" w:sz="4" w:space="0"/>
              <w:bottom w:val="single" w:color="auto" w:sz="4" w:space="0"/>
              <w:right w:val="single" w:color="auto" w:sz="4" w:space="0"/>
            </w:tcBorders>
            <w:vAlign w:val="center"/>
          </w:tcPr>
          <w:p>
            <w:pPr>
              <w:jc w:val="center"/>
            </w:pPr>
            <w:r>
              <w:rPr>
                <w:rFonts w:hint="eastAsia" w:ascii="宋体" w:hAnsi="宋体"/>
                <w:sz w:val="21"/>
                <w:szCs w:val="21"/>
              </w:rPr>
              <w:t>3</w:t>
            </w:r>
          </w:p>
        </w:tc>
        <w:tc>
          <w:tcPr>
            <w:tcW w:w="1311"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产品功能</w:t>
            </w: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系统应具备：融合模式匹配、协议分析、异常检测、会话关联分析，逃逸等多种技术，准确识别入侵攻击行为，为用户提供2~7层深度入侵检测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szCs w:val="28"/>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支持视频监控终端状态探知发现，能够实时发现视频监控终端情况和链路质量情况，支持轮询和实时发现模式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szCs w:val="28"/>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可扩展支持APT攻击检测模块，同时可与专业APT检测系统进行实时联动，检测并阻断未知网络威胁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szCs w:val="28"/>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支持对数据库基于名称、基于数据内容进行敏感数据扫描，发现数据库中存在的敏感数据的字段及其在服务器、数据库的分布情况。（提供功能截图证明）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szCs w:val="28"/>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系统支持检测包括land、Smurf、Pingofdeath、winnuke、tcp_sscan、ip_option、teardrop、targa3、ipspoof、Synflood、Icmpflood、Udpflood、Portscan、ipsweep等在内的DOS/DDOS攻击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szCs w:val="28"/>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系统支持ARP异常包及ARP Flood攻击检测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szCs w:val="28"/>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系统支持CC攻击检测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szCs w:val="28"/>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Style w:val="13"/>
                <w:rFonts w:hint="default"/>
                <w:color w:val="auto"/>
              </w:rPr>
              <w:t>支持WEB站点漏洞扫描功能，内置爬虫、支持关键字自学习和HTML分析。（提供功能截图证明）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szCs w:val="28"/>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产品具有专利技术的恶意、非法网站过滤功能，支持恶意站点防护功能，具有挂马站点URL和挂马源站点URL列表恶意站点库，能够在终端用户访问恶意URL时主动切断连接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21"/>
                <w:szCs w:val="21"/>
              </w:rPr>
              <w:t>4</w:t>
            </w:r>
          </w:p>
        </w:tc>
        <w:tc>
          <w:tcPr>
            <w:tcW w:w="1311"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rPr>
              <w:t>△</w:t>
            </w:r>
            <w:r>
              <w:rPr>
                <w:rFonts w:hint="eastAsia" w:ascii="宋体" w:hAnsi="宋体"/>
              </w:rPr>
              <w:t>产品资质</w:t>
            </w: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《计算机信息系统安全专用产品销售许可证》</w:t>
            </w:r>
          </w:p>
          <w:p>
            <w:pPr>
              <w:pStyle w:val="10"/>
              <w:rPr>
                <w:rFonts w:ascii="宋体" w:hAnsi="宋体"/>
              </w:rPr>
            </w:pPr>
            <w:r>
              <w:rPr>
                <w:rFonts w:hint="eastAsia" w:ascii="宋体" w:hAnsi="宋体"/>
              </w:rPr>
              <w:t>《计算机软件著作权登记》</w:t>
            </w:r>
          </w:p>
          <w:p>
            <w:pPr>
              <w:pStyle w:val="10"/>
              <w:rPr>
                <w:rFonts w:ascii="宋体" w:hAnsi="宋体"/>
              </w:rPr>
            </w:pPr>
            <w:r>
              <w:rPr>
                <w:rFonts w:hint="eastAsia" w:ascii="宋体" w:hAnsi="宋体"/>
              </w:rPr>
              <w:t>《国家信息安全测评信息技术产品安全测评证书》EAL3级</w:t>
            </w:r>
          </w:p>
          <w:p>
            <w:pPr>
              <w:pStyle w:val="10"/>
              <w:rPr>
                <w:rFonts w:ascii="宋体" w:hAnsi="宋体"/>
              </w:rPr>
            </w:pPr>
            <w:r>
              <w:rPr>
                <w:rFonts w:hint="eastAsia" w:ascii="宋体" w:hAnsi="宋体"/>
              </w:rPr>
              <w:t>CVE CompatibilityCertificate</w:t>
            </w:r>
          </w:p>
          <w:p>
            <w:pPr>
              <w:pStyle w:val="10"/>
              <w:rPr>
                <w:rFonts w:ascii="宋体" w:hAnsi="宋体"/>
              </w:rPr>
            </w:pPr>
            <w:r>
              <w:rPr>
                <w:rFonts w:hint="eastAsia" w:ascii="宋体" w:hAnsi="宋体"/>
              </w:rPr>
              <w:t>投标时需提供以上资质证书复印件</w:t>
            </w:r>
          </w:p>
        </w:tc>
      </w:tr>
    </w:tbl>
    <w:p>
      <w:pPr>
        <w:numPr>
          <w:ilvl w:val="0"/>
          <w:numId w:val="0"/>
        </w:numPr>
        <w:ind w:leftChars="0"/>
        <w:rPr>
          <w:rFonts w:hint="eastAsia"/>
          <w:sz w:val="32"/>
          <w:szCs w:val="32"/>
          <w:lang w:eastAsia="zh-CN"/>
        </w:rPr>
      </w:pPr>
      <w:r>
        <w:rPr>
          <w:rFonts w:hint="eastAsia"/>
          <w:sz w:val="32"/>
          <w:szCs w:val="32"/>
          <w:lang w:eastAsia="zh-CN"/>
        </w:rPr>
        <w:t>修改后</w:t>
      </w:r>
    </w:p>
    <w:p>
      <w:pPr>
        <w:pStyle w:val="5"/>
        <w:numPr>
          <w:ilvl w:val="4"/>
          <w:numId w:val="0"/>
        </w:numPr>
        <w:ind w:leftChars="0"/>
      </w:pPr>
      <w:r>
        <w:rPr>
          <w:rFonts w:hint="eastAsia"/>
          <w:lang w:val="en-US" w:eastAsia="zh-CN"/>
        </w:rPr>
        <w:t>4.8.2.3.2.</w:t>
      </w:r>
      <w:r>
        <w:rPr>
          <w:rFonts w:hint="eastAsia"/>
        </w:rPr>
        <w:t>入侵防御系统</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311"/>
        <w:gridCol w:w="7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b/>
                <w:bCs/>
                <w:sz w:val="21"/>
                <w:szCs w:val="21"/>
              </w:rPr>
              <w:t>序号</w:t>
            </w:r>
          </w:p>
        </w:tc>
        <w:tc>
          <w:tcPr>
            <w:tcW w:w="1311" w:type="dxa"/>
            <w:tcBorders>
              <w:top w:val="single" w:color="auto" w:sz="4" w:space="0"/>
              <w:left w:val="nil"/>
              <w:bottom w:val="single" w:color="auto" w:sz="4" w:space="0"/>
              <w:right w:val="single" w:color="auto" w:sz="4" w:space="0"/>
            </w:tcBorders>
            <w:vAlign w:val="center"/>
          </w:tcPr>
          <w:p>
            <w:pPr>
              <w:pStyle w:val="10"/>
              <w:rPr>
                <w:rFonts w:ascii="宋体" w:hAnsi="宋体"/>
                <w:b/>
                <w:bCs/>
              </w:rPr>
            </w:pPr>
            <w:r>
              <w:rPr>
                <w:rFonts w:hint="eastAsia" w:ascii="宋体" w:hAnsi="宋体"/>
                <w:b/>
                <w:bCs/>
              </w:rPr>
              <w:t>指标项</w:t>
            </w:r>
          </w:p>
        </w:tc>
        <w:tc>
          <w:tcPr>
            <w:tcW w:w="7348" w:type="dxa"/>
            <w:tcBorders>
              <w:top w:val="single" w:color="auto" w:sz="4" w:space="0"/>
              <w:left w:val="nil"/>
              <w:bottom w:val="single" w:color="auto" w:sz="4" w:space="0"/>
              <w:right w:val="single" w:color="auto" w:sz="4" w:space="0"/>
            </w:tcBorders>
            <w:vAlign w:val="center"/>
          </w:tcPr>
          <w:p>
            <w:pPr>
              <w:pStyle w:val="10"/>
              <w:ind w:firstLine="361"/>
              <w:jc w:val="center"/>
              <w:rPr>
                <w:rFonts w:ascii="宋体" w:hAnsi="宋体"/>
                <w:b/>
                <w:bCs/>
              </w:rPr>
            </w:pPr>
            <w:r>
              <w:rPr>
                <w:rFonts w:hint="eastAsia" w:ascii="宋体" w:hAnsi="宋体"/>
                <w:b/>
                <w:bC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21"/>
                <w:szCs w:val="21"/>
              </w:rPr>
              <w:t>1</w:t>
            </w:r>
          </w:p>
        </w:tc>
        <w:tc>
          <w:tcPr>
            <w:tcW w:w="1311"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基本要求和性能</w:t>
            </w: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要求设备</w:t>
            </w:r>
            <w:r>
              <w:rPr>
                <w:rFonts w:hint="eastAsia" w:ascii="宋体" w:hAnsi="宋体"/>
                <w:szCs w:val="21"/>
              </w:rPr>
              <w:t>不低于</w:t>
            </w:r>
            <w:r>
              <w:rPr>
                <w:rFonts w:hint="eastAsia" w:ascii="宋体" w:hAnsi="宋体"/>
              </w:rPr>
              <w:t>1U标准机箱，配置不少于6个10/100/1000Base-T端口，</w:t>
            </w:r>
            <w:r>
              <w:rPr>
                <w:rFonts w:hint="eastAsia" w:ascii="宋体" w:hAnsi="宋体"/>
                <w:szCs w:val="21"/>
              </w:rPr>
              <w:t>至少</w:t>
            </w:r>
            <w:r>
              <w:rPr>
                <w:rFonts w:hint="eastAsia" w:ascii="宋体" w:hAnsi="宋体"/>
              </w:rPr>
              <w:t>1个console口，2个USB，配置至少3年规则特征库升级许可；整机吞吐率：3Gbps，最大并发连接数：150W，IPS吞吐率：1.2Gbps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21"/>
                <w:szCs w:val="21"/>
              </w:rPr>
              <w:t>2</w:t>
            </w:r>
          </w:p>
        </w:tc>
        <w:tc>
          <w:tcPr>
            <w:tcW w:w="1311"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系统架构</w:t>
            </w: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要求设备采用自主知识产权的专用安全操作系统，采用多核平台并行处理特性（提供相应资质证明）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restart"/>
            <w:tcBorders>
              <w:top w:val="nil"/>
              <w:left w:val="single" w:color="auto" w:sz="4" w:space="0"/>
              <w:bottom w:val="single" w:color="auto" w:sz="4" w:space="0"/>
              <w:right w:val="single" w:color="auto" w:sz="4" w:space="0"/>
            </w:tcBorders>
            <w:vAlign w:val="center"/>
          </w:tcPr>
          <w:p>
            <w:pPr>
              <w:jc w:val="center"/>
            </w:pPr>
            <w:r>
              <w:rPr>
                <w:rFonts w:hint="eastAsia" w:ascii="宋体" w:hAnsi="宋体"/>
                <w:sz w:val="21"/>
                <w:szCs w:val="21"/>
              </w:rPr>
              <w:t>3</w:t>
            </w:r>
          </w:p>
        </w:tc>
        <w:tc>
          <w:tcPr>
            <w:tcW w:w="1311"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产品功能</w:t>
            </w: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系统应具备：融合模式匹配、协议分析、异常检测、会话关联分析，逃逸等多种技术，准确识别入侵攻击行为，为用户提供2~7层深度入侵检测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szCs w:val="28"/>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支持视频监控终端状态探知发现，能够实时发现视频监控终端情况和链路质量情况，支持轮询和实时发现模式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szCs w:val="28"/>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可扩展支持APT攻击检测模块，同时可与专业APT检测系统进行实时联动，检测并阻断未知网络威胁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szCs w:val="28"/>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支持对数据库基于名称、基于数据内容进行敏感数据扫描，发现数据库中存在的敏感数据的字段及其在服务器、数据库的分布情况。（提供功能截图证明）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szCs w:val="28"/>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系统支持检测包括land、Smurf、Pingofdeath、winnuke、tcp_sscan、ip_option、teardrop、targa3、ipspoof、Synflood、Icmpflood、Udpflood、Portscan、ipsweep等在内的DOS/DDOS攻击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szCs w:val="28"/>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系统支持ARP异常包及ARP Flood攻击检测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szCs w:val="28"/>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系统支持CC攻击检测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szCs w:val="28"/>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Style w:val="13"/>
                <w:rFonts w:hint="default"/>
                <w:color w:val="auto"/>
              </w:rPr>
              <w:t>支持WEB站点漏洞扫描功能，内置爬虫、支持关键字自学习和HTML分析。（提供功能截图证明）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vMerge w:val="continue"/>
            <w:tcBorders>
              <w:top w:val="nil"/>
              <w:left w:val="single" w:color="auto" w:sz="4" w:space="0"/>
              <w:bottom w:val="single" w:color="auto" w:sz="4" w:space="0"/>
              <w:right w:val="single" w:color="auto" w:sz="4" w:space="0"/>
            </w:tcBorders>
            <w:vAlign w:val="center"/>
          </w:tcPr>
          <w:p>
            <w:pPr>
              <w:widowControl/>
              <w:jc w:val="left"/>
              <w:rPr>
                <w:szCs w:val="28"/>
              </w:rPr>
            </w:pPr>
          </w:p>
        </w:tc>
        <w:tc>
          <w:tcPr>
            <w:tcW w:w="1311"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产品具有专利技术的恶意、非法网站过滤功能，支持恶意站点防护功能，具有挂马站点URL和挂马源站点URL列表恶意站点库，能够在终端用户访问恶意URL时主动切断连接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96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sz w:val="21"/>
                <w:szCs w:val="21"/>
              </w:rPr>
              <w:t>4</w:t>
            </w:r>
          </w:p>
        </w:tc>
        <w:tc>
          <w:tcPr>
            <w:tcW w:w="1311"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eastAsia="宋体" w:cs="宋体"/>
                <w:color w:val="FF0000"/>
                <w:sz w:val="21"/>
                <w:szCs w:val="21"/>
                <w:lang w:eastAsia="zh-CN"/>
              </w:rPr>
              <w:t>*</w:t>
            </w:r>
            <w:r>
              <w:rPr>
                <w:rFonts w:hint="eastAsia" w:ascii="宋体" w:hAnsi="宋体"/>
                <w:color w:val="FF0000"/>
              </w:rPr>
              <w:t>产品资质</w:t>
            </w:r>
          </w:p>
        </w:tc>
        <w:tc>
          <w:tcPr>
            <w:tcW w:w="7348"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《计算机信息系统安全专用产品销售许可证》</w:t>
            </w:r>
          </w:p>
          <w:p>
            <w:pPr>
              <w:pStyle w:val="10"/>
              <w:rPr>
                <w:rFonts w:ascii="宋体" w:hAnsi="宋体"/>
              </w:rPr>
            </w:pPr>
            <w:r>
              <w:rPr>
                <w:rFonts w:hint="eastAsia" w:ascii="宋体" w:hAnsi="宋体"/>
              </w:rPr>
              <w:t>《计算机软件著作权登记》</w:t>
            </w:r>
          </w:p>
          <w:p>
            <w:pPr>
              <w:pStyle w:val="10"/>
              <w:rPr>
                <w:rFonts w:ascii="宋体" w:hAnsi="宋体"/>
              </w:rPr>
            </w:pPr>
            <w:r>
              <w:rPr>
                <w:rFonts w:hint="eastAsia" w:ascii="宋体" w:hAnsi="宋体"/>
              </w:rPr>
              <w:t>《国家信息安全测评信息技术产品安全测评证书》EAL3级</w:t>
            </w:r>
          </w:p>
          <w:p>
            <w:pPr>
              <w:pStyle w:val="10"/>
              <w:rPr>
                <w:rFonts w:ascii="宋体" w:hAnsi="宋体"/>
              </w:rPr>
            </w:pPr>
            <w:r>
              <w:rPr>
                <w:rFonts w:hint="eastAsia" w:ascii="宋体" w:hAnsi="宋体"/>
              </w:rPr>
              <w:t>CVE CompatibilityCertificate</w:t>
            </w:r>
          </w:p>
          <w:p>
            <w:pPr>
              <w:pStyle w:val="10"/>
              <w:rPr>
                <w:rFonts w:ascii="宋体" w:hAnsi="宋体"/>
              </w:rPr>
            </w:pPr>
            <w:r>
              <w:rPr>
                <w:rFonts w:hint="eastAsia" w:ascii="宋体" w:hAnsi="宋体"/>
              </w:rPr>
              <w:t>投标时需提供以上资质证书复印件</w:t>
            </w:r>
          </w:p>
        </w:tc>
      </w:tr>
    </w:tbl>
    <w:p>
      <w:pPr>
        <w:numPr>
          <w:ilvl w:val="0"/>
          <w:numId w:val="0"/>
        </w:numPr>
        <w:ind w:leftChars="0"/>
        <w:rPr>
          <w:rFonts w:hint="eastAsia"/>
          <w:sz w:val="32"/>
          <w:szCs w:val="32"/>
          <w:lang w:val="en-US" w:eastAsia="zh-CN"/>
        </w:rPr>
      </w:pPr>
      <w:r>
        <w:rPr>
          <w:rFonts w:hint="eastAsia"/>
          <w:sz w:val="32"/>
          <w:szCs w:val="32"/>
          <w:lang w:val="en-US" w:eastAsia="zh-CN"/>
        </w:rPr>
        <w:t>十一、原文件</w:t>
      </w:r>
    </w:p>
    <w:p>
      <w:pPr>
        <w:pStyle w:val="5"/>
        <w:numPr>
          <w:ilvl w:val="4"/>
          <w:numId w:val="0"/>
        </w:numPr>
        <w:ind w:leftChars="0"/>
      </w:pPr>
      <w:r>
        <w:rPr>
          <w:rFonts w:hint="eastAsia"/>
          <w:lang w:val="en-US" w:eastAsia="zh-CN"/>
        </w:rPr>
        <w:t>4.8.2.3.3.</w:t>
      </w:r>
      <w:r>
        <w:rPr>
          <w:rFonts w:hint="eastAsia"/>
        </w:rPr>
        <w:t>WEB应用安全网关</w:t>
      </w:r>
    </w:p>
    <w:tbl>
      <w:tblPr>
        <w:tblStyle w:val="8"/>
        <w:tblW w:w="96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2"/>
        <w:gridCol w:w="1735"/>
        <w:gridCol w:w="71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 w:hRule="atLeast"/>
        </w:trPr>
        <w:tc>
          <w:tcPr>
            <w:tcW w:w="7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宋体" w:hAnsi="宋体" w:cs="宋体"/>
                <w:b/>
              </w:rPr>
            </w:pPr>
            <w:r>
              <w:rPr>
                <w:rFonts w:hint="eastAsia" w:ascii="宋体" w:hAnsi="宋体" w:cs="宋体"/>
                <w:b/>
                <w:sz w:val="21"/>
                <w:szCs w:val="21"/>
                <w:lang w:bidi="ar"/>
              </w:rPr>
              <w:t>序号</w:t>
            </w:r>
          </w:p>
        </w:tc>
        <w:tc>
          <w:tcPr>
            <w:tcW w:w="173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ind w:firstLine="361"/>
              <w:jc w:val="center"/>
              <w:rPr>
                <w:b/>
              </w:rPr>
            </w:pPr>
            <w:r>
              <w:rPr>
                <w:rFonts w:hint="eastAsia"/>
                <w:b/>
                <w:sz w:val="21"/>
                <w:szCs w:val="22"/>
                <w:lang w:bidi="ar"/>
              </w:rPr>
              <w:t>指标项</w:t>
            </w:r>
          </w:p>
        </w:tc>
        <w:tc>
          <w:tcPr>
            <w:tcW w:w="715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ind w:firstLine="361"/>
              <w:jc w:val="center"/>
              <w:rPr>
                <w:b/>
              </w:rPr>
            </w:pPr>
            <w:r>
              <w:rPr>
                <w:rFonts w:hint="eastAsia"/>
                <w:b/>
                <w:sz w:val="21"/>
                <w:szCs w:val="22"/>
                <w:lang w:bidi="ar"/>
              </w:rPr>
              <w:t>规格要求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 w:hRule="atLeast"/>
        </w:trPr>
        <w:tc>
          <w:tcPr>
            <w:tcW w:w="7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cs="宋体"/>
              </w:rPr>
            </w:pPr>
            <w:r>
              <w:rPr>
                <w:rFonts w:hint="eastAsia" w:ascii="宋体" w:hAnsi="宋体" w:cs="宋体"/>
                <w:sz w:val="21"/>
                <w:szCs w:val="21"/>
                <w:lang w:bidi="ar"/>
              </w:rPr>
              <w:t>1</w:t>
            </w:r>
          </w:p>
        </w:tc>
        <w:tc>
          <w:tcPr>
            <w:tcW w:w="173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专用的硬件和软件保障</w:t>
            </w:r>
          </w:p>
        </w:tc>
        <w:tc>
          <w:tcPr>
            <w:tcW w:w="715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采用专用硬件架构与专用安全操作系统，基于操作系统内核的完全检测技术；硬件设备可以机架安装，产品必须为专业性 WEB 应用防火墙硬件设备，而非下一代防火墙\UTM 类设备集成的 WEB 防护功能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 w:hRule="atLeast"/>
        </w:trPr>
        <w:tc>
          <w:tcPr>
            <w:tcW w:w="7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cs="宋体"/>
              </w:rPr>
            </w:pPr>
            <w:r>
              <w:rPr>
                <w:rFonts w:hint="eastAsia" w:ascii="宋体" w:hAnsi="宋体" w:cs="宋体"/>
                <w:sz w:val="21"/>
                <w:szCs w:val="21"/>
                <w:lang w:bidi="ar"/>
              </w:rPr>
              <w:t>2</w:t>
            </w:r>
          </w:p>
        </w:tc>
        <w:tc>
          <w:tcPr>
            <w:tcW w:w="173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产品规格</w:t>
            </w:r>
          </w:p>
        </w:tc>
        <w:tc>
          <w:tcPr>
            <w:tcW w:w="715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要求设备为1U机架式结构，最大配置</w:t>
            </w:r>
            <w:r>
              <w:rPr>
                <w:rFonts w:hint="eastAsia"/>
                <w:sz w:val="21"/>
                <w:szCs w:val="22"/>
                <w:lang w:val="en-US" w:eastAsia="zh-CN" w:bidi="ar"/>
              </w:rPr>
              <w:t>不低于</w:t>
            </w:r>
            <w:r>
              <w:rPr>
                <w:rFonts w:hint="eastAsia"/>
                <w:sz w:val="21"/>
                <w:szCs w:val="22"/>
                <w:lang w:bidi="ar"/>
              </w:rPr>
              <w:t>24个接口；本次配置不低于2个可插拨扩展槽及6个10/100/1000Base-T端口和2个SFP槽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 w:hRule="atLeast"/>
        </w:trPr>
        <w:tc>
          <w:tcPr>
            <w:tcW w:w="7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rFonts w:hint="eastAsia" w:ascii="宋体" w:hAnsi="宋体" w:cs="宋体"/>
                <w:sz w:val="21"/>
                <w:szCs w:val="21"/>
                <w:lang w:bidi="ar"/>
              </w:rPr>
              <w:t>3</w:t>
            </w:r>
          </w:p>
        </w:tc>
        <w:tc>
          <w:tcPr>
            <w:tcW w:w="173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rPr>
                <w:rFonts w:ascii="宋体" w:hAnsi="宋体" w:cs="宋体"/>
                <w:sz w:val="21"/>
                <w:szCs w:val="21"/>
              </w:rPr>
            </w:pPr>
            <w:r>
              <w:rPr>
                <w:rFonts w:hint="eastAsia" w:ascii="宋体" w:hAnsi="宋体" w:cs="宋体"/>
                <w:sz w:val="21"/>
                <w:szCs w:val="21"/>
                <w:lang w:bidi="ar"/>
              </w:rPr>
              <w:t>产品性能</w:t>
            </w:r>
          </w:p>
        </w:tc>
        <w:tc>
          <w:tcPr>
            <w:tcW w:w="715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rPr>
                <w:rFonts w:ascii="宋体" w:hAnsi="宋体" w:cs="宋体"/>
                <w:sz w:val="21"/>
                <w:szCs w:val="21"/>
              </w:rPr>
            </w:pPr>
            <w:r>
              <w:rPr>
                <w:rFonts w:hint="eastAsia" w:ascii="宋体" w:hAnsi="宋体" w:cs="宋体"/>
                <w:sz w:val="21"/>
                <w:szCs w:val="21"/>
                <w:lang w:bidi="ar"/>
              </w:rPr>
              <w:t>最大并发连接&gt;90万，吞吐率&gt;1000Mbps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lang w:bidi="ar"/>
              </w:rPr>
              <w:t>4</w:t>
            </w:r>
          </w:p>
          <w:p>
            <w:pPr>
              <w:jc w:val="center"/>
              <w:rPr>
                <w:rFonts w:ascii="宋体" w:hAnsi="宋体" w:cs="宋体"/>
                <w:sz w:val="21"/>
                <w:szCs w:val="21"/>
              </w:rPr>
            </w:pPr>
          </w:p>
        </w:tc>
        <w:tc>
          <w:tcPr>
            <w:tcW w:w="1735" w:type="dxa"/>
            <w:vMerge w:val="restart"/>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WEB攻击防御</w:t>
            </w: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支持虚拟线无论任何网络环境可强制数据从一个接口转发到另一个接口（提供产品功能截图并加盖公章）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支持链路聚合(Channel)部署，提高链路带宽；支持Trunk链路防护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支持服务器健康检查，可以实时监测服务器的活跃状态，并且可定期备份健康记录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支持提取客户端真实IP头。自动尝试匹配X-Forwarded-For, X-Real-IP, Cdn-Src-Ip 用以获取真实客户端IP</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应能识别和阻断SQL注入攻击,Cookie 注入攻击，命令注入攻击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支持webshell等后门上传防护、支持对中国菜刀等工具对后门连接的阻断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支持对appscan、awvs等扫描器的扫描防护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支持远程文件包含、本地文件包含、目录遍历、信息泄露等攻击防护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支持对身份证、信用卡、手机电话号码、座机电话号码、邮箱地址等敏感信息做检查，当检查到此类数据后可通过配置特殊字符予以替换隐藏，防止信息泄露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自学习建模功能，可以通过学习正常URL参数的长度、参数类型、请求方法等数据特点创建白名单模型，如果参数违反白名单模型则认为是非法流量直接阻断，开启自学习建模功能后可生成自学习网站参数的自学习结果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支持虚拟补丁功能，支持导入appscan、w3af等第三方扫描器的扫描结果生成WAF的规则，对此类网站漏洞直接防护（提供产品功能截图并加盖公章）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https证书支持直接将证书内容填充到waf内使用，不用再上传或者转换证书使用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Cs w:val="28"/>
              </w:rPr>
            </w:pPr>
            <w:r>
              <w:rPr>
                <w:rFonts w:hint="eastAsia" w:ascii="宋体" w:hAnsi="宋体" w:cs="宋体"/>
                <w:sz w:val="21"/>
                <w:szCs w:val="21"/>
                <w:lang w:bidi="ar"/>
              </w:rPr>
              <w:t>5</w:t>
            </w:r>
          </w:p>
        </w:tc>
        <w:tc>
          <w:tcPr>
            <w:tcW w:w="1735" w:type="dxa"/>
            <w:vMerge w:val="restart"/>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配置易用性</w:t>
            </w: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可以针对服务器IP地址进行防护，而不需要配置需要防护的网站域名（提供产品功能截图并加盖公章）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支持域名自学习，可以自动学习网络中网站服务器的IP地址及此地址下的域名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restart"/>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DDoS攻击防护</w:t>
            </w: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支持基线学习，可以自动学习用户http正常流量阈值模型，并给出推荐阈值配置项（提供产品功能截图并加盖公章）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对ddos流量支持检测清洗和强制防御两种模式，检测清洗根据是否到达阈值对流量进行清洗，强制清洗对所有流量直接进行流量清洗判断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支持针对每秒包数、每秒新建连接数、每秒并发连接数对HTTP/HTTPS Flood攻击做控制配置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pStyle w:val="7"/>
              <w:widowControl w:val="0"/>
              <w:adjustRightInd w:val="0"/>
              <w:snapToGrid w:val="0"/>
              <w:spacing w:before="0" w:beforeAutospacing="0" w:after="0" w:afterAutospacing="0" w:line="312" w:lineRule="auto"/>
              <w:jc w:val="both"/>
              <w:rPr>
                <w:szCs w:val="21"/>
              </w:rPr>
            </w:pPr>
            <w:r>
              <w:rPr>
                <w:rFonts w:hint="eastAsia"/>
                <w:sz w:val="21"/>
                <w:szCs w:val="22"/>
                <w:lang w:bidi="ar"/>
              </w:rPr>
              <w:t>支持对客户端在单位时间内的访问URI的次数做控制配置，防止特定URI路径被HTTP Flood恶意ddos攻击访问消耗服务器资源导致服务器拒绝服务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支持对HTTP/HTTPS Flood攻击源的发包速度、源新建连接数、源并发连接数做源限速控制配置，且可以阻断攻击或者将攻击IP加入黑名单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sz w:val="21"/>
                <w:szCs w:val="21"/>
                <w:lang w:bidi="ar"/>
              </w:rPr>
              <w:t>6</w:t>
            </w:r>
          </w:p>
        </w:tc>
        <w:tc>
          <w:tcPr>
            <w:tcW w:w="1735" w:type="dxa"/>
            <w:vMerge w:val="restart"/>
            <w:tcBorders>
              <w:top w:val="nil"/>
              <w:left w:val="nil"/>
              <w:bottom w:val="single" w:color="auto" w:sz="4" w:space="0"/>
              <w:right w:val="single" w:color="auto" w:sz="4" w:space="0"/>
            </w:tcBorders>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WEB漏洞扫描</w:t>
            </w:r>
          </w:p>
        </w:tc>
        <w:tc>
          <w:tcPr>
            <w:tcW w:w="7153" w:type="dxa"/>
            <w:tcBorders>
              <w:top w:val="single" w:color="auto" w:sz="4" w:space="0"/>
              <w:left w:val="nil"/>
              <w:bottom w:val="single" w:color="auto" w:sz="4" w:space="0"/>
              <w:right w:val="single" w:color="auto" w:sz="4" w:space="0"/>
            </w:tcBorders>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支持多种WEB应用漏洞的安全扫描检测，如SQL注入、跨站脚本、目录遍历等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支持自定义WEB漏洞扫描任务，支持对需要认证登录的web系统进行漏洞扫描，支持自定义每日、每周、每月等扫描周期设置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可导出web漏洞扫描报告，报告支持pdf,html,txt,xml等格式导出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7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cs="宋体"/>
              </w:rPr>
            </w:pPr>
            <w:r>
              <w:rPr>
                <w:rFonts w:hint="eastAsia" w:ascii="宋体" w:hAnsi="宋体" w:cs="宋体"/>
                <w:sz w:val="21"/>
                <w:szCs w:val="21"/>
                <w:lang w:bidi="ar"/>
              </w:rPr>
              <w:t>7</w:t>
            </w:r>
          </w:p>
        </w:tc>
        <w:tc>
          <w:tcPr>
            <w:tcW w:w="173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jc w:val="center"/>
            </w:pPr>
            <w:r>
              <w:rPr>
                <w:rFonts w:hint="eastAsia"/>
                <w:sz w:val="21"/>
                <w:szCs w:val="22"/>
                <w:lang w:bidi="ar"/>
              </w:rPr>
              <w:t>产品资质</w:t>
            </w:r>
          </w:p>
        </w:tc>
        <w:tc>
          <w:tcPr>
            <w:tcW w:w="715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中华人民共和国公安部颁发的《计算机信息系统安全专用产品销售许可证》</w:t>
            </w:r>
          </w:p>
          <w:p>
            <w:pPr>
              <w:pStyle w:val="7"/>
              <w:widowControl w:val="0"/>
              <w:adjustRightInd w:val="0"/>
              <w:snapToGrid w:val="0"/>
              <w:spacing w:before="0" w:beforeAutospacing="0" w:after="0" w:afterAutospacing="0" w:line="312" w:lineRule="auto"/>
              <w:jc w:val="both"/>
            </w:pPr>
            <w:r>
              <w:rPr>
                <w:rFonts w:hint="eastAsia"/>
                <w:sz w:val="21"/>
                <w:szCs w:val="22"/>
                <w:lang w:bidi="ar"/>
              </w:rPr>
              <w:t>中国信息安全认证中心颁发的《IT产品信息安全认证证书》</w:t>
            </w:r>
          </w:p>
          <w:p>
            <w:pPr>
              <w:pStyle w:val="7"/>
              <w:widowControl w:val="0"/>
              <w:adjustRightInd w:val="0"/>
              <w:snapToGrid w:val="0"/>
              <w:spacing w:before="0" w:beforeAutospacing="0" w:after="0" w:afterAutospacing="0" w:line="312" w:lineRule="auto"/>
              <w:jc w:val="both"/>
            </w:pPr>
            <w:r>
              <w:rPr>
                <w:rFonts w:hint="eastAsia"/>
                <w:sz w:val="21"/>
                <w:szCs w:val="22"/>
                <w:lang w:bidi="ar"/>
              </w:rPr>
              <w:t>OWASP颁发的《web应用防火墙认证证书》</w:t>
            </w:r>
          </w:p>
          <w:p>
            <w:pPr>
              <w:pStyle w:val="7"/>
              <w:widowControl w:val="0"/>
              <w:adjustRightInd w:val="0"/>
              <w:snapToGrid w:val="0"/>
              <w:spacing w:before="0" w:beforeAutospacing="0" w:after="0" w:afterAutospacing="0" w:line="312" w:lineRule="auto"/>
              <w:jc w:val="both"/>
            </w:pPr>
            <w:r>
              <w:rPr>
                <w:rFonts w:hint="eastAsia"/>
                <w:sz w:val="21"/>
                <w:szCs w:val="22"/>
                <w:lang w:bidi="ar"/>
              </w:rPr>
              <w:t>IPV6金牌证书(专业WAF类)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 w:hRule="atLeast"/>
        </w:trPr>
        <w:tc>
          <w:tcPr>
            <w:tcW w:w="7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宋体" w:hAnsi="宋体" w:cs="宋体"/>
              </w:rPr>
            </w:pPr>
          </w:p>
        </w:tc>
        <w:tc>
          <w:tcPr>
            <w:tcW w:w="173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ind w:firstLine="360"/>
              <w:jc w:val="both"/>
            </w:pPr>
            <w:r>
              <w:rPr>
                <w:rFonts w:hint="eastAsia"/>
                <w:sz w:val="21"/>
                <w:szCs w:val="22"/>
                <w:lang w:bidi="ar"/>
              </w:rPr>
              <w:t>其他</w:t>
            </w:r>
          </w:p>
        </w:tc>
        <w:tc>
          <w:tcPr>
            <w:tcW w:w="715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三年质保及原厂技术服务，三年规则库升级许可</w:t>
            </w:r>
          </w:p>
        </w:tc>
      </w:tr>
    </w:tbl>
    <w:p>
      <w:pPr>
        <w:numPr>
          <w:ilvl w:val="0"/>
          <w:numId w:val="0"/>
        </w:numPr>
        <w:ind w:leftChars="0"/>
        <w:rPr>
          <w:rFonts w:hint="eastAsia"/>
          <w:sz w:val="32"/>
          <w:szCs w:val="32"/>
          <w:lang w:val="en-US" w:eastAsia="zh-CN"/>
        </w:rPr>
      </w:pPr>
      <w:r>
        <w:rPr>
          <w:rFonts w:hint="eastAsia"/>
          <w:sz w:val="32"/>
          <w:szCs w:val="32"/>
          <w:lang w:val="en-US" w:eastAsia="zh-CN"/>
        </w:rPr>
        <w:t>修改后</w:t>
      </w:r>
    </w:p>
    <w:p>
      <w:pPr>
        <w:pStyle w:val="5"/>
        <w:numPr>
          <w:ilvl w:val="4"/>
          <w:numId w:val="0"/>
        </w:numPr>
        <w:ind w:leftChars="0"/>
      </w:pPr>
      <w:r>
        <w:rPr>
          <w:rFonts w:hint="eastAsia"/>
          <w:lang w:val="en-US" w:eastAsia="zh-CN"/>
        </w:rPr>
        <w:t>4.8.2.3.3.</w:t>
      </w:r>
      <w:r>
        <w:rPr>
          <w:rFonts w:hint="eastAsia"/>
        </w:rPr>
        <w:t>WEB应用安全网关</w:t>
      </w:r>
    </w:p>
    <w:tbl>
      <w:tblPr>
        <w:tblStyle w:val="8"/>
        <w:tblW w:w="96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2"/>
        <w:gridCol w:w="1735"/>
        <w:gridCol w:w="71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 w:hRule="atLeast"/>
        </w:trPr>
        <w:tc>
          <w:tcPr>
            <w:tcW w:w="7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宋体" w:hAnsi="宋体" w:cs="宋体"/>
                <w:b/>
              </w:rPr>
            </w:pPr>
            <w:r>
              <w:rPr>
                <w:rFonts w:hint="eastAsia" w:ascii="宋体" w:hAnsi="宋体" w:cs="宋体"/>
                <w:b/>
                <w:sz w:val="21"/>
                <w:szCs w:val="21"/>
                <w:lang w:bidi="ar"/>
              </w:rPr>
              <w:t>序号</w:t>
            </w:r>
          </w:p>
        </w:tc>
        <w:tc>
          <w:tcPr>
            <w:tcW w:w="173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ind w:firstLine="361"/>
              <w:jc w:val="center"/>
              <w:rPr>
                <w:b/>
              </w:rPr>
            </w:pPr>
            <w:r>
              <w:rPr>
                <w:rFonts w:hint="eastAsia"/>
                <w:b/>
                <w:sz w:val="21"/>
                <w:szCs w:val="22"/>
                <w:lang w:bidi="ar"/>
              </w:rPr>
              <w:t>指标项</w:t>
            </w:r>
          </w:p>
        </w:tc>
        <w:tc>
          <w:tcPr>
            <w:tcW w:w="715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ind w:firstLine="361"/>
              <w:jc w:val="center"/>
              <w:rPr>
                <w:b/>
              </w:rPr>
            </w:pPr>
            <w:r>
              <w:rPr>
                <w:rFonts w:hint="eastAsia"/>
                <w:b/>
                <w:sz w:val="21"/>
                <w:szCs w:val="22"/>
                <w:lang w:bidi="ar"/>
              </w:rPr>
              <w:t>规格要求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 w:hRule="atLeast"/>
        </w:trPr>
        <w:tc>
          <w:tcPr>
            <w:tcW w:w="7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cs="宋体"/>
              </w:rPr>
            </w:pPr>
            <w:r>
              <w:rPr>
                <w:rFonts w:hint="eastAsia" w:ascii="宋体" w:hAnsi="宋体" w:cs="宋体"/>
                <w:sz w:val="21"/>
                <w:szCs w:val="21"/>
                <w:lang w:bidi="ar"/>
              </w:rPr>
              <w:t>1</w:t>
            </w:r>
          </w:p>
        </w:tc>
        <w:tc>
          <w:tcPr>
            <w:tcW w:w="173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专用的硬件和软件保障</w:t>
            </w:r>
          </w:p>
        </w:tc>
        <w:tc>
          <w:tcPr>
            <w:tcW w:w="715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采用专用硬件架构与专用安全操作系统，基于操作系统内核的完全检测技术；硬件设备可以机架安装，产品必须为专业性 WEB 应用防火墙硬件设备，而非下一代防火墙\UTM 类设备集成的 WEB 防护功能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 w:hRule="atLeast"/>
        </w:trPr>
        <w:tc>
          <w:tcPr>
            <w:tcW w:w="7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cs="宋体"/>
              </w:rPr>
            </w:pPr>
            <w:r>
              <w:rPr>
                <w:rFonts w:hint="eastAsia" w:ascii="宋体" w:hAnsi="宋体" w:cs="宋体"/>
                <w:sz w:val="21"/>
                <w:szCs w:val="21"/>
                <w:lang w:bidi="ar"/>
              </w:rPr>
              <w:t>2</w:t>
            </w:r>
          </w:p>
        </w:tc>
        <w:tc>
          <w:tcPr>
            <w:tcW w:w="173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产品规格</w:t>
            </w:r>
          </w:p>
        </w:tc>
        <w:tc>
          <w:tcPr>
            <w:tcW w:w="715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要求设备为1U机架式结构，最大配置</w:t>
            </w:r>
            <w:r>
              <w:rPr>
                <w:rFonts w:hint="eastAsia"/>
                <w:sz w:val="21"/>
                <w:szCs w:val="22"/>
                <w:lang w:val="en-US" w:eastAsia="zh-CN" w:bidi="ar"/>
              </w:rPr>
              <w:t>不低于</w:t>
            </w:r>
            <w:r>
              <w:rPr>
                <w:rFonts w:hint="eastAsia"/>
                <w:sz w:val="21"/>
                <w:szCs w:val="22"/>
                <w:lang w:bidi="ar"/>
              </w:rPr>
              <w:t>24个接口；本次配置不低于2个可插拨扩展槽及6个10/100/1000Base-T端口和2个SFP槽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 w:hRule="atLeast"/>
        </w:trPr>
        <w:tc>
          <w:tcPr>
            <w:tcW w:w="7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cs="宋体"/>
                <w:sz w:val="21"/>
                <w:szCs w:val="21"/>
              </w:rPr>
            </w:pPr>
            <w:r>
              <w:rPr>
                <w:rFonts w:hint="eastAsia" w:ascii="宋体" w:hAnsi="宋体" w:cs="宋体"/>
                <w:sz w:val="21"/>
                <w:szCs w:val="21"/>
                <w:lang w:bidi="ar"/>
              </w:rPr>
              <w:t>3</w:t>
            </w:r>
          </w:p>
        </w:tc>
        <w:tc>
          <w:tcPr>
            <w:tcW w:w="173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rPr>
                <w:rFonts w:ascii="宋体" w:hAnsi="宋体" w:cs="宋体"/>
                <w:sz w:val="21"/>
                <w:szCs w:val="21"/>
              </w:rPr>
            </w:pPr>
            <w:r>
              <w:rPr>
                <w:rFonts w:hint="eastAsia" w:ascii="宋体" w:hAnsi="宋体" w:cs="宋体"/>
                <w:sz w:val="21"/>
                <w:szCs w:val="21"/>
                <w:lang w:bidi="ar"/>
              </w:rPr>
              <w:t>产品性能</w:t>
            </w:r>
          </w:p>
        </w:tc>
        <w:tc>
          <w:tcPr>
            <w:tcW w:w="715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rPr>
                <w:rFonts w:ascii="宋体" w:hAnsi="宋体" w:cs="宋体"/>
                <w:sz w:val="21"/>
                <w:szCs w:val="21"/>
              </w:rPr>
            </w:pPr>
            <w:r>
              <w:rPr>
                <w:rFonts w:hint="eastAsia" w:ascii="宋体" w:hAnsi="宋体" w:cs="宋体"/>
                <w:sz w:val="21"/>
                <w:szCs w:val="21"/>
                <w:lang w:bidi="ar"/>
              </w:rPr>
              <w:t>最大并发连接&gt;90万，吞吐率&gt;1000Mbps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 w:val="21"/>
                <w:szCs w:val="21"/>
              </w:rPr>
            </w:pPr>
            <w:r>
              <w:rPr>
                <w:rFonts w:hint="eastAsia" w:ascii="宋体" w:hAnsi="宋体" w:cs="宋体"/>
                <w:sz w:val="21"/>
                <w:szCs w:val="21"/>
                <w:lang w:bidi="ar"/>
              </w:rPr>
              <w:t>4</w:t>
            </w:r>
          </w:p>
          <w:p>
            <w:pPr>
              <w:jc w:val="center"/>
              <w:rPr>
                <w:rFonts w:ascii="宋体" w:hAnsi="宋体" w:cs="宋体"/>
                <w:sz w:val="21"/>
                <w:szCs w:val="21"/>
              </w:rPr>
            </w:pPr>
          </w:p>
        </w:tc>
        <w:tc>
          <w:tcPr>
            <w:tcW w:w="1735" w:type="dxa"/>
            <w:vMerge w:val="restart"/>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WEB攻击防御</w:t>
            </w: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支持虚拟线无论任何网络环境可强制数据从一个接口转发到另一个接口（提供产品功能截图并加盖公章）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支持链路聚合(Channel)部署，提高链路带宽；支持Trunk链路防护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支持服务器健康检查，可以实时监测服务器的活跃状态，并且可定期备份健康记录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支持提取客户端真实IP头。自动尝试匹配X-Forwarded-For, X-Real-IP, Cdn-Src-Ip 用以获取真实客户端IP</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应能识别和阻断SQL注入攻击,Cookie 注入攻击，命令注入攻击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支持webshell等后门上传防护、支持对中国菜刀等工具对后门连接的阻断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支持对appscan、awvs等扫描器的扫描防护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支持远程文件包含、本地文件包含、目录遍历、信息泄露等攻击防护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支持对身份证、信用卡、手机电话号码、座机电话号码、邮箱地址等敏感信息做检查，当检查到此类数据后可通过配置特殊字符予以替换隐藏，防止信息泄露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自学习建模功能，可以通过学习正常URL参数的长度、参数类型、请求方法等数据特点创建白名单模型，如果参数违反白名单模型则认为是非法流量直接阻断，开启自学习建模功能后可生成自学习网站参数的自学习结果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支持虚拟补丁功能，支持导入appscan、w3af等第三方扫描器的扫描结果生成WAF的规则，对此类网站漏洞直接防护（提供产品功能截图并加盖公章）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https证书支持直接将证书内容填充到waf内使用，不用再上传或者转换证书使用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Cs w:val="28"/>
              </w:rPr>
            </w:pPr>
            <w:r>
              <w:rPr>
                <w:rFonts w:hint="eastAsia" w:ascii="宋体" w:hAnsi="宋体" w:cs="宋体"/>
                <w:sz w:val="21"/>
                <w:szCs w:val="21"/>
                <w:lang w:bidi="ar"/>
              </w:rPr>
              <w:t>5</w:t>
            </w:r>
          </w:p>
        </w:tc>
        <w:tc>
          <w:tcPr>
            <w:tcW w:w="1735" w:type="dxa"/>
            <w:vMerge w:val="restart"/>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配置易用性</w:t>
            </w: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可以针对服务器IP地址进行防护，而不需要配置需要防护的网站域名（提供产品功能截图并加盖公章）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支持域名自学习，可以自动学习网络中网站服务器的IP地址及此地址下的域名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restart"/>
            <w:tcBorders>
              <w:top w:val="nil"/>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DDoS攻击防护</w:t>
            </w: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支持基线学习，可以自动学习用户http正常流量阈值模型，并给出推荐阈值配置项（提供产品功能截图并加盖公章）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对ddos流量支持检测清洗和强制防御两种模式，检测清洗根据是否到达阈值对流量进行清洗，强制清洗对所有流量直接进行流量清洗判断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rPr>
                <w:rFonts w:ascii="宋体" w:hAnsi="宋体" w:cs="宋体"/>
                <w:sz w:val="21"/>
                <w:szCs w:val="21"/>
              </w:rPr>
            </w:pPr>
            <w:r>
              <w:rPr>
                <w:rFonts w:hint="eastAsia" w:ascii="宋体" w:hAnsi="宋体" w:cs="宋体"/>
                <w:sz w:val="21"/>
                <w:szCs w:val="21"/>
                <w:lang w:bidi="ar"/>
              </w:rPr>
              <w:t>支持针对每秒包数、每秒新建连接数、每秒并发连接数对HTTP/HTTPS Flood攻击做控制配置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pStyle w:val="7"/>
              <w:widowControl w:val="0"/>
              <w:adjustRightInd w:val="0"/>
              <w:snapToGrid w:val="0"/>
              <w:spacing w:before="0" w:beforeAutospacing="0" w:after="0" w:afterAutospacing="0" w:line="312" w:lineRule="auto"/>
              <w:jc w:val="both"/>
              <w:rPr>
                <w:szCs w:val="21"/>
              </w:rPr>
            </w:pPr>
            <w:r>
              <w:rPr>
                <w:rFonts w:hint="eastAsia"/>
                <w:sz w:val="21"/>
                <w:szCs w:val="22"/>
                <w:lang w:bidi="ar"/>
              </w:rPr>
              <w:t>支持对客户端在单位时间内的访问URI的次数做控制配置，防止特定URI路径被HTTP Flood恶意ddos攻击访问消耗服务器资源导致服务器拒绝服务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支持对HTTP/HTTPS Flood攻击源的发包速度、源新建连接数、源并发连接数做源限速控制配置，且可以阻断攻击或者将攻击IP加入黑名单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sz w:val="21"/>
                <w:szCs w:val="21"/>
                <w:lang w:bidi="ar"/>
              </w:rPr>
              <w:t>6</w:t>
            </w:r>
          </w:p>
        </w:tc>
        <w:tc>
          <w:tcPr>
            <w:tcW w:w="1735" w:type="dxa"/>
            <w:vMerge w:val="restart"/>
            <w:tcBorders>
              <w:top w:val="nil"/>
              <w:left w:val="nil"/>
              <w:bottom w:val="single" w:color="auto" w:sz="4" w:space="0"/>
              <w:right w:val="single" w:color="auto" w:sz="4" w:space="0"/>
            </w:tcBorders>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WEB漏洞扫描</w:t>
            </w:r>
          </w:p>
        </w:tc>
        <w:tc>
          <w:tcPr>
            <w:tcW w:w="7153" w:type="dxa"/>
            <w:tcBorders>
              <w:top w:val="single" w:color="auto" w:sz="4" w:space="0"/>
              <w:left w:val="nil"/>
              <w:bottom w:val="single" w:color="auto" w:sz="4" w:space="0"/>
              <w:right w:val="single" w:color="auto" w:sz="4" w:space="0"/>
            </w:tcBorders>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支持多种WEB应用漏洞的安全扫描检测，如SQL注入、跨站脚本、目录遍历等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支持自定义WEB漏洞扫描任务，支持对需要认证登录的web系统进行漏洞扫描，支持自定义每日、每周、每月等扫描周期设置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2" w:type="dxa"/>
            <w:vMerge w:val="continue"/>
            <w:tcBorders>
              <w:top w:val="nil"/>
              <w:left w:val="single" w:color="auto" w:sz="4" w:space="0"/>
              <w:bottom w:val="single" w:color="auto" w:sz="4" w:space="0"/>
              <w:right w:val="single" w:color="auto" w:sz="4" w:space="0"/>
            </w:tcBorders>
            <w:vAlign w:val="center"/>
          </w:tcPr>
          <w:p>
            <w:pPr>
              <w:rPr>
                <w:sz w:val="20"/>
              </w:rPr>
            </w:pPr>
          </w:p>
        </w:tc>
        <w:tc>
          <w:tcPr>
            <w:tcW w:w="1735" w:type="dxa"/>
            <w:vMerge w:val="continue"/>
            <w:tcBorders>
              <w:top w:val="nil"/>
              <w:left w:val="nil"/>
              <w:bottom w:val="single" w:color="auto" w:sz="4" w:space="0"/>
              <w:right w:val="single" w:color="auto" w:sz="4" w:space="0"/>
            </w:tcBorders>
            <w:vAlign w:val="center"/>
          </w:tcPr>
          <w:p>
            <w:pPr>
              <w:rPr>
                <w:sz w:val="20"/>
              </w:rPr>
            </w:pPr>
          </w:p>
        </w:tc>
        <w:tc>
          <w:tcPr>
            <w:tcW w:w="7153" w:type="dxa"/>
            <w:tcBorders>
              <w:top w:val="single" w:color="auto" w:sz="4" w:space="0"/>
              <w:left w:val="nil"/>
              <w:bottom w:val="single" w:color="auto" w:sz="4" w:space="0"/>
              <w:right w:val="single" w:color="auto" w:sz="4" w:space="0"/>
            </w:tcBorders>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可导出web漏洞扫描报告，报告支持pdf,html,txt,xml等格式导出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7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cs="宋体"/>
              </w:rPr>
            </w:pPr>
            <w:r>
              <w:rPr>
                <w:rFonts w:hint="eastAsia" w:ascii="宋体" w:hAnsi="宋体" w:cs="宋体"/>
                <w:sz w:val="21"/>
                <w:szCs w:val="21"/>
                <w:lang w:bidi="ar"/>
              </w:rPr>
              <w:t>7</w:t>
            </w:r>
          </w:p>
        </w:tc>
        <w:tc>
          <w:tcPr>
            <w:tcW w:w="173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jc w:val="center"/>
            </w:pPr>
            <w:r>
              <w:rPr>
                <w:rFonts w:hint="eastAsia" w:ascii="宋体" w:hAnsi="宋体" w:eastAsia="宋体" w:cs="宋体"/>
                <w:color w:val="FF0000"/>
                <w:sz w:val="21"/>
                <w:szCs w:val="21"/>
                <w:lang w:eastAsia="zh-CN"/>
              </w:rPr>
              <w:t>*</w:t>
            </w:r>
            <w:r>
              <w:rPr>
                <w:rFonts w:hint="eastAsia"/>
                <w:color w:val="FF0000"/>
                <w:sz w:val="21"/>
                <w:szCs w:val="22"/>
                <w:lang w:bidi="ar"/>
              </w:rPr>
              <w:t>产品资质</w:t>
            </w:r>
          </w:p>
        </w:tc>
        <w:tc>
          <w:tcPr>
            <w:tcW w:w="715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中华人民共和国公安部颁发的《计算机信息系统安全专用产品销售许可证》</w:t>
            </w:r>
          </w:p>
          <w:p>
            <w:pPr>
              <w:pStyle w:val="7"/>
              <w:widowControl w:val="0"/>
              <w:adjustRightInd w:val="0"/>
              <w:snapToGrid w:val="0"/>
              <w:spacing w:before="0" w:beforeAutospacing="0" w:after="0" w:afterAutospacing="0" w:line="312" w:lineRule="auto"/>
              <w:jc w:val="both"/>
            </w:pPr>
            <w:r>
              <w:rPr>
                <w:rFonts w:hint="eastAsia"/>
                <w:sz w:val="21"/>
                <w:szCs w:val="22"/>
                <w:lang w:bidi="ar"/>
              </w:rPr>
              <w:t>中国信息安全认证中心颁发的《IT产品信息安全认证证书》</w:t>
            </w:r>
          </w:p>
          <w:p>
            <w:pPr>
              <w:pStyle w:val="7"/>
              <w:widowControl w:val="0"/>
              <w:adjustRightInd w:val="0"/>
              <w:snapToGrid w:val="0"/>
              <w:spacing w:before="0" w:beforeAutospacing="0" w:after="0" w:afterAutospacing="0" w:line="312" w:lineRule="auto"/>
              <w:jc w:val="both"/>
            </w:pPr>
            <w:r>
              <w:rPr>
                <w:rFonts w:hint="eastAsia"/>
                <w:sz w:val="21"/>
                <w:szCs w:val="22"/>
                <w:lang w:bidi="ar"/>
              </w:rPr>
              <w:t>OWASP颁发的《web应用防火墙认证证书》</w:t>
            </w:r>
          </w:p>
          <w:p>
            <w:pPr>
              <w:pStyle w:val="7"/>
              <w:widowControl w:val="0"/>
              <w:adjustRightInd w:val="0"/>
              <w:snapToGrid w:val="0"/>
              <w:spacing w:before="0" w:beforeAutospacing="0" w:after="0" w:afterAutospacing="0" w:line="312" w:lineRule="auto"/>
              <w:jc w:val="both"/>
            </w:pPr>
            <w:r>
              <w:rPr>
                <w:rFonts w:hint="eastAsia"/>
                <w:sz w:val="21"/>
                <w:szCs w:val="22"/>
                <w:lang w:bidi="ar"/>
              </w:rPr>
              <w:t>IPV6金牌证书(专业WAF类)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 w:hRule="atLeast"/>
        </w:trPr>
        <w:tc>
          <w:tcPr>
            <w:tcW w:w="74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jc w:val="center"/>
              <w:rPr>
                <w:rFonts w:ascii="宋体" w:hAnsi="宋体" w:cs="宋体"/>
              </w:rPr>
            </w:pPr>
          </w:p>
        </w:tc>
        <w:tc>
          <w:tcPr>
            <w:tcW w:w="173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ind w:firstLine="360"/>
              <w:jc w:val="both"/>
            </w:pPr>
            <w:r>
              <w:rPr>
                <w:rFonts w:hint="eastAsia"/>
                <w:sz w:val="21"/>
                <w:szCs w:val="22"/>
                <w:lang w:bidi="ar"/>
              </w:rPr>
              <w:t>其他</w:t>
            </w:r>
          </w:p>
        </w:tc>
        <w:tc>
          <w:tcPr>
            <w:tcW w:w="715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7"/>
              <w:widowControl w:val="0"/>
              <w:adjustRightInd w:val="0"/>
              <w:snapToGrid w:val="0"/>
              <w:spacing w:before="0" w:beforeAutospacing="0" w:after="0" w:afterAutospacing="0" w:line="312" w:lineRule="auto"/>
              <w:jc w:val="both"/>
            </w:pPr>
            <w:r>
              <w:rPr>
                <w:rFonts w:hint="eastAsia"/>
                <w:sz w:val="21"/>
                <w:szCs w:val="22"/>
                <w:lang w:bidi="ar"/>
              </w:rPr>
              <w:t>三年质保及原厂技术服务，三年规则库升级许可</w:t>
            </w:r>
          </w:p>
        </w:tc>
      </w:tr>
    </w:tbl>
    <w:p>
      <w:pPr>
        <w:numPr>
          <w:ilvl w:val="0"/>
          <w:numId w:val="6"/>
        </w:numPr>
        <w:ind w:leftChars="0"/>
        <w:rPr>
          <w:rFonts w:hint="eastAsia"/>
          <w:sz w:val="32"/>
          <w:szCs w:val="32"/>
          <w:lang w:val="en-US" w:eastAsia="zh-CN"/>
        </w:rPr>
      </w:pPr>
      <w:r>
        <w:rPr>
          <w:rFonts w:hint="eastAsia"/>
          <w:sz w:val="32"/>
          <w:szCs w:val="32"/>
          <w:lang w:val="en-US" w:eastAsia="zh-CN"/>
        </w:rPr>
        <w:t>原文件</w:t>
      </w:r>
    </w:p>
    <w:p>
      <w:pPr>
        <w:pStyle w:val="5"/>
        <w:numPr>
          <w:ilvl w:val="4"/>
          <w:numId w:val="0"/>
        </w:numPr>
        <w:ind w:leftChars="0"/>
      </w:pPr>
      <w:r>
        <w:rPr>
          <w:rFonts w:hint="eastAsia"/>
          <w:lang w:val="en-US" w:eastAsia="zh-CN"/>
        </w:rPr>
        <w:t>4.8.2.3.4.</w:t>
      </w:r>
      <w:r>
        <w:rPr>
          <w:rFonts w:hint="eastAsia"/>
        </w:rPr>
        <w:t>外网网闸</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731"/>
        <w:gridCol w:w="7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rPr>
            </w:pPr>
            <w:r>
              <w:rPr>
                <w:rFonts w:hint="eastAsia" w:ascii="宋体" w:hAnsi="宋体"/>
                <w:b/>
                <w:bCs/>
                <w:sz w:val="21"/>
                <w:szCs w:val="21"/>
              </w:rPr>
              <w:t>序号</w:t>
            </w:r>
          </w:p>
        </w:tc>
        <w:tc>
          <w:tcPr>
            <w:tcW w:w="1731" w:type="dxa"/>
            <w:tcBorders>
              <w:top w:val="single" w:color="auto" w:sz="4" w:space="0"/>
              <w:left w:val="nil"/>
              <w:bottom w:val="single" w:color="auto" w:sz="4" w:space="0"/>
              <w:right w:val="single" w:color="auto" w:sz="4" w:space="0"/>
            </w:tcBorders>
            <w:vAlign w:val="center"/>
          </w:tcPr>
          <w:p>
            <w:pPr>
              <w:pStyle w:val="10"/>
              <w:ind w:firstLine="361"/>
              <w:jc w:val="center"/>
              <w:rPr>
                <w:rFonts w:ascii="宋体" w:hAnsi="宋体"/>
                <w:b/>
                <w:bCs/>
              </w:rPr>
            </w:pPr>
            <w:r>
              <w:rPr>
                <w:rFonts w:hint="eastAsia" w:ascii="宋体" w:hAnsi="宋体"/>
                <w:b/>
                <w:bCs/>
              </w:rPr>
              <w:t>指标项</w:t>
            </w:r>
          </w:p>
        </w:tc>
        <w:tc>
          <w:tcPr>
            <w:tcW w:w="7161" w:type="dxa"/>
            <w:tcBorders>
              <w:top w:val="single" w:color="auto" w:sz="4" w:space="0"/>
              <w:left w:val="nil"/>
              <w:bottom w:val="single" w:color="auto" w:sz="4" w:space="0"/>
              <w:right w:val="single" w:color="auto" w:sz="4" w:space="0"/>
            </w:tcBorders>
            <w:vAlign w:val="center"/>
          </w:tcPr>
          <w:p>
            <w:pPr>
              <w:pStyle w:val="10"/>
              <w:ind w:firstLine="361"/>
              <w:jc w:val="center"/>
              <w:rPr>
                <w:rFonts w:ascii="宋体" w:hAnsi="宋体"/>
                <w:b/>
                <w:bCs/>
              </w:rPr>
            </w:pPr>
            <w:r>
              <w:rPr>
                <w:rFonts w:hint="eastAsia" w:ascii="宋体" w:hAnsi="宋体"/>
                <w:b/>
                <w:bCs/>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1</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系统基本架构</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2U机架式，“2+1”系统结构，内外端机为TCP/IP网络协议的终点，阻断TCP/IP协议的直接贯通。内外端机之间采用专用硬件和专用协议进行连接，不可编程。网闸以软硬件结合的方式，有效地隔断内外网络间直接的连接，防止信息无限制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2</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接口配置</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内网：</w:t>
            </w:r>
            <w:r>
              <w:rPr>
                <w:rFonts w:hint="eastAsia" w:ascii="宋体" w:hAnsi="宋体"/>
                <w:szCs w:val="21"/>
              </w:rPr>
              <w:t>不低于</w:t>
            </w:r>
            <w:r>
              <w:rPr>
                <w:rFonts w:hint="eastAsia" w:ascii="宋体" w:hAnsi="宋体"/>
              </w:rPr>
              <w:t>4个10/100/1000M RJ45接口，1个串口，2个USB口</w:t>
            </w:r>
          </w:p>
          <w:p>
            <w:pPr>
              <w:pStyle w:val="10"/>
              <w:jc w:val="left"/>
              <w:rPr>
                <w:rFonts w:ascii="宋体" w:hAnsi="宋体"/>
              </w:rPr>
            </w:pPr>
            <w:r>
              <w:rPr>
                <w:rFonts w:hint="eastAsia" w:ascii="宋体" w:hAnsi="宋体"/>
              </w:rPr>
              <w:t>外网：</w:t>
            </w:r>
            <w:r>
              <w:rPr>
                <w:rFonts w:hint="eastAsia" w:ascii="宋体" w:hAnsi="宋体"/>
                <w:szCs w:val="21"/>
              </w:rPr>
              <w:t>不低于</w:t>
            </w:r>
            <w:r>
              <w:rPr>
                <w:rFonts w:hint="eastAsia" w:ascii="宋体" w:hAnsi="宋体"/>
              </w:rPr>
              <w:t>4个10/100/1000M RJ45接口，1个串口，2个USB口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3</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性能指标</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网络吞吐量：</w:t>
            </w:r>
            <w:r>
              <w:rPr>
                <w:rFonts w:hint="eastAsia" w:ascii="宋体" w:hAnsi="宋体"/>
                <w:szCs w:val="21"/>
              </w:rPr>
              <w:t>不低于</w:t>
            </w:r>
            <w:r>
              <w:rPr>
                <w:rFonts w:hint="eastAsia" w:ascii="宋体" w:hAnsi="宋体"/>
              </w:rPr>
              <w:t>300Mbps</w:t>
            </w:r>
          </w:p>
          <w:p>
            <w:pPr>
              <w:pStyle w:val="10"/>
              <w:jc w:val="left"/>
              <w:rPr>
                <w:rFonts w:ascii="宋体" w:hAnsi="宋体"/>
              </w:rPr>
            </w:pPr>
            <w:r>
              <w:rPr>
                <w:rFonts w:hint="eastAsia" w:ascii="宋体" w:hAnsi="宋体"/>
              </w:rPr>
              <w:t>系统整体时延：&lt;5毫秒</w:t>
            </w:r>
          </w:p>
          <w:p>
            <w:pPr>
              <w:pStyle w:val="10"/>
              <w:jc w:val="left"/>
              <w:rPr>
                <w:rFonts w:hint="eastAsia" w:ascii="宋体" w:hAnsi="宋体" w:eastAsia="宋体"/>
                <w:lang w:val="en-US" w:eastAsia="zh-CN"/>
              </w:rPr>
            </w:pPr>
            <w:r>
              <w:rPr>
                <w:rFonts w:hint="eastAsia" w:ascii="宋体" w:hAnsi="宋体"/>
              </w:rPr>
              <w:t>所有协议通道并发连接数：</w:t>
            </w:r>
            <w:r>
              <w:rPr>
                <w:rFonts w:hint="eastAsia" w:ascii="宋体" w:hAnsi="宋体"/>
                <w:lang w:val="en-US" w:eastAsia="zh-CN"/>
              </w:rPr>
              <w:t>不低于</w:t>
            </w:r>
            <w:r>
              <w:rPr>
                <w:rFonts w:hint="eastAsia" w:ascii="宋体" w:hAnsi="宋体"/>
              </w:rPr>
              <w:t>45000</w:t>
            </w:r>
            <w:r>
              <w:rPr>
                <w:rFonts w:hint="eastAsia" w:ascii="宋体" w:hAnsi="宋体"/>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4</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安全上网功能</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支持WEB访问，支持HTTP协议应用的各种指令控制</w:t>
            </w:r>
          </w:p>
          <w:p>
            <w:pPr>
              <w:pStyle w:val="10"/>
              <w:jc w:val="left"/>
              <w:rPr>
                <w:rFonts w:ascii="宋体" w:hAnsi="宋体"/>
              </w:rPr>
            </w:pPr>
            <w:r>
              <w:rPr>
                <w:rFonts w:hint="eastAsia" w:ascii="宋体" w:hAnsi="宋体"/>
              </w:rPr>
              <w:t>支持HTTPS网络传输，并且可在该加密通道中分解出正常HTTPS网络应用，保障传输。同时可以屏蔽自由门等各类加密翻墙软件的传输。（提供功能截图证明）</w:t>
            </w:r>
          </w:p>
          <w:p>
            <w:pPr>
              <w:pStyle w:val="10"/>
              <w:jc w:val="left"/>
              <w:rPr>
                <w:rFonts w:ascii="宋体" w:hAnsi="宋体"/>
              </w:rPr>
            </w:pPr>
            <w:r>
              <w:rPr>
                <w:rFonts w:hint="eastAsia" w:ascii="宋体" w:hAnsi="宋体"/>
              </w:rPr>
              <w:t>其他过滤策略：文件类型、页面提交方式等。支持情景模式，能够控制用户上网以及服务器对外提供服务的具体时间</w:t>
            </w:r>
          </w:p>
          <w:p>
            <w:pPr>
              <w:pStyle w:val="10"/>
              <w:jc w:val="left"/>
              <w:rPr>
                <w:rFonts w:ascii="宋体" w:hAnsi="宋体"/>
              </w:rPr>
            </w:pPr>
            <w:r>
              <w:rPr>
                <w:rFonts w:hint="eastAsia" w:ascii="宋体" w:hAnsi="宋体"/>
              </w:rPr>
              <w:t>代理、透明和路由工作模式下均支持HTTP和HTTPS协议内部命令及命令参数控制策略（提供功能截图证明）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5</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文件传输功能</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支持FTP文件传输协议，支持主动被动两种模式。支持FTP命令参数控制支持对传输文件的类型过滤</w:t>
            </w:r>
          </w:p>
          <w:p>
            <w:pPr>
              <w:pStyle w:val="10"/>
              <w:jc w:val="left"/>
              <w:rPr>
                <w:rFonts w:ascii="宋体" w:hAnsi="宋体"/>
              </w:rPr>
            </w:pPr>
            <w:r>
              <w:rPr>
                <w:rFonts w:hint="eastAsia" w:ascii="宋体" w:hAnsi="宋体"/>
              </w:rPr>
              <w:t>代理、透明和路由工作模式下均支持FTP协议内部命令及命令参数控制策略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6</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文件同步功能</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提供专用文件同步客户端提供安全的文件同步功能</w:t>
            </w:r>
          </w:p>
          <w:p>
            <w:pPr>
              <w:pStyle w:val="10"/>
              <w:jc w:val="left"/>
              <w:rPr>
                <w:rFonts w:ascii="宋体" w:hAnsi="宋体"/>
              </w:rPr>
            </w:pPr>
            <w:r>
              <w:rPr>
                <w:rFonts w:hint="eastAsia" w:ascii="宋体" w:hAnsi="宋体"/>
              </w:rPr>
              <w:t>同步传输方向可控，双向或单向</w:t>
            </w:r>
          </w:p>
          <w:p>
            <w:pPr>
              <w:pStyle w:val="10"/>
              <w:jc w:val="left"/>
              <w:rPr>
                <w:rFonts w:ascii="宋体" w:hAnsi="宋体"/>
              </w:rPr>
            </w:pPr>
            <w:r>
              <w:rPr>
                <w:rFonts w:hint="eastAsia" w:ascii="宋体" w:hAnsi="宋体"/>
              </w:rPr>
              <w:t>支持一对多或多对一文件同步</w:t>
            </w:r>
          </w:p>
          <w:p>
            <w:pPr>
              <w:pStyle w:val="10"/>
              <w:jc w:val="left"/>
              <w:rPr>
                <w:rFonts w:ascii="宋体" w:hAnsi="宋体"/>
              </w:rPr>
            </w:pPr>
            <w:r>
              <w:rPr>
                <w:rFonts w:hint="eastAsia" w:ascii="宋体" w:hAnsi="宋体"/>
              </w:rPr>
              <w:t>支持文件变动实时同步、定时同步、系统资源空闲智能同步等多种同步方式</w:t>
            </w:r>
          </w:p>
          <w:p>
            <w:pPr>
              <w:pStyle w:val="10"/>
              <w:jc w:val="left"/>
              <w:rPr>
                <w:rFonts w:ascii="宋体" w:hAnsi="宋体"/>
              </w:rPr>
            </w:pPr>
            <w:r>
              <w:rPr>
                <w:rFonts w:hint="eastAsia" w:ascii="宋体" w:hAnsi="宋体"/>
              </w:rPr>
              <w:t>支持同步删除和同步覆盖策略配置，并能将同步删除和同步覆盖的文件备份到指定文件夹</w:t>
            </w:r>
          </w:p>
          <w:p>
            <w:pPr>
              <w:pStyle w:val="10"/>
              <w:jc w:val="left"/>
              <w:rPr>
                <w:rFonts w:ascii="宋体" w:hAnsi="宋体"/>
              </w:rPr>
            </w:pPr>
            <w:r>
              <w:rPr>
                <w:rFonts w:hint="eastAsia" w:ascii="宋体" w:hAnsi="宋体"/>
              </w:rPr>
              <w:t>支持文件同步容错策略和告警策略，同步出错能够自动重传并能够设置重传次数，出现异常同步状况能够终止同步弹出告警提示并记录日志。（提供功能截图证明）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7</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数据库访问功能</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提供对多种主流数据库,如：MYSQL、SQLSERVER、ORACLE、DB2、SYBASE等系统的安全访问</w:t>
            </w:r>
          </w:p>
          <w:p>
            <w:pPr>
              <w:pStyle w:val="10"/>
              <w:jc w:val="left"/>
              <w:rPr>
                <w:rFonts w:ascii="宋体" w:hAnsi="宋体"/>
              </w:rPr>
            </w:pPr>
            <w:r>
              <w:rPr>
                <w:rFonts w:hint="eastAsia" w:ascii="宋体" w:hAnsi="宋体"/>
              </w:rPr>
              <w:t>代理、透明和路由工作模式下均支持数据库内部命令及命令参数控制策略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8</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数据库同步功能</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基于专用客户端与网闸安全连接方式，提供多种主流数据库系统如：ORACLE、SQLSERVER、MYSQL、SYBASE、DB2等之间的同步</w:t>
            </w:r>
          </w:p>
          <w:p>
            <w:pPr>
              <w:pStyle w:val="10"/>
              <w:jc w:val="left"/>
              <w:rPr>
                <w:rFonts w:ascii="宋体" w:hAnsi="宋体"/>
              </w:rPr>
            </w:pPr>
            <w:r>
              <w:rPr>
                <w:rFonts w:hint="eastAsia" w:ascii="宋体" w:hAnsi="宋体"/>
              </w:rPr>
              <w:t>支持达梦、人大金仓等国产数据。（提供功能截图证明）</w:t>
            </w:r>
          </w:p>
          <w:p>
            <w:pPr>
              <w:pStyle w:val="10"/>
              <w:jc w:val="left"/>
              <w:rPr>
                <w:rFonts w:ascii="宋体" w:hAnsi="宋体"/>
              </w:rPr>
            </w:pPr>
            <w:r>
              <w:rPr>
                <w:rFonts w:hint="eastAsia" w:ascii="宋体" w:hAnsi="宋体"/>
              </w:rPr>
              <w:t>支持二进制普通文件、图片、文本文件及BLOB大字段同步。（提供功能截图证明）</w:t>
            </w:r>
          </w:p>
          <w:p>
            <w:pPr>
              <w:pStyle w:val="10"/>
              <w:jc w:val="left"/>
              <w:rPr>
                <w:rFonts w:ascii="宋体" w:hAnsi="宋体"/>
              </w:rPr>
            </w:pPr>
            <w:r>
              <w:rPr>
                <w:rFonts w:hint="eastAsia" w:ascii="宋体" w:hAnsi="宋体"/>
              </w:rPr>
              <w:t>支持数据一对一、一对多、多对多的单向或双向交换和同步</w:t>
            </w:r>
          </w:p>
          <w:p>
            <w:pPr>
              <w:pStyle w:val="10"/>
              <w:jc w:val="left"/>
              <w:rPr>
                <w:rFonts w:ascii="宋体" w:hAnsi="宋体"/>
              </w:rPr>
            </w:pPr>
            <w:r>
              <w:rPr>
                <w:rFonts w:hint="eastAsia" w:ascii="宋体" w:hAnsi="宋体"/>
              </w:rPr>
              <w:t>支持数据库实时同步或定时同步的策略定义</w:t>
            </w:r>
          </w:p>
          <w:p>
            <w:pPr>
              <w:pStyle w:val="10"/>
              <w:jc w:val="left"/>
              <w:rPr>
                <w:rFonts w:ascii="宋体" w:hAnsi="宋体"/>
              </w:rPr>
            </w:pPr>
            <w:r>
              <w:rPr>
                <w:rFonts w:hint="eastAsia" w:ascii="宋体" w:hAnsi="宋体"/>
              </w:rPr>
              <w:t>数据库同步传输不使用通用数据库服务端口例如1433、1521、3306等，保障数据库同步传输的安全性</w:t>
            </w:r>
          </w:p>
          <w:p>
            <w:pPr>
              <w:pStyle w:val="10"/>
              <w:jc w:val="left"/>
              <w:rPr>
                <w:rFonts w:ascii="宋体" w:hAnsi="宋体"/>
              </w:rPr>
            </w:pPr>
            <w:r>
              <w:rPr>
                <w:rFonts w:hint="eastAsia" w:ascii="宋体" w:hAnsi="宋体"/>
              </w:rPr>
              <w:t>支持灵活的数据冲突检测机制，当同步的数据记录发成冲突时，可以灵活处理出现冲突的数据记录</w:t>
            </w:r>
          </w:p>
          <w:p>
            <w:pPr>
              <w:pStyle w:val="10"/>
              <w:jc w:val="left"/>
              <w:rPr>
                <w:rFonts w:ascii="宋体" w:hAnsi="宋体"/>
              </w:rPr>
            </w:pPr>
            <w:r>
              <w:rPr>
                <w:rFonts w:hint="eastAsia" w:ascii="宋体" w:hAnsi="宋体"/>
              </w:rPr>
              <w:t>数据库同步高可靠性，即使发生网络故障，已变化数据也不会丢失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9</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管理配置</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管理采用C/S架构专有协议管理，网闸管理口无IP地址，管理主机也不必设置IP即可搜索到设备，管理设备，支持设备集中管理。（提供功能截图证明）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10</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日志审计</w:t>
            </w:r>
          </w:p>
        </w:tc>
        <w:tc>
          <w:tcPr>
            <w:tcW w:w="716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支持对所有访问进行日志记录，包括系统事件、成功事件、报警事件。提供对日志信息的浏览、查询、删除、下载等多种操作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11</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△产品资质</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具备公安部计算机信息系统安全专用产品销售许可证书</w:t>
            </w:r>
          </w:p>
          <w:p>
            <w:pPr>
              <w:pStyle w:val="10"/>
              <w:jc w:val="left"/>
              <w:rPr>
                <w:rFonts w:ascii="宋体" w:hAnsi="宋体"/>
              </w:rPr>
            </w:pPr>
            <w:r>
              <w:rPr>
                <w:rFonts w:hint="eastAsia" w:ascii="宋体" w:hAnsi="宋体"/>
              </w:rPr>
              <w:t>具备信息安全认证中心中国国家信息安全产品认证证书</w:t>
            </w:r>
          </w:p>
        </w:tc>
      </w:tr>
    </w:tbl>
    <w:p>
      <w:pPr>
        <w:pStyle w:val="5"/>
        <w:numPr>
          <w:ilvl w:val="4"/>
          <w:numId w:val="0"/>
        </w:numPr>
        <w:ind w:leftChars="0"/>
      </w:pPr>
      <w:r>
        <w:rPr>
          <w:rFonts w:hint="eastAsia"/>
          <w:lang w:val="en-US" w:eastAsia="zh-CN"/>
        </w:rPr>
        <w:t>4.8.2.3.5.</w:t>
      </w:r>
      <w:r>
        <w:rPr>
          <w:rFonts w:hint="eastAsia"/>
        </w:rPr>
        <w:t>内网防火墙</w:t>
      </w:r>
    </w:p>
    <w:tbl>
      <w:tblPr>
        <w:tblStyle w:val="8"/>
        <w:tblW w:w="94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31"/>
        <w:gridCol w:w="1499"/>
        <w:gridCol w:w="7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0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bCs/>
                <w:sz w:val="21"/>
                <w:szCs w:val="21"/>
              </w:rPr>
            </w:pPr>
            <w:r>
              <w:rPr>
                <w:rFonts w:hint="eastAsia" w:ascii="宋体" w:hAnsi="宋体"/>
                <w:b/>
                <w:bCs/>
                <w:sz w:val="21"/>
                <w:szCs w:val="21"/>
              </w:rPr>
              <w:t>序号</w:t>
            </w:r>
          </w:p>
        </w:tc>
        <w:tc>
          <w:tcPr>
            <w:tcW w:w="1499" w:type="dxa"/>
            <w:tcBorders>
              <w:top w:val="single" w:color="000000" w:sz="4" w:space="0"/>
              <w:left w:val="nil"/>
              <w:bottom w:val="single" w:color="000000" w:sz="4" w:space="0"/>
              <w:right w:val="single" w:color="000000" w:sz="4" w:space="0"/>
            </w:tcBorders>
            <w:vAlign w:val="center"/>
          </w:tcPr>
          <w:p>
            <w:pPr>
              <w:jc w:val="center"/>
              <w:rPr>
                <w:rFonts w:ascii="宋体" w:hAnsi="宋体"/>
                <w:b/>
                <w:bCs/>
                <w:sz w:val="21"/>
                <w:szCs w:val="21"/>
              </w:rPr>
            </w:pPr>
            <w:r>
              <w:rPr>
                <w:rFonts w:hint="eastAsia" w:ascii="宋体" w:hAnsi="宋体"/>
                <w:b/>
                <w:bCs/>
                <w:sz w:val="21"/>
                <w:szCs w:val="21"/>
              </w:rPr>
              <w:t>指标项</w:t>
            </w:r>
          </w:p>
        </w:tc>
        <w:tc>
          <w:tcPr>
            <w:tcW w:w="7312" w:type="dxa"/>
            <w:tcBorders>
              <w:top w:val="single" w:color="000000" w:sz="4" w:space="0"/>
              <w:left w:val="nil"/>
              <w:bottom w:val="single" w:color="000000" w:sz="4" w:space="0"/>
              <w:right w:val="single" w:color="000000" w:sz="4" w:space="0"/>
            </w:tcBorders>
            <w:vAlign w:val="center"/>
          </w:tcPr>
          <w:p>
            <w:pPr>
              <w:jc w:val="center"/>
              <w:rPr>
                <w:rFonts w:ascii="宋体" w:hAnsi="宋体"/>
                <w:b/>
                <w:bCs/>
                <w:sz w:val="21"/>
                <w:szCs w:val="21"/>
              </w:rPr>
            </w:pPr>
            <w:r>
              <w:rPr>
                <w:rFonts w:hint="eastAsia" w:ascii="宋体" w:hAnsi="宋体"/>
                <w:b/>
                <w:bCs/>
                <w:sz w:val="21"/>
                <w:szCs w:val="21"/>
              </w:rPr>
              <w:t>招标要求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hint="default"/>
                <w:color w:val="auto"/>
              </w:rPr>
            </w:pPr>
            <w:r>
              <w:rPr>
                <w:rFonts w:hint="eastAsia" w:ascii="宋体" w:hAnsi="宋体"/>
                <w:sz w:val="21"/>
                <w:szCs w:val="21"/>
              </w:rPr>
              <w:t>1</w:t>
            </w:r>
          </w:p>
        </w:tc>
        <w:tc>
          <w:tcPr>
            <w:tcW w:w="1499" w:type="dxa"/>
            <w:tcBorders>
              <w:top w:val="single" w:color="000000" w:sz="4" w:space="0"/>
              <w:left w:val="nil"/>
              <w:bottom w:val="single" w:color="000000" w:sz="4" w:space="0"/>
              <w:right w:val="single" w:color="000000" w:sz="4" w:space="0"/>
            </w:tcBorders>
            <w:vAlign w:val="center"/>
          </w:tcPr>
          <w:p>
            <w:pPr>
              <w:pStyle w:val="10"/>
              <w:jc w:val="left"/>
              <w:rPr>
                <w:szCs w:val="21"/>
              </w:rPr>
            </w:pPr>
            <w:r>
              <w:rPr>
                <w:rFonts w:hint="eastAsia" w:ascii="宋体" w:hAnsi="宋体"/>
              </w:rPr>
              <w:t>基本要求和性能</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1U机箱，配置不少于6个10/100/1000BASE-T接口，标配模块化电源；防火墙吞吐率：2Gbps 应用层吞吐率（FW+APP）：1.2Gbps 并发连接数：120万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hint="default"/>
                <w:color w:val="auto"/>
              </w:rPr>
            </w:pPr>
            <w:r>
              <w:rPr>
                <w:rFonts w:hint="eastAsia" w:ascii="宋体" w:hAnsi="宋体"/>
                <w:sz w:val="21"/>
                <w:szCs w:val="21"/>
              </w:rPr>
              <w:t>2</w:t>
            </w:r>
          </w:p>
        </w:tc>
        <w:tc>
          <w:tcPr>
            <w:tcW w:w="1499" w:type="dxa"/>
            <w:tcBorders>
              <w:top w:val="single" w:color="000000" w:sz="4" w:space="0"/>
              <w:left w:val="nil"/>
              <w:bottom w:val="single" w:color="000000" w:sz="4" w:space="0"/>
              <w:right w:val="single" w:color="000000" w:sz="4" w:space="0"/>
            </w:tcBorders>
            <w:vAlign w:val="center"/>
          </w:tcPr>
          <w:p>
            <w:pPr>
              <w:pStyle w:val="10"/>
              <w:jc w:val="left"/>
              <w:rPr>
                <w:szCs w:val="21"/>
              </w:rPr>
            </w:pPr>
            <w:r>
              <w:rPr>
                <w:rFonts w:hint="eastAsia" w:ascii="宋体" w:hAnsi="宋体"/>
              </w:rPr>
              <w:t>工作模式</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支持路由、交换、混合、虚拟线工作模式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631" w:type="dxa"/>
            <w:vMerge w:val="restart"/>
            <w:tcBorders>
              <w:top w:val="nil"/>
              <w:left w:val="single" w:color="000000" w:sz="4" w:space="0"/>
              <w:bottom w:val="single" w:color="000000" w:sz="4" w:space="0"/>
              <w:right w:val="single" w:color="000000" w:sz="4" w:space="0"/>
            </w:tcBorders>
            <w:vAlign w:val="center"/>
          </w:tcPr>
          <w:p>
            <w:pPr>
              <w:jc w:val="center"/>
              <w:rPr>
                <w:rStyle w:val="13"/>
                <w:rFonts w:hint="default"/>
                <w:color w:val="auto"/>
              </w:rPr>
            </w:pPr>
            <w:r>
              <w:rPr>
                <w:rFonts w:hint="eastAsia" w:ascii="宋体" w:hAnsi="宋体"/>
                <w:sz w:val="21"/>
                <w:szCs w:val="21"/>
              </w:rPr>
              <w:t>3</w:t>
            </w:r>
          </w:p>
        </w:tc>
        <w:tc>
          <w:tcPr>
            <w:tcW w:w="1499" w:type="dxa"/>
            <w:vMerge w:val="restart"/>
            <w:tcBorders>
              <w:top w:val="nil"/>
              <w:left w:val="nil"/>
              <w:bottom w:val="single" w:color="000000" w:sz="4" w:space="0"/>
              <w:right w:val="single" w:color="000000" w:sz="4" w:space="0"/>
            </w:tcBorders>
            <w:vAlign w:val="center"/>
          </w:tcPr>
          <w:p>
            <w:pPr>
              <w:pStyle w:val="10"/>
              <w:jc w:val="left"/>
              <w:rPr>
                <w:szCs w:val="21"/>
              </w:rPr>
            </w:pPr>
            <w:r>
              <w:rPr>
                <w:rFonts w:hint="eastAsia" w:ascii="宋体" w:hAnsi="宋体"/>
              </w:rPr>
              <w:t>智能DNS</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支持智能DNS功能，有效提高用户跨网访问效率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trPr>
        <w:tc>
          <w:tcPr>
            <w:tcW w:w="631" w:type="dxa"/>
            <w:vMerge w:val="continue"/>
            <w:tcBorders>
              <w:top w:val="nil"/>
              <w:left w:val="single" w:color="000000" w:sz="4" w:space="0"/>
              <w:bottom w:val="single" w:color="000000" w:sz="4" w:space="0"/>
              <w:right w:val="single" w:color="000000" w:sz="4" w:space="0"/>
            </w:tcBorders>
            <w:vAlign w:val="center"/>
          </w:tcPr>
          <w:p>
            <w:pPr>
              <w:widowControl/>
              <w:jc w:val="left"/>
              <w:rPr>
                <w:rStyle w:val="13"/>
                <w:rFonts w:hint="default"/>
                <w:color w:val="auto"/>
              </w:rPr>
            </w:pPr>
          </w:p>
        </w:tc>
        <w:tc>
          <w:tcPr>
            <w:tcW w:w="1499" w:type="dxa"/>
            <w:vMerge w:val="continue"/>
            <w:tcBorders>
              <w:top w:val="nil"/>
              <w:left w:val="nil"/>
              <w:bottom w:val="single" w:color="000000" w:sz="4" w:space="0"/>
              <w:right w:val="single" w:color="000000" w:sz="4" w:space="0"/>
            </w:tcBorders>
            <w:vAlign w:val="center"/>
          </w:tcPr>
          <w:p>
            <w:pPr>
              <w:widowControl/>
              <w:jc w:val="left"/>
              <w:rPr>
                <w:rFonts w:ascii="Calibri" w:hAnsi="Calibri" w:cs="宋体"/>
                <w:kern w:val="0"/>
                <w:sz w:val="21"/>
                <w:szCs w:val="21"/>
              </w:rPr>
            </w:pP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支持DNS Docting，能够将来自内部网络的域名解析请求定向到真实内网资源，降低路径开销，提高访问效率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hint="default"/>
                <w:color w:val="auto"/>
              </w:rPr>
            </w:pPr>
            <w:r>
              <w:rPr>
                <w:rStyle w:val="13"/>
                <w:rFonts w:hint="default"/>
                <w:color w:val="auto"/>
              </w:rPr>
              <w:t>4</w:t>
            </w:r>
          </w:p>
        </w:tc>
        <w:tc>
          <w:tcPr>
            <w:tcW w:w="1499" w:type="dxa"/>
            <w:tcBorders>
              <w:top w:val="single" w:color="000000" w:sz="4" w:space="0"/>
              <w:left w:val="nil"/>
              <w:bottom w:val="single" w:color="000000" w:sz="4" w:space="0"/>
              <w:right w:val="single" w:color="000000" w:sz="4" w:space="0"/>
            </w:tcBorders>
            <w:vAlign w:val="center"/>
          </w:tcPr>
          <w:p>
            <w:pPr>
              <w:pStyle w:val="10"/>
              <w:jc w:val="left"/>
              <w:rPr>
                <w:szCs w:val="21"/>
              </w:rPr>
            </w:pPr>
            <w:r>
              <w:rPr>
                <w:rFonts w:hint="eastAsia" w:ascii="宋体" w:hAnsi="宋体"/>
              </w:rPr>
              <w:t>链路质量探测</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支持ICMP、Traceroute、TCP、HTTP、DNS等多种链路质量探测方式，用户可以根据探测结果有效判断链路质量；通过HTTP链路质量探测方式，探测结果可以提供DNS解析响应时间、TCP建立连接时间、HTTP交易时间等；通过TCP链路质量探测方式，探测结果可以提供TCP建立连接时间等；通过DNS链路质量探测方式，探测结果可以提供DNS解析响应时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0"/>
              </w:rPr>
            </w:pPr>
            <w:r>
              <w:rPr>
                <w:rFonts w:hint="eastAsia" w:ascii="宋体" w:hAnsi="宋体"/>
                <w:sz w:val="21"/>
                <w:szCs w:val="21"/>
              </w:rPr>
              <w:t>5</w:t>
            </w:r>
          </w:p>
        </w:tc>
        <w:tc>
          <w:tcPr>
            <w:tcW w:w="1499" w:type="dxa"/>
            <w:tcBorders>
              <w:top w:val="single" w:color="000000" w:sz="4" w:space="0"/>
              <w:left w:val="nil"/>
              <w:bottom w:val="single" w:color="000000" w:sz="4" w:space="0"/>
              <w:right w:val="single" w:color="000000" w:sz="4" w:space="0"/>
            </w:tcBorders>
            <w:vAlign w:val="center"/>
          </w:tcPr>
          <w:p>
            <w:pPr>
              <w:pStyle w:val="10"/>
              <w:jc w:val="left"/>
              <w:rPr>
                <w:rFonts w:ascii="宋体" w:hAnsi="宋体"/>
                <w:szCs w:val="21"/>
              </w:rPr>
            </w:pPr>
            <w:r>
              <w:rPr>
                <w:rFonts w:hint="eastAsia" w:ascii="宋体" w:hAnsi="宋体"/>
              </w:rPr>
              <w:t>数据防泄露功能</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支持DLP数据防泄漏功能，可针对发送IP或接收IP配置相互独立的DLP策略，对数据进行监控识别，达到敏感数据防护目的</w:t>
            </w:r>
          </w:p>
          <w:p>
            <w:pPr>
              <w:pStyle w:val="10"/>
              <w:jc w:val="left"/>
              <w:rPr>
                <w:rFonts w:ascii="宋体" w:hAnsi="宋体"/>
              </w:rPr>
            </w:pPr>
            <w:r>
              <w:rPr>
                <w:rFonts w:hint="eastAsia" w:ascii="宋体" w:hAnsi="宋体"/>
              </w:rPr>
              <w:t>支持识别的加密文件格式不少于12种；压缩文件格式不少于25种，如RAR、ZIP、GZ、TAR等；支持识别Linux，Unix等非Winodws的文件类型；支持识别异常文件格式类型；支持识别自定义文件类型（提供功能截图证明）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1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0"/>
              </w:rPr>
            </w:pPr>
            <w:r>
              <w:rPr>
                <w:rFonts w:hint="eastAsia" w:ascii="宋体" w:hAnsi="宋体"/>
                <w:sz w:val="21"/>
                <w:szCs w:val="21"/>
              </w:rPr>
              <w:t>6</w:t>
            </w:r>
          </w:p>
        </w:tc>
        <w:tc>
          <w:tcPr>
            <w:tcW w:w="1499" w:type="dxa"/>
            <w:tcBorders>
              <w:top w:val="single" w:color="000000" w:sz="4" w:space="0"/>
              <w:left w:val="nil"/>
              <w:bottom w:val="single" w:color="000000" w:sz="4" w:space="0"/>
              <w:right w:val="single" w:color="000000" w:sz="4" w:space="0"/>
            </w:tcBorders>
            <w:vAlign w:val="center"/>
          </w:tcPr>
          <w:p>
            <w:pPr>
              <w:pStyle w:val="10"/>
              <w:jc w:val="left"/>
              <w:rPr>
                <w:rFonts w:ascii="宋体" w:hAnsi="宋体"/>
                <w:szCs w:val="21"/>
              </w:rPr>
            </w:pPr>
            <w:r>
              <w:rPr>
                <w:rFonts w:hint="eastAsia" w:ascii="宋体" w:hAnsi="宋体"/>
              </w:rPr>
              <w:t>用户管控</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综合运用身份认证与访问控制技术，通过内置智能过滤引擎实现基于用户身份的安全防护策略部署与可视化监控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0"/>
              </w:rPr>
            </w:pPr>
            <w:r>
              <w:rPr>
                <w:rFonts w:hint="eastAsia" w:ascii="宋体" w:hAnsi="宋体"/>
                <w:sz w:val="21"/>
                <w:szCs w:val="21"/>
              </w:rPr>
              <w:t>7</w:t>
            </w:r>
          </w:p>
        </w:tc>
        <w:tc>
          <w:tcPr>
            <w:tcW w:w="1499" w:type="dxa"/>
            <w:tcBorders>
              <w:top w:val="single" w:color="000000" w:sz="4" w:space="0"/>
              <w:left w:val="nil"/>
              <w:bottom w:val="single" w:color="000000" w:sz="4" w:space="0"/>
              <w:right w:val="single" w:color="000000" w:sz="4" w:space="0"/>
            </w:tcBorders>
            <w:vAlign w:val="center"/>
          </w:tcPr>
          <w:p>
            <w:pPr>
              <w:pStyle w:val="10"/>
              <w:jc w:val="left"/>
              <w:rPr>
                <w:rFonts w:ascii="宋体" w:hAnsi="宋体"/>
                <w:szCs w:val="21"/>
              </w:rPr>
            </w:pPr>
            <w:r>
              <w:rPr>
                <w:rFonts w:hint="eastAsia" w:ascii="宋体" w:hAnsi="宋体"/>
              </w:rPr>
              <w:t>应用识别</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内置强大应用识别引擎，综合运用端口识别、行为识别、特征识别、关联识别等技术手段，准确识别传统应用如P2P、web应用、移动应用、云应用、加密应用等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0"/>
              </w:rPr>
            </w:pPr>
            <w:r>
              <w:rPr>
                <w:rFonts w:hint="eastAsia" w:ascii="宋体" w:hAnsi="宋体"/>
                <w:sz w:val="21"/>
                <w:szCs w:val="21"/>
              </w:rPr>
              <w:t>8</w:t>
            </w:r>
          </w:p>
        </w:tc>
        <w:tc>
          <w:tcPr>
            <w:tcW w:w="1499" w:type="dxa"/>
            <w:tcBorders>
              <w:top w:val="single" w:color="000000" w:sz="4" w:space="0"/>
              <w:left w:val="nil"/>
              <w:bottom w:val="single" w:color="000000" w:sz="4" w:space="0"/>
              <w:right w:val="single" w:color="000000" w:sz="4" w:space="0"/>
            </w:tcBorders>
            <w:vAlign w:val="center"/>
          </w:tcPr>
          <w:p>
            <w:pPr>
              <w:pStyle w:val="10"/>
              <w:jc w:val="left"/>
              <w:rPr>
                <w:rFonts w:ascii="宋体" w:hAnsi="宋体"/>
                <w:szCs w:val="21"/>
              </w:rPr>
            </w:pPr>
            <w:r>
              <w:rPr>
                <w:rFonts w:hint="eastAsia" w:ascii="宋体" w:hAnsi="宋体"/>
              </w:rPr>
              <w:t>一体化访问控制</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内置高度集成的一体化智能过滤引擎技术，实现在同一条访问控制策略中配置传统的五元组信息、应用、服务、时间、安全引擎（入侵、URL过滤、病毒过滤、DLP、内容过滤）的识别与控制</w:t>
            </w:r>
          </w:p>
          <w:p>
            <w:pPr>
              <w:pStyle w:val="10"/>
              <w:jc w:val="left"/>
              <w:rPr>
                <w:rFonts w:ascii="宋体" w:hAnsi="宋体"/>
              </w:rPr>
            </w:pPr>
            <w:r>
              <w:rPr>
                <w:rFonts w:hint="eastAsia" w:ascii="宋体" w:hAnsi="宋体"/>
              </w:rPr>
              <w:t>支持对单条访问控制策略进行最大并发连接数限制（提供功能截图证明）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sz w:val="21"/>
                <w:szCs w:val="21"/>
              </w:rPr>
              <w:t>9</w:t>
            </w:r>
          </w:p>
        </w:tc>
        <w:tc>
          <w:tcPr>
            <w:tcW w:w="1499"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DDOS防御</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内置攻击检测引擎，支持独立的DDOS检测、阻断能力（提供功能截图证明），支持检测包括land、Smurf、winnuke、tcp_sscan、ip_option、targa3、Synflood、Icmpflood、Udpflood、Portscan、ipsweep等攻击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6"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0"/>
              </w:rPr>
            </w:pPr>
            <w:r>
              <w:rPr>
                <w:rFonts w:hint="eastAsia" w:ascii="宋体" w:hAnsi="宋体"/>
                <w:sz w:val="21"/>
                <w:szCs w:val="21"/>
              </w:rPr>
              <w:t>10</w:t>
            </w:r>
          </w:p>
        </w:tc>
        <w:tc>
          <w:tcPr>
            <w:tcW w:w="1499" w:type="dxa"/>
            <w:tcBorders>
              <w:top w:val="single" w:color="000000" w:sz="4" w:space="0"/>
              <w:left w:val="nil"/>
              <w:bottom w:val="single" w:color="000000" w:sz="4" w:space="0"/>
              <w:right w:val="single" w:color="000000" w:sz="4" w:space="0"/>
            </w:tcBorders>
            <w:vAlign w:val="center"/>
          </w:tcPr>
          <w:p>
            <w:pPr>
              <w:pStyle w:val="10"/>
              <w:jc w:val="left"/>
              <w:rPr>
                <w:rFonts w:ascii="宋体" w:hAnsi="宋体"/>
                <w:szCs w:val="21"/>
              </w:rPr>
            </w:pPr>
            <w:r>
              <w:rPr>
                <w:rFonts w:hint="eastAsia" w:ascii="宋体" w:hAnsi="宋体"/>
              </w:rPr>
              <w:t>△产品资质</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具备公安部颁发的《计算机信息系统安全专用产品销售许可证》</w:t>
            </w:r>
          </w:p>
          <w:p>
            <w:pPr>
              <w:pStyle w:val="10"/>
              <w:jc w:val="left"/>
              <w:rPr>
                <w:rFonts w:ascii="宋体" w:hAnsi="宋体"/>
              </w:rPr>
            </w:pPr>
            <w:r>
              <w:rPr>
                <w:rFonts w:hint="eastAsia" w:ascii="宋体" w:hAnsi="宋体"/>
              </w:rPr>
              <w:t>具备中国信息安全认证中心颁发的《国家信息安全产品认证证书（ISCCC）》</w:t>
            </w:r>
          </w:p>
          <w:p>
            <w:pPr>
              <w:pStyle w:val="10"/>
              <w:jc w:val="left"/>
              <w:rPr>
                <w:rFonts w:ascii="宋体" w:hAnsi="宋体"/>
              </w:rPr>
            </w:pPr>
            <w:r>
              <w:rPr>
                <w:rFonts w:hint="eastAsia" w:ascii="宋体" w:hAnsi="宋体"/>
              </w:rPr>
              <w:t>具备防火墙密码检测证书</w:t>
            </w:r>
          </w:p>
          <w:p>
            <w:pPr>
              <w:pStyle w:val="10"/>
              <w:jc w:val="left"/>
              <w:rPr>
                <w:rFonts w:ascii="宋体" w:hAnsi="宋体"/>
              </w:rPr>
            </w:pPr>
            <w:r>
              <w:rPr>
                <w:rFonts w:hint="eastAsia" w:ascii="宋体" w:hAnsi="宋体"/>
              </w:rPr>
              <w:t>信息安全产品自主原创证书</w:t>
            </w:r>
          </w:p>
          <w:p>
            <w:pPr>
              <w:pStyle w:val="10"/>
              <w:jc w:val="left"/>
              <w:rPr>
                <w:rFonts w:ascii="宋体" w:hAnsi="宋体"/>
              </w:rPr>
            </w:pPr>
            <w:r>
              <w:rPr>
                <w:rFonts w:hint="eastAsia" w:ascii="宋体" w:hAnsi="宋体"/>
              </w:rPr>
              <w:t>投标时需提供以上资质证书复印件</w:t>
            </w:r>
          </w:p>
        </w:tc>
      </w:tr>
    </w:tbl>
    <w:p>
      <w:pPr>
        <w:ind w:firstLine="480"/>
        <w:rPr>
          <w:szCs w:val="28"/>
        </w:rPr>
      </w:pPr>
      <w:r>
        <w:rPr>
          <w:rFonts w:hint="eastAsia"/>
        </w:rPr>
        <w:t xml:space="preserve"> </w:t>
      </w:r>
    </w:p>
    <w:p>
      <w:pPr>
        <w:pStyle w:val="5"/>
        <w:numPr>
          <w:ilvl w:val="4"/>
          <w:numId w:val="0"/>
        </w:numPr>
        <w:ind w:leftChars="0"/>
      </w:pPr>
      <w:r>
        <w:rPr>
          <w:rFonts w:hint="eastAsia"/>
          <w:lang w:val="en-US" w:eastAsia="zh-CN"/>
        </w:rPr>
        <w:t>4.8.2.3.6.</w:t>
      </w:r>
      <w:r>
        <w:rPr>
          <w:rFonts w:hint="eastAsia"/>
        </w:rPr>
        <w:t>内网网闸</w:t>
      </w:r>
    </w:p>
    <w:tbl>
      <w:tblPr>
        <w:tblStyle w:val="8"/>
        <w:tblW w:w="962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80"/>
        <w:gridCol w:w="1469"/>
        <w:gridCol w:w="7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sz w:val="21"/>
                <w:szCs w:val="21"/>
              </w:rPr>
            </w:pPr>
            <w:r>
              <w:rPr>
                <w:rFonts w:hint="eastAsia" w:ascii="宋体" w:hAnsi="宋体"/>
                <w:b/>
                <w:bCs/>
                <w:sz w:val="21"/>
                <w:szCs w:val="21"/>
              </w:rPr>
              <w:t>序号</w:t>
            </w:r>
          </w:p>
        </w:tc>
        <w:tc>
          <w:tcPr>
            <w:tcW w:w="1469" w:type="dxa"/>
            <w:tcBorders>
              <w:top w:val="single" w:color="auto" w:sz="6" w:space="0"/>
              <w:left w:val="nil"/>
              <w:bottom w:val="single" w:color="auto" w:sz="6" w:space="0"/>
              <w:right w:val="single" w:color="auto" w:sz="6" w:space="0"/>
            </w:tcBorders>
            <w:vAlign w:val="center"/>
          </w:tcPr>
          <w:p>
            <w:pPr>
              <w:jc w:val="center"/>
              <w:rPr>
                <w:rFonts w:ascii="宋体" w:hAnsi="宋体"/>
                <w:b/>
                <w:bCs/>
                <w:sz w:val="21"/>
                <w:szCs w:val="21"/>
              </w:rPr>
            </w:pPr>
            <w:r>
              <w:rPr>
                <w:rFonts w:hint="eastAsia" w:ascii="宋体" w:hAnsi="宋体"/>
                <w:b/>
                <w:bCs/>
                <w:sz w:val="21"/>
                <w:szCs w:val="21"/>
              </w:rPr>
              <w:t>指标项</w:t>
            </w:r>
          </w:p>
        </w:tc>
        <w:tc>
          <w:tcPr>
            <w:tcW w:w="7379" w:type="dxa"/>
            <w:tcBorders>
              <w:top w:val="single" w:color="auto" w:sz="6" w:space="0"/>
              <w:left w:val="nil"/>
              <w:bottom w:val="single" w:color="auto" w:sz="6" w:space="0"/>
              <w:right w:val="single" w:color="auto" w:sz="6" w:space="0"/>
            </w:tcBorders>
            <w:vAlign w:val="center"/>
          </w:tcPr>
          <w:p>
            <w:pPr>
              <w:jc w:val="center"/>
              <w:rPr>
                <w:rFonts w:ascii="宋体" w:hAnsi="宋体"/>
                <w:b/>
                <w:bCs/>
                <w:sz w:val="21"/>
                <w:szCs w:val="21"/>
              </w:rPr>
            </w:pPr>
            <w:r>
              <w:rPr>
                <w:rFonts w:hint="eastAsia" w:ascii="宋体" w:hAnsi="宋体"/>
                <w:b/>
                <w:bCs/>
                <w:sz w:val="21"/>
                <w:szCs w:val="21"/>
              </w:rPr>
              <w:t>招标要求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1</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系统基本架构</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2U机架式，“2+1”系统结构，内外端机为TCP/IP网络协议的终点，阻断TCP/IP协议的直接贯通。内外端机之间采用专用硬件和专用协议进行连接，不可编程。网闸以软硬件结合的方式，有效地隔断内外网络间直接的连接，防止信息无限制交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2</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接口配置</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内网</w:t>
            </w:r>
            <w:r>
              <w:rPr>
                <w:rFonts w:hint="eastAsia" w:ascii="宋体" w:hAnsi="宋体"/>
                <w:lang w:val="en-US" w:eastAsia="zh-CN"/>
              </w:rPr>
              <w:t>不低于</w:t>
            </w:r>
            <w:r>
              <w:rPr>
                <w:rFonts w:hint="eastAsia" w:ascii="宋体" w:hAnsi="宋体"/>
              </w:rPr>
              <w:t>4个10/100/1000M RJ45接口，1个串口，2个USB口</w:t>
            </w:r>
          </w:p>
          <w:p>
            <w:pPr>
              <w:pStyle w:val="10"/>
              <w:jc w:val="left"/>
              <w:rPr>
                <w:rFonts w:ascii="宋体" w:hAnsi="宋体"/>
              </w:rPr>
            </w:pPr>
            <w:r>
              <w:rPr>
                <w:rFonts w:hint="eastAsia" w:ascii="宋体" w:hAnsi="宋体"/>
              </w:rPr>
              <w:t>外网</w:t>
            </w:r>
            <w:r>
              <w:rPr>
                <w:rFonts w:hint="eastAsia" w:ascii="宋体" w:hAnsi="宋体"/>
                <w:lang w:val="en-US" w:eastAsia="zh-CN"/>
              </w:rPr>
              <w:t>不低于</w:t>
            </w:r>
            <w:r>
              <w:rPr>
                <w:rFonts w:hint="eastAsia" w:ascii="宋体" w:hAnsi="宋体"/>
              </w:rPr>
              <w:t>4个10/100/1000M RJ45接口，1个串口，2个USB口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3</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性能指标</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网络吞吐量：</w:t>
            </w:r>
            <w:r>
              <w:rPr>
                <w:rFonts w:hint="eastAsia" w:ascii="宋体" w:hAnsi="宋体"/>
                <w:lang w:val="en-US" w:eastAsia="zh-CN"/>
              </w:rPr>
              <w:t>≥</w:t>
            </w:r>
            <w:r>
              <w:rPr>
                <w:rFonts w:hint="eastAsia" w:ascii="宋体" w:hAnsi="宋体"/>
              </w:rPr>
              <w:t>300Mbps</w:t>
            </w:r>
          </w:p>
          <w:p>
            <w:pPr>
              <w:pStyle w:val="10"/>
              <w:jc w:val="left"/>
              <w:rPr>
                <w:rFonts w:ascii="宋体" w:hAnsi="宋体"/>
              </w:rPr>
            </w:pPr>
            <w:r>
              <w:rPr>
                <w:rFonts w:hint="eastAsia" w:ascii="宋体" w:hAnsi="宋体"/>
              </w:rPr>
              <w:t>系统整体时延：&lt;5毫秒</w:t>
            </w:r>
          </w:p>
          <w:p>
            <w:pPr>
              <w:pStyle w:val="10"/>
              <w:jc w:val="left"/>
              <w:rPr>
                <w:rFonts w:ascii="宋体" w:hAnsi="宋体"/>
              </w:rPr>
            </w:pPr>
            <w:r>
              <w:rPr>
                <w:rFonts w:hint="eastAsia" w:ascii="宋体" w:hAnsi="宋体"/>
              </w:rPr>
              <w:t>所有协议通道并发连接数：45000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4</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安全上网功能</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支持WEB访问，支持HTTP协议应用的各种指令控制</w:t>
            </w:r>
          </w:p>
          <w:p>
            <w:pPr>
              <w:pStyle w:val="10"/>
              <w:jc w:val="left"/>
              <w:rPr>
                <w:rFonts w:ascii="宋体" w:hAnsi="宋体"/>
              </w:rPr>
            </w:pPr>
            <w:r>
              <w:rPr>
                <w:rFonts w:hint="eastAsia" w:ascii="宋体" w:hAnsi="宋体"/>
              </w:rPr>
              <w:t>支持HTTPS网络传输，并且可在该加密通道中分解出正常HTTPS网络应用，保障传输。同时可以屏蔽自由门等各类加密翻墙软件的传输。（提供功能截图证明）</w:t>
            </w:r>
          </w:p>
          <w:p>
            <w:pPr>
              <w:pStyle w:val="10"/>
              <w:jc w:val="left"/>
              <w:rPr>
                <w:rFonts w:ascii="宋体" w:hAnsi="宋体"/>
              </w:rPr>
            </w:pPr>
            <w:r>
              <w:rPr>
                <w:rFonts w:hint="eastAsia" w:ascii="宋体" w:hAnsi="宋体"/>
              </w:rPr>
              <w:t>其他过滤策略：文件类型、页面提交方式等。支持情景模式，能够控制用户上网以及服务器对外提供服务的具体时间</w:t>
            </w:r>
          </w:p>
          <w:p>
            <w:pPr>
              <w:pStyle w:val="10"/>
              <w:jc w:val="left"/>
              <w:rPr>
                <w:rFonts w:ascii="宋体" w:hAnsi="宋体"/>
              </w:rPr>
            </w:pPr>
            <w:r>
              <w:rPr>
                <w:rFonts w:hint="eastAsia" w:ascii="宋体" w:hAnsi="宋体"/>
              </w:rPr>
              <w:t>代理、透明和路由工作模式下均支持HTTP和HTTPS协议内部命令及命令参数控制策略。（提供功能截图证明）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5</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文件传输功能</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支持FTP文件传输协议，支持主动被动两种模式。支持FTP命令参数控制支持对传输文件的类型过滤。</w:t>
            </w:r>
          </w:p>
          <w:p>
            <w:pPr>
              <w:pStyle w:val="10"/>
              <w:jc w:val="left"/>
              <w:rPr>
                <w:rFonts w:ascii="宋体" w:hAnsi="宋体"/>
              </w:rPr>
            </w:pPr>
            <w:r>
              <w:rPr>
                <w:rFonts w:hint="eastAsia" w:ascii="宋体" w:hAnsi="宋体"/>
              </w:rPr>
              <w:t>代理、透明和路由工作模式下均支持FTP协议内部命令及命令参数控制策略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6</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文件同步功能</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提供专用文件同步客户端提供安全的文件同步功能</w:t>
            </w:r>
          </w:p>
          <w:p>
            <w:pPr>
              <w:pStyle w:val="10"/>
              <w:jc w:val="left"/>
              <w:rPr>
                <w:rFonts w:ascii="宋体" w:hAnsi="宋体"/>
              </w:rPr>
            </w:pPr>
            <w:r>
              <w:rPr>
                <w:rFonts w:hint="eastAsia" w:ascii="宋体" w:hAnsi="宋体"/>
              </w:rPr>
              <w:t>同步传输方向可控，双向或单向</w:t>
            </w:r>
          </w:p>
          <w:p>
            <w:pPr>
              <w:pStyle w:val="10"/>
              <w:jc w:val="left"/>
              <w:rPr>
                <w:rFonts w:ascii="宋体" w:hAnsi="宋体"/>
              </w:rPr>
            </w:pPr>
            <w:r>
              <w:rPr>
                <w:rFonts w:hint="eastAsia" w:ascii="宋体" w:hAnsi="宋体"/>
              </w:rPr>
              <w:t>支持一对多或多对一文件同步</w:t>
            </w:r>
          </w:p>
          <w:p>
            <w:pPr>
              <w:pStyle w:val="10"/>
              <w:jc w:val="left"/>
              <w:rPr>
                <w:rFonts w:ascii="宋体" w:hAnsi="宋体"/>
              </w:rPr>
            </w:pPr>
            <w:r>
              <w:rPr>
                <w:rFonts w:hint="eastAsia" w:ascii="宋体" w:hAnsi="宋体"/>
              </w:rPr>
              <w:t>支持文件变动实时同步、定时同步、系统资源空闲智能同步等多种同步方式</w:t>
            </w:r>
          </w:p>
          <w:p>
            <w:pPr>
              <w:pStyle w:val="10"/>
              <w:jc w:val="left"/>
              <w:rPr>
                <w:rFonts w:ascii="宋体" w:hAnsi="宋体"/>
              </w:rPr>
            </w:pPr>
            <w:r>
              <w:rPr>
                <w:rFonts w:hint="eastAsia" w:ascii="宋体" w:hAnsi="宋体"/>
              </w:rPr>
              <w:t>支持同步删除和同步覆盖策略配置，并能将同步删除和同步覆盖的文件备份到指定文件夹</w:t>
            </w:r>
          </w:p>
          <w:p>
            <w:pPr>
              <w:pStyle w:val="10"/>
              <w:jc w:val="left"/>
              <w:rPr>
                <w:rFonts w:ascii="宋体" w:hAnsi="宋体"/>
              </w:rPr>
            </w:pPr>
            <w:r>
              <w:rPr>
                <w:rFonts w:hint="eastAsia" w:ascii="宋体" w:hAnsi="宋体"/>
              </w:rPr>
              <w:t>支持文件同步容错策略和告警策略，同步出错能够自动重传并能够设置重传次数，出现异常同步状况能够终止同步弹出告警提示并记录日志。（提供功能截图证明）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7</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数据库访问功能</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提供对多种主流数据库,如：MYSQL、SQLSERVER、ORACLE、DB2、SYBASE等系统的安全访问</w:t>
            </w:r>
          </w:p>
          <w:p>
            <w:pPr>
              <w:pStyle w:val="10"/>
              <w:jc w:val="left"/>
              <w:rPr>
                <w:rFonts w:ascii="宋体" w:hAnsi="宋体"/>
              </w:rPr>
            </w:pPr>
            <w:r>
              <w:rPr>
                <w:rFonts w:hint="eastAsia" w:ascii="宋体" w:hAnsi="宋体"/>
              </w:rPr>
              <w:t>代理、透明和路由工作模式下均支持数据库内部命令及命令参数控制策略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8</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数据库同步功能</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基于专用客户端与网闸安全连接方式，提供多种主流数据库系统如：ORACLE、SQLSERVER、MYSQL、SYBASE、DB2等之间的同步</w:t>
            </w:r>
          </w:p>
          <w:p>
            <w:pPr>
              <w:pStyle w:val="10"/>
              <w:jc w:val="left"/>
              <w:rPr>
                <w:rFonts w:ascii="宋体" w:hAnsi="宋体"/>
              </w:rPr>
            </w:pPr>
            <w:r>
              <w:rPr>
                <w:rFonts w:hint="eastAsia" w:ascii="宋体" w:hAnsi="宋体"/>
              </w:rPr>
              <w:t>支持达梦、人大金仓等国产数据。（提供功能截图证明）</w:t>
            </w:r>
          </w:p>
          <w:p>
            <w:pPr>
              <w:pStyle w:val="10"/>
              <w:jc w:val="left"/>
              <w:rPr>
                <w:rFonts w:ascii="宋体" w:hAnsi="宋体"/>
              </w:rPr>
            </w:pPr>
            <w:r>
              <w:rPr>
                <w:rFonts w:hint="eastAsia" w:ascii="宋体" w:hAnsi="宋体"/>
              </w:rPr>
              <w:t>支持二进制普通文件、图片、文本文件及BLOB大字段同步。（提供功能截图证明）</w:t>
            </w:r>
          </w:p>
          <w:p>
            <w:pPr>
              <w:pStyle w:val="10"/>
              <w:jc w:val="left"/>
              <w:rPr>
                <w:rFonts w:ascii="宋体" w:hAnsi="宋体"/>
              </w:rPr>
            </w:pPr>
            <w:r>
              <w:rPr>
                <w:rFonts w:hint="eastAsia" w:ascii="宋体" w:hAnsi="宋体"/>
              </w:rPr>
              <w:t>支持数据一对一、一对多、多对多的单向或双向交换和同步</w:t>
            </w:r>
          </w:p>
          <w:p>
            <w:pPr>
              <w:pStyle w:val="10"/>
              <w:jc w:val="left"/>
              <w:rPr>
                <w:rFonts w:ascii="宋体" w:hAnsi="宋体"/>
              </w:rPr>
            </w:pPr>
            <w:r>
              <w:rPr>
                <w:rFonts w:hint="eastAsia" w:ascii="宋体" w:hAnsi="宋体"/>
              </w:rPr>
              <w:t>支持数据库实时同步或定时同步的策略定义</w:t>
            </w:r>
          </w:p>
          <w:p>
            <w:pPr>
              <w:pStyle w:val="10"/>
              <w:jc w:val="left"/>
              <w:rPr>
                <w:rFonts w:ascii="宋体" w:hAnsi="宋体"/>
              </w:rPr>
            </w:pPr>
            <w:r>
              <w:rPr>
                <w:rFonts w:hint="eastAsia" w:ascii="宋体" w:hAnsi="宋体"/>
              </w:rPr>
              <w:t>数据库同步传输不使用通用数据库服务端口例如1433、1521、3306等，保障数据库同步传输的安全性</w:t>
            </w:r>
          </w:p>
          <w:p>
            <w:pPr>
              <w:pStyle w:val="10"/>
              <w:jc w:val="left"/>
              <w:rPr>
                <w:rFonts w:ascii="宋体" w:hAnsi="宋体"/>
              </w:rPr>
            </w:pPr>
            <w:r>
              <w:rPr>
                <w:rFonts w:hint="eastAsia" w:ascii="宋体" w:hAnsi="宋体"/>
              </w:rPr>
              <w:t>支持灵活的数据冲突检测机制，当同步的数据记录发成冲突时，可以灵活处理出现冲突的数据记录</w:t>
            </w:r>
          </w:p>
          <w:p>
            <w:pPr>
              <w:pStyle w:val="10"/>
              <w:jc w:val="left"/>
              <w:rPr>
                <w:rFonts w:ascii="宋体" w:hAnsi="宋体"/>
              </w:rPr>
            </w:pPr>
            <w:r>
              <w:rPr>
                <w:rFonts w:hint="eastAsia" w:ascii="宋体" w:hAnsi="宋体"/>
              </w:rPr>
              <w:t>数据库同步高可靠性，即使发生网络故障，已变化数据也不会丢失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9</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管理配置</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管理采用C/S架构专有协议管理，网闸管理口无IP地址，管理主机也不必设置IP即可搜索到设备，管理设备，支持设备集中管理（提供功能截图证明）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10</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日志审计</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支持对所有访问进行日志记录，包括系统事件、成功事件、报警事件提供对日志信息的浏览、查询、删除、下载等多种操作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11</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△产品资质</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具备公安部计算机信息系统安全专用产品销售许可证书</w:t>
            </w:r>
          </w:p>
          <w:p>
            <w:pPr>
              <w:pStyle w:val="10"/>
              <w:jc w:val="left"/>
              <w:rPr>
                <w:rFonts w:ascii="宋体" w:hAnsi="宋体"/>
              </w:rPr>
            </w:pPr>
            <w:r>
              <w:rPr>
                <w:rFonts w:hint="eastAsia" w:ascii="宋体" w:hAnsi="宋体"/>
              </w:rPr>
              <w:t>具备信息安全认证中心中国国家信息安全产品认证证书</w:t>
            </w:r>
          </w:p>
        </w:tc>
      </w:tr>
    </w:tbl>
    <w:p>
      <w:pPr>
        <w:pStyle w:val="5"/>
        <w:numPr>
          <w:ilvl w:val="4"/>
          <w:numId w:val="0"/>
        </w:numPr>
        <w:ind w:leftChars="0"/>
      </w:pPr>
      <w:r>
        <w:rPr>
          <w:rFonts w:hint="eastAsia"/>
          <w:lang w:val="en-US" w:eastAsia="zh-CN"/>
        </w:rPr>
        <w:t>4.8.2.3.7.</w:t>
      </w:r>
      <w:r>
        <w:rPr>
          <w:rFonts w:hint="eastAsia"/>
        </w:rPr>
        <w:t>存储备份一体机</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874"/>
        <w:gridCol w:w="1693"/>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1"/>
                <w:szCs w:val="21"/>
              </w:rPr>
            </w:pPr>
            <w:r>
              <w:rPr>
                <w:rFonts w:hint="eastAsia" w:ascii="宋体" w:hAnsi="宋体"/>
                <w:b/>
                <w:bCs/>
                <w:sz w:val="21"/>
                <w:szCs w:val="21"/>
              </w:rPr>
              <w:t>序号</w:t>
            </w:r>
          </w:p>
        </w:tc>
        <w:tc>
          <w:tcPr>
            <w:tcW w:w="2567"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1"/>
                <w:szCs w:val="21"/>
              </w:rPr>
            </w:pPr>
            <w:r>
              <w:rPr>
                <w:rFonts w:hint="eastAsia" w:ascii="宋体" w:hAnsi="宋体"/>
                <w:b/>
                <w:bCs/>
                <w:sz w:val="21"/>
                <w:szCs w:val="21"/>
              </w:rPr>
              <w:t>指标项</w:t>
            </w:r>
          </w:p>
        </w:tc>
        <w:tc>
          <w:tcPr>
            <w:tcW w:w="6229" w:type="dxa"/>
            <w:tcBorders>
              <w:top w:val="single" w:color="auto" w:sz="4" w:space="0"/>
              <w:left w:val="nil"/>
              <w:bottom w:val="single" w:color="auto" w:sz="4" w:space="0"/>
              <w:right w:val="single" w:color="auto" w:sz="4" w:space="0"/>
            </w:tcBorders>
            <w:vAlign w:val="center"/>
          </w:tcPr>
          <w:p>
            <w:pPr>
              <w:jc w:val="center"/>
              <w:rPr>
                <w:rFonts w:ascii="宋体" w:hAnsi="宋体"/>
                <w:b/>
                <w:bCs/>
                <w:sz w:val="21"/>
                <w:szCs w:val="21"/>
              </w:rPr>
            </w:pPr>
            <w:r>
              <w:rPr>
                <w:rFonts w:hint="eastAsia" w:ascii="宋体" w:hAnsi="宋体"/>
                <w:b/>
                <w:bCs/>
                <w:sz w:val="21"/>
                <w:szCs w:val="21"/>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10"/>
              <w:jc w:val="center"/>
              <w:rPr>
                <w:rFonts w:ascii="宋体" w:hAnsi="宋体"/>
                <w:szCs w:val="21"/>
              </w:rPr>
            </w:pPr>
            <w:r>
              <w:rPr>
                <w:rFonts w:hint="eastAsia" w:ascii="宋体" w:hAnsi="宋体"/>
              </w:rPr>
              <w:t>1</w:t>
            </w:r>
          </w:p>
        </w:tc>
        <w:tc>
          <w:tcPr>
            <w:tcW w:w="874"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硬件要求</w:t>
            </w: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处理器</w:t>
            </w:r>
          </w:p>
        </w:tc>
        <w:tc>
          <w:tcPr>
            <w:tcW w:w="6229" w:type="dxa"/>
            <w:tcBorders>
              <w:top w:val="single" w:color="auto" w:sz="4" w:space="0"/>
              <w:left w:val="nil"/>
              <w:bottom w:val="single" w:color="auto" w:sz="4" w:space="0"/>
              <w:right w:val="single" w:color="auto" w:sz="4" w:space="0"/>
            </w:tcBorders>
            <w:shd w:val="clear" w:color="auto" w:fill="FFFFFF"/>
            <w:vAlign w:val="center"/>
          </w:tcPr>
          <w:p>
            <w:pPr>
              <w:pStyle w:val="10"/>
              <w:rPr>
                <w:rFonts w:ascii="宋体" w:hAnsi="宋体"/>
              </w:rPr>
            </w:pPr>
            <w:r>
              <w:rPr>
                <w:rFonts w:hint="eastAsia" w:ascii="宋体" w:hAnsi="宋体"/>
              </w:rPr>
              <w:t>不低于1*XEON E3-1230 V5（2.4G/6核12线程）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硬盘</w:t>
            </w:r>
          </w:p>
        </w:tc>
        <w:tc>
          <w:tcPr>
            <w:tcW w:w="6229" w:type="dxa"/>
            <w:tcBorders>
              <w:top w:val="single" w:color="auto" w:sz="4" w:space="0"/>
              <w:left w:val="nil"/>
              <w:bottom w:val="single" w:color="auto" w:sz="4" w:space="0"/>
              <w:right w:val="single" w:color="auto" w:sz="4" w:space="0"/>
            </w:tcBorders>
            <w:shd w:val="clear" w:color="auto" w:fill="FFFFFF"/>
            <w:vAlign w:val="center"/>
          </w:tcPr>
          <w:p>
            <w:pPr>
              <w:pStyle w:val="10"/>
              <w:rPr>
                <w:rFonts w:ascii="宋体" w:hAnsi="宋体"/>
              </w:rPr>
            </w:pPr>
            <w:r>
              <w:rPr>
                <w:rFonts w:hint="eastAsia" w:ascii="宋体" w:hAnsi="宋体"/>
              </w:rPr>
              <w:t>配置至少支持4个硬盘槽位配置4T企业级SATA。1*240GSSD用于系统安装，不占用外部存储槽位支持在线扩容，可通过后期在线添加磁盘和扩展磁盘柜的方式，进行备份介质容量的增加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内存</w:t>
            </w:r>
          </w:p>
        </w:tc>
        <w:tc>
          <w:tcPr>
            <w:tcW w:w="6229" w:type="dxa"/>
            <w:tcBorders>
              <w:top w:val="single" w:color="auto" w:sz="4" w:space="0"/>
              <w:left w:val="nil"/>
              <w:bottom w:val="single" w:color="auto" w:sz="4" w:space="0"/>
              <w:right w:val="single" w:color="auto" w:sz="4" w:space="0"/>
            </w:tcBorders>
            <w:shd w:val="clear" w:color="auto" w:fill="FFFFFF"/>
            <w:vAlign w:val="center"/>
          </w:tcPr>
          <w:p>
            <w:pPr>
              <w:pStyle w:val="10"/>
              <w:rPr>
                <w:rFonts w:ascii="宋体" w:hAnsi="宋体"/>
              </w:rPr>
            </w:pPr>
            <w:r>
              <w:rPr>
                <w:rFonts w:hint="eastAsia" w:ascii="宋体" w:hAnsi="宋体"/>
              </w:rPr>
              <w:t>不少于8GB RAM，最大可扩容64GB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网络接口</w:t>
            </w:r>
          </w:p>
        </w:tc>
        <w:tc>
          <w:tcPr>
            <w:tcW w:w="6229" w:type="dxa"/>
            <w:tcBorders>
              <w:top w:val="single" w:color="auto" w:sz="4" w:space="0"/>
              <w:left w:val="nil"/>
              <w:bottom w:val="single" w:color="auto" w:sz="4" w:space="0"/>
              <w:right w:val="single" w:color="auto" w:sz="4" w:space="0"/>
            </w:tcBorders>
            <w:shd w:val="clear" w:color="auto" w:fill="FFFFFF"/>
            <w:vAlign w:val="center"/>
          </w:tcPr>
          <w:p>
            <w:pPr>
              <w:pStyle w:val="10"/>
              <w:rPr>
                <w:rFonts w:ascii="宋体" w:hAnsi="宋体"/>
              </w:rPr>
            </w:pPr>
            <w:r>
              <w:rPr>
                <w:rFonts w:hint="eastAsia" w:ascii="宋体" w:hAnsi="宋体"/>
              </w:rPr>
              <w:t>不少于2个千兆网络端口，网络端口都可用且可分配不同的备份任务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2</w:t>
            </w:r>
          </w:p>
        </w:tc>
        <w:tc>
          <w:tcPr>
            <w:tcW w:w="874"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保护功能</w:t>
            </w: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平台兼容性</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支持Windows、Linux、UNIX、AIX、Solaris、 HP-UX等主流操作系统，以及龙芯、飞腾架构下中标麒麟、银河麒麟等自主可控操作系统，提供自主可控操作系统互认证证书复印件，并加盖公章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支持在天津飞腾自研FT-1500A芯片系列的硬件平台上部署备份服务，提供产品的兼容性认证证书复印件，并加盖公章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支持在华为自研的高性能低功耗ARM架构64位处理器的服务器上部署备份服务，提供产品的兼容互认证证书复印件，并加盖公章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平台安全性</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基于linux的备份存储专用系统，支持https方式登录，确保登录安全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文件保护</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支持在同一文件备份作业中采用多通道并发备份，提高备份和恢复的速度。（提供产品功能截图）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文件执行完全备份后的备份集，无需还原数据，直接通过挂载方式实现即时恢复。（提供产品功能截图）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支持文件合成备份，合成数据通过挂载方式实现即时恢复（提供产品功能截图）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分布式文件保护</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支持Hadoop 分布式文件系统（HDFS）的文件备份（完全备份、增量备份、合成备份）与恢复。（提供产品功能截图）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操作系统保护</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支持linux 和windows操作系统的备份及异机恢复，支持操作系统备份与恢复的UEFI引导方式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操作系统恢复过程中提供驱动程序更换界面，允许客户针对不同的驱动程序做调整。（提供产品功能截图）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支持基于龙芯3A/3B、飞腾1000/1500架构上的操作系统备份以及基于龙芯3A/3B的裸机恢复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支持把Windows 操作系统的备份数据直接生成为VMWare、KVM、H3C CAS等虚拟平台支持数据，通过挂载方式实现即时恢复。（提供产品功能截图）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数据库应用保护</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支持主流的数据库备份恢复，包括但不限于Oracle、 SQL Server、MySQL、Sybase、DB2、Informix、PostgreSQL、MongoDB、Exchange、SharePoint、Domino等主流数据库应用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MySQL的逻辑备份和物理备份（完全备份、增量备份、日志备份、连续日志备份），通过物理备份实现对数据库的热备份。支持MySQL基于物理备份的备份数据（非CDP备份数据），实现任意时间点的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支持采用ON-Bar方式实现对Informix的任意时间点备份/恢复，并支持自动配置ON-Bar的相关配置文件，以及设置自动日志备份。（提供产品功能截图）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支持国产主流的数据备份恢复，包括但不限于达梦（DM）、人大金仓（kingbase）、南大通用（GBase）、神州通用（ShenTong）等数据库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支持Oracle单个表和多个表在不同时间点上的恢复、支持对Exchange单邮件恢复；（提供产品功能截图）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支持对Oracle的日志进行详细解析，可以查看每条日志数据的实际执行内容，包括：时间、 SCN、 用户名、 表名、 操作类型、 SQL 语句等。在数据恢复作业中可以选择准确的SCN来确定数据恢复点。（提供产品功能截图）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针对Oracle中已经提交的事务，根据日志解析后得到的SQL语句，创建撤销处理，把数据回滚到事务提交前的状态。（提供产品功能截图）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支持对Oracle、MySQL的日志文件采用连续日志备份方式，持续监控日志文件的变化情况，即时把新增日志的数据块进行备份，实现对数据库变化数据达到秒级以内的备份保护。（提供产品功能截图）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支持Oracle、SQL Server、MySQL等合成备份，不用周期性执行全量备份，只需把增量数据合并到已存储的全量数据，就可生成新的全量数据，合成后的备份数据通过挂载方式实现即时恢复，极大缩短数据恢复的时间窗口。（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支持Oracle数据库的逻辑备份，以非脚本方式实现导入/导出功能（提供产品功能截图）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产品必须支持Oracle RAC 在内的多种集群环境的数据备份，支持RAC集群环境向备用机的恢复，只需通过web向导界面即可完成配置，无须手工修改rman脚本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 SQL Server Always On Availability Groups 的备份和恢复。（提供产品功能截图）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在同一DB2的作业配置中，支持自定义配置多通道并行数据传输，提升数据备份或恢复效率。（提供产品功能截图）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在作业配置向导界面中提供时间导轨滚动条，通过拉动滚动条，提供以秒为进度单位来选定恢复时间点，实现数据库可以在任意时间点上的恢复。（提供产品功能截图）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3</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实时保护</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支持CDP实时容灾功能，可实现秒级内的数据实时容灾。在恢复时支持通过挂载方式实现任意时间点的即时恢复（提供产品功能截图）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数据库采用基于应用层（非物理IO同步方式）数据同步技术实现业务容灾，支持主从切换、继续同步等灵活功能。容灾主机可在线激活，承担业务数据查询等功能，并能够继续同步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 Oracle RAC 在内的多种集群环境下的数据库主备切换、应用接管。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4</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云平台保护</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支持VMware、Hyper-V、Xenserver、Xen、KVM、FusionSphere、H3C CAS、OpenStack、CNware等虚拟机的备份恢复（不能采用guest host 操作系统备份恢复方式）。（提供产品功能截图）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针对Vmware、Hyper-V、H3C CAS等虚拟化平台，支持通过挂载方式实现虚拟机的即时恢复。（提供产品功能截图）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Vmware平台虚拟机备份，恢复时可恢复虚拟机网络标签及IP地址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支持VMWare策略化配置合成备份。（提供产品功能截图）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支持备份产品和VMWare vCenter平台信息联动，在VMWare vCenter的管理界面上可以直接查看备份产品中虚拟机备份任务的状态。（提供产品功能截图）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支持KVM、H3C CAS、XenServer、CNware等虚拟平台下虚拟机的差异备份。（提供产品功能截图）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5</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高可用支持</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可支持共享型存储和镜像型存储的高可用集群，可支持一主多备模式集群（提供产品功能截图）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6</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重复数据删除</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支持固定块、变长块的数据重删技术，在创建重删存储空间时，需要提供变长和固定数据的数据块大小选择。（提供产品功能截图）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支持对操作系统、文件、各种数据库与虚拟机等备份集的重复数据删除功能。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7</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远程复制</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支持catalog、备份集等备份数据的异地容灾，即通过异地存储的备份数据，对本地、异地中备份服务器、存储服务器、代理端等设备，实现在本机或异机上进行恢复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支持备份任务执行时，采用接龙式的点到点复制方式，实现备份集在存储服务器中的多份同步复制，避免源端服务器在备份集进行1对多并发复制时造成的占用多倍传输资源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8</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磁带支持</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支持LAN-free备份架构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提供对文件、操作系统、数据库、应用软件、虚拟化的备份保护，支持D2T和D2D2T模式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9</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数据加密</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支持AES、Blowfish等加密算法。对于AES加密需要支持选择不同密钥长度，以便用户根据源端计算资源情况选择合适的数据加密处理。（提供产品功能截图）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10</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云端备份</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基于对象存储技术，支持采用D2C方式，把本地数据备份到云平台，实现本地与云端数据的协同保护，云平台包括但不限于：亚马逊云、阿里云、微软云、百度云、腾讯云、华为云、新浪云、天翼云、金山云等。（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11</w:t>
            </w:r>
          </w:p>
        </w:tc>
        <w:tc>
          <w:tcPr>
            <w:tcW w:w="874"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可用性</w:t>
            </w: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可用性验证</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支持对Oracle、SQL Server、MySQL、DB2、PostgreSQL、Informix、Sybase、达梦、Kingbase、Gbase、Domino等主流数据库的备份集进行定时容灾演练，以此检验备份集的可用性。（提供产品功能截图）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12</w:t>
            </w:r>
          </w:p>
        </w:tc>
        <w:tc>
          <w:tcPr>
            <w:tcW w:w="874"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可管理性</w:t>
            </w: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管理方式</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采用先进的运维管理架构，平台同时兼容备份、CDP、高可用、数据库同步等功能要求，所有功能的管理和监控，都在备份软件中采用同一可视化界面实现。（提供产品功能截图）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智能报表，能够自定义报表。自主选择字段来源以及需要显示的字段等，并能够自定义新字段。支持筛选，排序等动作。（提供产品功能截图）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支持自定义启动需要审批的业务流程，包括创建存储空间、创建备份作业、创建恢复作业等，对需要审批的业务提供审批流程管理。（提供产品功能截图）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支持同一存储空间中通过添加多个存储（介质）服务器，把存储容量进行合并，达到备份数据存储空间的平滑扩展。（提供产品功能截图）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支持对存储大小、主机、资源、作业速度、作业耗时等备份相关资源进行图形统计，并根据存储使用趋势提供存储空间的使用建议。（提供产品功能截图）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告警方式</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支持以邮件告警的方式，针对于备份存储系统的硬件故障、软件故障等等信息及时通知管理员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8" w:hRule="atLeast"/>
        </w:trPr>
        <w:tc>
          <w:tcPr>
            <w:tcW w:w="832" w:type="dxa"/>
            <w:vMerge w:val="restart"/>
            <w:tcBorders>
              <w:top w:val="nil"/>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13</w:t>
            </w:r>
          </w:p>
        </w:tc>
        <w:tc>
          <w:tcPr>
            <w:tcW w:w="874"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资质</w:t>
            </w: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产品资质证书</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 xml:space="preserve"> 投标产品必须具有由公安部颁发的《安全产品销售许可证》（提供证书复印件）</w:t>
            </w:r>
          </w:p>
          <w:p>
            <w:pPr>
              <w:pStyle w:val="10"/>
              <w:rPr>
                <w:rFonts w:ascii="宋体" w:hAnsi="宋体"/>
              </w:rPr>
            </w:pPr>
            <w:r>
              <w:rPr>
                <w:rFonts w:hint="eastAsia" w:ascii="宋体" w:hAnsi="宋体"/>
              </w:rPr>
              <w:t xml:space="preserve">  投标产品必须具有国家保密科技测评中心颁发的《涉密信息系统产品检测证书》（提供证书复印件）</w:t>
            </w:r>
          </w:p>
          <w:p>
            <w:pPr>
              <w:pStyle w:val="10"/>
              <w:rPr>
                <w:rFonts w:ascii="宋体" w:hAnsi="宋体"/>
              </w:rPr>
            </w:pPr>
            <w:r>
              <w:rPr>
                <w:rFonts w:hint="eastAsia" w:ascii="宋体" w:hAnsi="宋体"/>
              </w:rPr>
              <w:t xml:space="preserve"> 投标产品必须具有中国信息安全认证中心颁发的《中国国家信息安全产品认证证书》（提供复印件）</w:t>
            </w:r>
          </w:p>
          <w:p>
            <w:pPr>
              <w:pStyle w:val="10"/>
              <w:rPr>
                <w:rFonts w:ascii="宋体" w:hAnsi="宋体"/>
              </w:rPr>
            </w:pPr>
            <w:r>
              <w:rPr>
                <w:rFonts w:hint="eastAsia" w:ascii="宋体" w:hAnsi="宋体"/>
              </w:rPr>
              <w:t xml:space="preserve"> 投标产品必须具有国家版权局颁发的软件著作权证书。（提供证书复印件）</w:t>
            </w:r>
          </w:p>
          <w:p>
            <w:pPr>
              <w:pStyle w:val="10"/>
              <w:rPr>
                <w:rFonts w:ascii="宋体" w:hAnsi="宋体"/>
              </w:rPr>
            </w:pPr>
            <w:r>
              <w:rPr>
                <w:rFonts w:hint="eastAsia" w:ascii="宋体" w:hAnsi="宋体"/>
              </w:rPr>
              <w:t xml:space="preserve"> 提供商用密码产品生产定点单位证书（提供证书复印件）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操作系统认证</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投标产品中内置操作系统部件需要得到操作系统厂商的认证，要求提供官网截图加盖公章，并在官网可查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节能认证</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 xml:space="preserve">备份容灾产品具有中国质量认证中心颁发的《中国节能产品认证证书》 </w:t>
            </w:r>
          </w:p>
          <w:p>
            <w:pPr>
              <w:pStyle w:val="10"/>
              <w:rPr>
                <w:rFonts w:ascii="宋体" w:hAnsi="宋体"/>
              </w:rPr>
            </w:pPr>
            <w:r>
              <w:rPr>
                <w:rFonts w:hint="eastAsia" w:ascii="宋体" w:hAnsi="宋体"/>
              </w:rPr>
              <w:t>备份容灾产品列入中国政府采购网节能产品政府采购清单（提供官网下载链接以及清单截图并加盖公章）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商标注册</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 xml:space="preserve">为了核实投标产品是正版产品，投标产品需具有商标局颁发的《商标注册证》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项目人员认证</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供应商必须具有4名以上获得工信部容灾备份管理师证书的工程师；提供用工合同证明和管理师证书的扫描件或复印件，以保证项目的顺利实施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产品兼容认证</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为保障项目投资，投标产品应获得国产数据库（南大通用、神舟通用、人大金仓、达梦、星瑞格）、国产操作系统（中标麒麟、银河麒麟、红旗Linux、深度、浪潮、普华）、国产云平台（华为FusionSphere、华三CAS、EasyStack ECS、云宏CNware）、国产服务器（中科曙光、龙芯、天津飞腾、华为ARM）等国产产品及厂商的认证证书，需提供证书复印件，并加盖公章，满足后续国产化要求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投标产品通过Oracle 公司颁发的BSP资质认证，要求提供Oracle官网截图加盖公章，并在Oracle官网可查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投标产品通过 VMware Ready Application Software 的认证，要求提供VMware官网截图加盖公章，并在VMware官网可查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投标产品通过 Citrix Ready 的认证，要求提供 Citrix 官网截图加盖公章，并在 Citrix 官网可查</w:t>
            </w:r>
          </w:p>
        </w:tc>
      </w:tr>
    </w:tbl>
    <w:p>
      <w:pPr>
        <w:ind w:firstLine="480"/>
        <w:rPr>
          <w:szCs w:val="28"/>
        </w:rPr>
      </w:pPr>
      <w:r>
        <w:rPr>
          <w:rFonts w:hint="eastAsia"/>
        </w:rPr>
        <w:t xml:space="preserve"> </w:t>
      </w:r>
    </w:p>
    <w:p>
      <w:pPr>
        <w:pStyle w:val="5"/>
        <w:numPr>
          <w:ilvl w:val="4"/>
          <w:numId w:val="0"/>
        </w:numPr>
        <w:ind w:leftChars="0"/>
      </w:pPr>
      <w:r>
        <w:rPr>
          <w:rFonts w:hint="eastAsia"/>
          <w:lang w:val="en-US" w:eastAsia="zh-CN"/>
        </w:rPr>
        <w:t>4.8.2.3.8.</w:t>
      </w:r>
      <w:r>
        <w:rPr>
          <w:rFonts w:hint="eastAsia"/>
        </w:rPr>
        <w:t>防病毒软件</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847"/>
        <w:gridCol w:w="8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b/>
                <w:bCs/>
                <w:sz w:val="21"/>
                <w:szCs w:val="21"/>
              </w:rPr>
            </w:pPr>
            <w:r>
              <w:rPr>
                <w:rFonts w:hint="eastAsia" w:ascii="宋体" w:hAnsi="宋体"/>
                <w:b/>
                <w:bCs/>
                <w:sz w:val="21"/>
                <w:szCs w:val="21"/>
              </w:rPr>
              <w:t>序号</w:t>
            </w:r>
          </w:p>
        </w:tc>
        <w:tc>
          <w:tcPr>
            <w:tcW w:w="847" w:type="dxa"/>
            <w:tcBorders>
              <w:top w:val="single" w:color="auto" w:sz="4" w:space="0"/>
              <w:left w:val="nil"/>
              <w:bottom w:val="single" w:color="auto" w:sz="4" w:space="0"/>
              <w:right w:val="single" w:color="auto" w:sz="4" w:space="0"/>
            </w:tcBorders>
            <w:shd w:val="clear" w:color="auto" w:fill="FFFFFF"/>
            <w:vAlign w:val="center"/>
          </w:tcPr>
          <w:p>
            <w:pPr>
              <w:pStyle w:val="10"/>
              <w:rPr>
                <w:rFonts w:ascii="宋体" w:hAnsi="宋体"/>
                <w:b/>
                <w:bCs/>
                <w:szCs w:val="21"/>
              </w:rPr>
            </w:pPr>
            <w:r>
              <w:rPr>
                <w:rFonts w:hint="eastAsia" w:ascii="宋体" w:hAnsi="宋体"/>
                <w:b/>
                <w:bCs/>
              </w:rPr>
              <w:t>指标项</w:t>
            </w:r>
          </w:p>
        </w:tc>
        <w:tc>
          <w:tcPr>
            <w:tcW w:w="8003" w:type="dxa"/>
            <w:tcBorders>
              <w:top w:val="single" w:color="auto" w:sz="4" w:space="0"/>
              <w:left w:val="nil"/>
              <w:bottom w:val="single" w:color="auto" w:sz="4" w:space="0"/>
              <w:right w:val="single" w:color="auto" w:sz="4" w:space="0"/>
            </w:tcBorders>
            <w:shd w:val="clear" w:color="auto" w:fill="FFFFFF"/>
            <w:vAlign w:val="center"/>
          </w:tcPr>
          <w:p>
            <w:pPr>
              <w:pStyle w:val="10"/>
              <w:ind w:firstLine="361"/>
              <w:jc w:val="center"/>
              <w:rPr>
                <w:rFonts w:ascii="宋体" w:hAnsi="宋体"/>
                <w:b/>
                <w:bCs/>
              </w:rPr>
            </w:pPr>
            <w:r>
              <w:rPr>
                <w:rFonts w:hint="eastAsia" w:ascii="宋体" w:hAnsi="宋体"/>
                <w:b/>
                <w:bCs/>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847" w:type="dxa"/>
            <w:vMerge w:val="restart"/>
            <w:tcBorders>
              <w:top w:val="nil"/>
              <w:left w:val="nil"/>
              <w:bottom w:val="single" w:color="auto" w:sz="4" w:space="0"/>
              <w:right w:val="single" w:color="auto" w:sz="4" w:space="0"/>
            </w:tcBorders>
            <w:vAlign w:val="center"/>
          </w:tcPr>
          <w:p>
            <w:pPr>
              <w:pStyle w:val="10"/>
              <w:rPr>
                <w:rFonts w:ascii="宋体" w:hAnsi="宋体"/>
                <w:szCs w:val="21"/>
              </w:rPr>
            </w:pPr>
            <w:r>
              <w:rPr>
                <w:rFonts w:hint="eastAsia" w:ascii="宋体" w:hAnsi="宋体"/>
              </w:rPr>
              <w:t>安装部署</w:t>
            </w: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管理端支持全中文界面，纯B/S架构，无需安装客户端软件。管理员只需通过浏览器登陆控制中心，即可对虚拟机进行管理。防病毒的病毒查杀支持多引擎的协同工作对病毒、木马、恶意软件、引导区病毒、BIOS病毒等进行查杀，提供主动防御系统防护等功能</w:t>
            </w:r>
          </w:p>
          <w:p>
            <w:pPr>
              <w:pStyle w:val="10"/>
              <w:rPr>
                <w:rFonts w:ascii="宋体" w:hAnsi="宋体"/>
              </w:rPr>
            </w:pPr>
            <w:r>
              <w:rPr>
                <w:rFonts w:hint="eastAsia" w:ascii="宋体" w:hAnsi="宋体"/>
              </w:rPr>
              <w:t>客户端默认支持WindowsXP/VISTA/WIN7/WIN8/WIN10，含三年升级许可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客户端资源占用应小于50MB，有效节省终端资源使用率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至少支持WindowsXP、Windows 7、Windows 8、Windows 10等32位/64位操作系统，同时并支持Windows2003、Windows2008、Windows2012等32位/64位服务器操作系统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2</w:t>
            </w:r>
          </w:p>
        </w:tc>
        <w:tc>
          <w:tcPr>
            <w:tcW w:w="847" w:type="dxa"/>
            <w:vMerge w:val="restart"/>
            <w:tcBorders>
              <w:top w:val="nil"/>
              <w:left w:val="nil"/>
              <w:bottom w:val="single" w:color="auto" w:sz="4" w:space="0"/>
              <w:right w:val="single" w:color="auto" w:sz="4" w:space="0"/>
            </w:tcBorders>
            <w:vAlign w:val="center"/>
          </w:tcPr>
          <w:p>
            <w:pPr>
              <w:pStyle w:val="10"/>
              <w:rPr>
                <w:rFonts w:ascii="宋体" w:hAnsi="宋体"/>
                <w:szCs w:val="21"/>
              </w:rPr>
            </w:pPr>
            <w:r>
              <w:rPr>
                <w:rFonts w:hint="eastAsia" w:ascii="宋体" w:hAnsi="宋体"/>
              </w:rPr>
              <w:t>管理控制</w:t>
            </w: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全网威胁统计分析管理控制台可直观的展示病毒趋势统计、终端信息、病毒类型排行、病毒排行、终端危险排行等统计情况。并随时对网络中病毒发生的情况进行查询统计，能按时间、按IP地址、机器名、按病毒名称、病毒类型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管理控制台支持实时显示客户端的状态，包括机器名称、IP地址、mac地址、操作系统、显卡信息、内存大小、连接状态、监控状态、当前版本信息和物理位置等信息。（提供功能截图证明）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支持对防病毒客户端进行分组，根据不同的组别可以设定不同的策略和执行不同的任务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支持对全网进行集中的管理和任务下发，可以通过控制台立即给客户端发送命令，包括立即杀毒、立即升级、关机、重启、显示消息等，而不需要通过建立策略方式实现，从而简化和方便了管理员的管理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管理控制台支持通知客户端立即升级、强制更新、客户端主动升级等方式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支持客户端防删功能，能够防止客户端在未经管理员允许情况下强行卸载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shd w:val="clear" w:color="auto" w:fill="FFFFFF"/>
            <w:vAlign w:val="center"/>
          </w:tcPr>
          <w:p>
            <w:pPr>
              <w:pStyle w:val="10"/>
              <w:rPr>
                <w:rFonts w:ascii="宋体" w:hAnsi="宋体"/>
              </w:rPr>
            </w:pPr>
            <w:r>
              <w:rPr>
                <w:rFonts w:hint="eastAsia" w:ascii="宋体" w:hAnsi="宋体"/>
              </w:rPr>
              <w:t>支持客户端未开机的全网查杀策略设置，在客户端下次启动时策略补做功能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支持分级管理及多管理员权限划分，如：超级管理员，操作管理员。同时管理控制台支持自定义管理员权限设定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管理控制台支持对客户端的系统操作行为进行记录功能，便于管理员对用户操作审查和分析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支持客户端威胁日志信息上报统计功能，包含终端危险排行统计、防御类型分布统计、病毒类型分布统计、病毒排行统计等，支持图表显示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报表内容必须包括御类型分析、病毒类型分析、病毒排行、终端杀毒排行、病毒趋势统计、黑客拦截、对外攻击分析。支持威胁Top10、Top20、Top30排行。（提供功能截图证明）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报表应该可以通过表格以及图形方式进行展现，支持将生成的报表以Excel、word、HTML、PDF等通用格式输出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支持按日、周、月定期推送报表功能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控制台支持恶意网站拦截、浏览器保护、恶意行为、文件保护、下载保护、黑客拦截、系统加固、U盘防护、邮件监控、白名单等策略下发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管理控制台支持预制策略功能，保障新安装客户端自动应用组策略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3</w:t>
            </w:r>
          </w:p>
        </w:tc>
        <w:tc>
          <w:tcPr>
            <w:tcW w:w="847" w:type="dxa"/>
            <w:vMerge w:val="restart"/>
            <w:tcBorders>
              <w:top w:val="nil"/>
              <w:left w:val="nil"/>
              <w:bottom w:val="single" w:color="auto" w:sz="4" w:space="0"/>
              <w:right w:val="single" w:color="auto" w:sz="4" w:space="0"/>
            </w:tcBorders>
            <w:vAlign w:val="center"/>
          </w:tcPr>
          <w:p>
            <w:pPr>
              <w:pStyle w:val="10"/>
              <w:rPr>
                <w:rFonts w:ascii="宋体" w:hAnsi="宋体"/>
                <w:szCs w:val="21"/>
              </w:rPr>
            </w:pPr>
            <w:r>
              <w:rPr>
                <w:rFonts w:hint="eastAsia" w:ascii="宋体" w:hAnsi="宋体"/>
              </w:rPr>
              <w:t>客户端防护</w:t>
            </w: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至少支持对终端电脑内部文件进行全盘扫描、快速扫描，自定义扫描三种扫描能力。并具备空闲查杀、异步查杀、断点查杀、后台查杀等功能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支持扫描和清除各种广告软件、恶意插件、隐蔽软件、黑客工具、风险程序等等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支持Office/IE/Lotus Notes等嵌入杀毒；支持用户添加嵌入杀毒的应用程序；支持MSN Messenger、AOL Messenger、FlashGet、NetAnts、NetVampire、WinZip、WellGet、WinRAR等工具的嵌入式杀毒功能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支持未知病毒、恶意代码的防范能力，支持基于行为的检测和防护技术：针对未知恶意威胁具有行为评分能力，智能识别蠕虫木马，无需提示用户操作判断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支持病毒查杀时目录排出功能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支持U盘扫描检查功能，防止病毒通过U盘在终端传播有效保护终端不受病毒侵扰。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支持对网页进行病毒、木马进行监测及防护，对可能产生威胁的网页进行提示或屏蔽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支持客户端对外攻击检测，防止用户终端感染病毒后的对外对外攻击行为，避免用户的利益受到损害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能够实时监控和清除来自各种途径的病毒、木马、恶意程序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支持对终端内文件、邮件、网页一体化实时监控，防止病毒运行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支持基于SMTP/POP3协议的邮件监控，包括如：Outlook、Outlook Express、foxmail、DreamMail等邮件客户端的防（杀）病毒。（提供功能截图证明）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支持可疑文件上报功能，如果用户觉得某个文件比较可疑，可将此文件上报给病毒管控中心进行检查分析和处理，并将情报全网共享。（提供功能截图证明）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4</w:t>
            </w:r>
          </w:p>
        </w:tc>
        <w:tc>
          <w:tcPr>
            <w:tcW w:w="847" w:type="dxa"/>
            <w:tcBorders>
              <w:top w:val="single" w:color="auto" w:sz="4" w:space="0"/>
              <w:left w:val="nil"/>
              <w:bottom w:val="single" w:color="auto" w:sz="4" w:space="0"/>
              <w:right w:val="single" w:color="auto" w:sz="4" w:space="0"/>
            </w:tcBorders>
            <w:vAlign w:val="center"/>
          </w:tcPr>
          <w:p>
            <w:pPr>
              <w:pStyle w:val="10"/>
              <w:rPr>
                <w:rFonts w:ascii="宋体" w:hAnsi="宋体"/>
                <w:szCs w:val="21"/>
              </w:rPr>
            </w:pPr>
            <w:r>
              <w:rPr>
                <w:rFonts w:hint="eastAsia" w:ascii="宋体" w:hAnsi="宋体"/>
              </w:rPr>
              <w:t>产品资质</w:t>
            </w: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具备公安部颁发的《计算机信息系统安全专用产品销售许可证(一级)》</w:t>
            </w:r>
          </w:p>
          <w:p>
            <w:pPr>
              <w:pStyle w:val="10"/>
              <w:rPr>
                <w:rFonts w:ascii="宋体" w:hAnsi="宋体"/>
              </w:rPr>
            </w:pPr>
            <w:r>
              <w:rPr>
                <w:rFonts w:hint="eastAsia" w:ascii="宋体" w:hAnsi="宋体"/>
              </w:rPr>
              <w:t>具备国家版权局颁发的《计算机软件著作权登记证书》</w:t>
            </w:r>
          </w:p>
        </w:tc>
      </w:tr>
    </w:tbl>
    <w:p>
      <w:pPr>
        <w:numPr>
          <w:ilvl w:val="0"/>
          <w:numId w:val="0"/>
        </w:numPr>
        <w:rPr>
          <w:rFonts w:hint="eastAsia"/>
          <w:sz w:val="32"/>
          <w:szCs w:val="32"/>
          <w:lang w:val="en-US" w:eastAsia="zh-CN"/>
        </w:rPr>
      </w:pPr>
    </w:p>
    <w:p>
      <w:pPr>
        <w:numPr>
          <w:ilvl w:val="0"/>
          <w:numId w:val="0"/>
        </w:numPr>
        <w:rPr>
          <w:rFonts w:hint="eastAsia"/>
          <w:sz w:val="32"/>
          <w:szCs w:val="32"/>
          <w:lang w:val="en-US" w:eastAsia="zh-CN"/>
        </w:rPr>
      </w:pPr>
      <w:r>
        <w:rPr>
          <w:rFonts w:hint="eastAsia"/>
          <w:sz w:val="32"/>
          <w:szCs w:val="32"/>
          <w:lang w:val="en-US" w:eastAsia="zh-CN"/>
        </w:rPr>
        <w:t>修改后</w:t>
      </w:r>
    </w:p>
    <w:p>
      <w:pPr>
        <w:pStyle w:val="5"/>
        <w:numPr>
          <w:ilvl w:val="4"/>
          <w:numId w:val="0"/>
        </w:numPr>
        <w:ind w:leftChars="0"/>
      </w:pPr>
      <w:r>
        <w:rPr>
          <w:rFonts w:hint="eastAsia"/>
          <w:lang w:val="en-US" w:eastAsia="zh-CN"/>
        </w:rPr>
        <w:t>4.8.2.3.4.</w:t>
      </w:r>
      <w:r>
        <w:rPr>
          <w:rFonts w:hint="eastAsia"/>
        </w:rPr>
        <w:t>外网网闸</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731"/>
        <w:gridCol w:w="7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rPr>
            </w:pPr>
            <w:r>
              <w:rPr>
                <w:rFonts w:hint="eastAsia" w:ascii="宋体" w:hAnsi="宋体"/>
                <w:b/>
                <w:bCs/>
                <w:sz w:val="21"/>
                <w:szCs w:val="21"/>
              </w:rPr>
              <w:t>序号</w:t>
            </w:r>
          </w:p>
        </w:tc>
        <w:tc>
          <w:tcPr>
            <w:tcW w:w="1731" w:type="dxa"/>
            <w:tcBorders>
              <w:top w:val="single" w:color="auto" w:sz="4" w:space="0"/>
              <w:left w:val="nil"/>
              <w:bottom w:val="single" w:color="auto" w:sz="4" w:space="0"/>
              <w:right w:val="single" w:color="auto" w:sz="4" w:space="0"/>
            </w:tcBorders>
            <w:vAlign w:val="center"/>
          </w:tcPr>
          <w:p>
            <w:pPr>
              <w:pStyle w:val="10"/>
              <w:ind w:firstLine="361"/>
              <w:jc w:val="center"/>
              <w:rPr>
                <w:rFonts w:ascii="宋体" w:hAnsi="宋体"/>
                <w:b/>
                <w:bCs/>
              </w:rPr>
            </w:pPr>
            <w:r>
              <w:rPr>
                <w:rFonts w:hint="eastAsia" w:ascii="宋体" w:hAnsi="宋体"/>
                <w:b/>
                <w:bCs/>
              </w:rPr>
              <w:t>指标项</w:t>
            </w:r>
          </w:p>
        </w:tc>
        <w:tc>
          <w:tcPr>
            <w:tcW w:w="7161" w:type="dxa"/>
            <w:tcBorders>
              <w:top w:val="single" w:color="auto" w:sz="4" w:space="0"/>
              <w:left w:val="nil"/>
              <w:bottom w:val="single" w:color="auto" w:sz="4" w:space="0"/>
              <w:right w:val="single" w:color="auto" w:sz="4" w:space="0"/>
            </w:tcBorders>
            <w:vAlign w:val="center"/>
          </w:tcPr>
          <w:p>
            <w:pPr>
              <w:pStyle w:val="10"/>
              <w:ind w:firstLine="361"/>
              <w:jc w:val="center"/>
              <w:rPr>
                <w:rFonts w:ascii="宋体" w:hAnsi="宋体"/>
                <w:b/>
                <w:bCs/>
              </w:rPr>
            </w:pPr>
            <w:r>
              <w:rPr>
                <w:rFonts w:hint="eastAsia" w:ascii="宋体" w:hAnsi="宋体"/>
                <w:b/>
                <w:bCs/>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1</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系统基本架构</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2U机架式，“2+1”系统结构，内外端机为TCP/IP网络协议的终点，阻断TCP/IP协议的直接贯通。内外端机之间采用专用硬件和专用协议进行连接，不可编程。网闸以软硬件结合的方式，有效地隔断内外网络间直接的连接，防止信息无限制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2</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接口配置</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内网：</w:t>
            </w:r>
            <w:r>
              <w:rPr>
                <w:rFonts w:hint="eastAsia" w:ascii="宋体" w:hAnsi="宋体"/>
                <w:szCs w:val="21"/>
              </w:rPr>
              <w:t>不低于</w:t>
            </w:r>
            <w:r>
              <w:rPr>
                <w:rFonts w:hint="eastAsia" w:ascii="宋体" w:hAnsi="宋体"/>
              </w:rPr>
              <w:t>4个10/100/1000M RJ45接口，1个串口，2个USB口</w:t>
            </w:r>
          </w:p>
          <w:p>
            <w:pPr>
              <w:pStyle w:val="10"/>
              <w:jc w:val="left"/>
              <w:rPr>
                <w:rFonts w:ascii="宋体" w:hAnsi="宋体"/>
              </w:rPr>
            </w:pPr>
            <w:r>
              <w:rPr>
                <w:rFonts w:hint="eastAsia" w:ascii="宋体" w:hAnsi="宋体"/>
              </w:rPr>
              <w:t>外网：</w:t>
            </w:r>
            <w:r>
              <w:rPr>
                <w:rFonts w:hint="eastAsia" w:ascii="宋体" w:hAnsi="宋体"/>
                <w:szCs w:val="21"/>
              </w:rPr>
              <w:t>不低于</w:t>
            </w:r>
            <w:r>
              <w:rPr>
                <w:rFonts w:hint="eastAsia" w:ascii="宋体" w:hAnsi="宋体"/>
              </w:rPr>
              <w:t>4个10/100/1000M RJ45接口，1个串口，2个USB口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3</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性能指标</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网络吞吐量：</w:t>
            </w:r>
            <w:r>
              <w:rPr>
                <w:rFonts w:hint="eastAsia" w:ascii="宋体" w:hAnsi="宋体"/>
                <w:szCs w:val="21"/>
              </w:rPr>
              <w:t>不低于</w:t>
            </w:r>
            <w:r>
              <w:rPr>
                <w:rFonts w:hint="eastAsia" w:ascii="宋体" w:hAnsi="宋体"/>
              </w:rPr>
              <w:t>300Mbps</w:t>
            </w:r>
          </w:p>
          <w:p>
            <w:pPr>
              <w:pStyle w:val="10"/>
              <w:jc w:val="left"/>
              <w:rPr>
                <w:rFonts w:ascii="宋体" w:hAnsi="宋体"/>
              </w:rPr>
            </w:pPr>
            <w:r>
              <w:rPr>
                <w:rFonts w:hint="eastAsia" w:ascii="宋体" w:hAnsi="宋体"/>
              </w:rPr>
              <w:t>系统整体时延：&lt;5毫秒</w:t>
            </w:r>
          </w:p>
          <w:p>
            <w:pPr>
              <w:pStyle w:val="10"/>
              <w:jc w:val="left"/>
              <w:rPr>
                <w:rFonts w:hint="eastAsia" w:ascii="宋体" w:hAnsi="宋体" w:eastAsia="宋体"/>
                <w:lang w:val="en-US" w:eastAsia="zh-CN"/>
              </w:rPr>
            </w:pPr>
            <w:r>
              <w:rPr>
                <w:rFonts w:hint="eastAsia" w:ascii="宋体" w:hAnsi="宋体"/>
              </w:rPr>
              <w:t>所有协议通道并发连接数：</w:t>
            </w:r>
            <w:r>
              <w:rPr>
                <w:rFonts w:hint="eastAsia" w:ascii="宋体" w:hAnsi="宋体"/>
                <w:lang w:val="en-US" w:eastAsia="zh-CN"/>
              </w:rPr>
              <w:t>不低于</w:t>
            </w:r>
            <w:r>
              <w:rPr>
                <w:rFonts w:hint="eastAsia" w:ascii="宋体" w:hAnsi="宋体"/>
              </w:rPr>
              <w:t>45000</w:t>
            </w:r>
            <w:r>
              <w:rPr>
                <w:rFonts w:hint="eastAsia" w:ascii="宋体" w:hAnsi="宋体"/>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4</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安全上网功能</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支持WEB访问，支持HTTP协议应用的各种指令控制</w:t>
            </w:r>
          </w:p>
          <w:p>
            <w:pPr>
              <w:pStyle w:val="10"/>
              <w:jc w:val="left"/>
              <w:rPr>
                <w:rFonts w:ascii="宋体" w:hAnsi="宋体"/>
              </w:rPr>
            </w:pPr>
            <w:r>
              <w:rPr>
                <w:rFonts w:hint="eastAsia" w:ascii="宋体" w:hAnsi="宋体"/>
              </w:rPr>
              <w:t>支持HTTPS网络传输，并且可在该加密通道中分解出正常HTTPS网络应用，保障传输。同时可以屏蔽自由门等各类加密翻墙软件的传输。（提供功能截图证明）</w:t>
            </w:r>
          </w:p>
          <w:p>
            <w:pPr>
              <w:pStyle w:val="10"/>
              <w:jc w:val="left"/>
              <w:rPr>
                <w:rFonts w:ascii="宋体" w:hAnsi="宋体"/>
              </w:rPr>
            </w:pPr>
            <w:r>
              <w:rPr>
                <w:rFonts w:hint="eastAsia" w:ascii="宋体" w:hAnsi="宋体"/>
              </w:rPr>
              <w:t>其他过滤策略：文件类型、页面提交方式等。支持情景模式，能够控制用户上网以及服务器对外提供服务的具体时间</w:t>
            </w:r>
          </w:p>
          <w:p>
            <w:pPr>
              <w:pStyle w:val="10"/>
              <w:jc w:val="left"/>
              <w:rPr>
                <w:rFonts w:ascii="宋体" w:hAnsi="宋体"/>
              </w:rPr>
            </w:pPr>
            <w:r>
              <w:rPr>
                <w:rFonts w:hint="eastAsia" w:ascii="宋体" w:hAnsi="宋体"/>
              </w:rPr>
              <w:t>代理、透明和路由工作模式下均支持HTTP和HTTPS协议内部命令及命令参数控制策略（提供功能截图证明）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5</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文件传输功能</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支持FTP文件传输协议，支持主动被动两种模式。支持FTP命令参数控制支持对传输文件的类型过滤</w:t>
            </w:r>
          </w:p>
          <w:p>
            <w:pPr>
              <w:pStyle w:val="10"/>
              <w:jc w:val="left"/>
              <w:rPr>
                <w:rFonts w:ascii="宋体" w:hAnsi="宋体"/>
              </w:rPr>
            </w:pPr>
            <w:r>
              <w:rPr>
                <w:rFonts w:hint="eastAsia" w:ascii="宋体" w:hAnsi="宋体"/>
              </w:rPr>
              <w:t>代理、透明和路由工作模式下均支持FTP协议内部命令及命令参数控制策略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6</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文件同步功能</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提供专用文件同步客户端提供安全的文件同步功能</w:t>
            </w:r>
          </w:p>
          <w:p>
            <w:pPr>
              <w:pStyle w:val="10"/>
              <w:jc w:val="left"/>
              <w:rPr>
                <w:rFonts w:ascii="宋体" w:hAnsi="宋体"/>
              </w:rPr>
            </w:pPr>
            <w:r>
              <w:rPr>
                <w:rFonts w:hint="eastAsia" w:ascii="宋体" w:hAnsi="宋体"/>
              </w:rPr>
              <w:t>同步传输方向可控，双向或单向</w:t>
            </w:r>
          </w:p>
          <w:p>
            <w:pPr>
              <w:pStyle w:val="10"/>
              <w:jc w:val="left"/>
              <w:rPr>
                <w:rFonts w:ascii="宋体" w:hAnsi="宋体"/>
              </w:rPr>
            </w:pPr>
            <w:r>
              <w:rPr>
                <w:rFonts w:hint="eastAsia" w:ascii="宋体" w:hAnsi="宋体"/>
              </w:rPr>
              <w:t>支持一对多或多对一文件同步</w:t>
            </w:r>
          </w:p>
          <w:p>
            <w:pPr>
              <w:pStyle w:val="10"/>
              <w:jc w:val="left"/>
              <w:rPr>
                <w:rFonts w:ascii="宋体" w:hAnsi="宋体"/>
              </w:rPr>
            </w:pPr>
            <w:r>
              <w:rPr>
                <w:rFonts w:hint="eastAsia" w:ascii="宋体" w:hAnsi="宋体"/>
              </w:rPr>
              <w:t>支持文件变动实时同步、定时同步、系统资源空闲智能同步等多种同步方式</w:t>
            </w:r>
          </w:p>
          <w:p>
            <w:pPr>
              <w:pStyle w:val="10"/>
              <w:jc w:val="left"/>
              <w:rPr>
                <w:rFonts w:ascii="宋体" w:hAnsi="宋体"/>
              </w:rPr>
            </w:pPr>
            <w:r>
              <w:rPr>
                <w:rFonts w:hint="eastAsia" w:ascii="宋体" w:hAnsi="宋体"/>
              </w:rPr>
              <w:t>支持同步删除和同步覆盖策略配置，并能将同步删除和同步覆盖的文件备份到指定文件夹</w:t>
            </w:r>
          </w:p>
          <w:p>
            <w:pPr>
              <w:pStyle w:val="10"/>
              <w:jc w:val="left"/>
              <w:rPr>
                <w:rFonts w:ascii="宋体" w:hAnsi="宋体"/>
              </w:rPr>
            </w:pPr>
            <w:r>
              <w:rPr>
                <w:rFonts w:hint="eastAsia" w:ascii="宋体" w:hAnsi="宋体"/>
              </w:rPr>
              <w:t>支持文件同步容错策略和告警策略，同步出错能够自动重传并能够设置重传次数，出现异常同步状况能够终止同步弹出告警提示并记录日志。（提供功能截图证明）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7</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数据库访问功能</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提供对多种主流数据库,如：MYSQL、SQLSERVER、ORACLE、DB2、SYBASE等系统的安全访问</w:t>
            </w:r>
          </w:p>
          <w:p>
            <w:pPr>
              <w:pStyle w:val="10"/>
              <w:jc w:val="left"/>
              <w:rPr>
                <w:rFonts w:ascii="宋体" w:hAnsi="宋体"/>
              </w:rPr>
            </w:pPr>
            <w:r>
              <w:rPr>
                <w:rFonts w:hint="eastAsia" w:ascii="宋体" w:hAnsi="宋体"/>
              </w:rPr>
              <w:t>代理、透明和路由工作模式下均支持数据库内部命令及命令参数控制策略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8</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数据库同步功能</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基于专用客户端与网闸安全连接方式，提供多种主流数据库系统如：ORACLE、SQLSERVER、MYSQL、SYBASE、DB2等之间的同步</w:t>
            </w:r>
          </w:p>
          <w:p>
            <w:pPr>
              <w:pStyle w:val="10"/>
              <w:jc w:val="left"/>
              <w:rPr>
                <w:rFonts w:ascii="宋体" w:hAnsi="宋体"/>
              </w:rPr>
            </w:pPr>
            <w:r>
              <w:rPr>
                <w:rFonts w:hint="eastAsia" w:ascii="宋体" w:hAnsi="宋体"/>
              </w:rPr>
              <w:t>支持达梦、人大金仓等国产数据。（提供功能截图证明）</w:t>
            </w:r>
          </w:p>
          <w:p>
            <w:pPr>
              <w:pStyle w:val="10"/>
              <w:jc w:val="left"/>
              <w:rPr>
                <w:rFonts w:ascii="宋体" w:hAnsi="宋体"/>
              </w:rPr>
            </w:pPr>
            <w:r>
              <w:rPr>
                <w:rFonts w:hint="eastAsia" w:ascii="宋体" w:hAnsi="宋体"/>
              </w:rPr>
              <w:t>支持二进制普通文件、图片、文本文件及BLOB大字段同步。（提供功能截图证明）</w:t>
            </w:r>
          </w:p>
          <w:p>
            <w:pPr>
              <w:pStyle w:val="10"/>
              <w:jc w:val="left"/>
              <w:rPr>
                <w:rFonts w:ascii="宋体" w:hAnsi="宋体"/>
              </w:rPr>
            </w:pPr>
            <w:r>
              <w:rPr>
                <w:rFonts w:hint="eastAsia" w:ascii="宋体" w:hAnsi="宋体"/>
              </w:rPr>
              <w:t>支持数据一对一、一对多、多对多的单向或双向交换和同步</w:t>
            </w:r>
          </w:p>
          <w:p>
            <w:pPr>
              <w:pStyle w:val="10"/>
              <w:jc w:val="left"/>
              <w:rPr>
                <w:rFonts w:ascii="宋体" w:hAnsi="宋体"/>
              </w:rPr>
            </w:pPr>
            <w:r>
              <w:rPr>
                <w:rFonts w:hint="eastAsia" w:ascii="宋体" w:hAnsi="宋体"/>
              </w:rPr>
              <w:t>支持数据库实时同步或定时同步的策略定义</w:t>
            </w:r>
          </w:p>
          <w:p>
            <w:pPr>
              <w:pStyle w:val="10"/>
              <w:jc w:val="left"/>
              <w:rPr>
                <w:rFonts w:ascii="宋体" w:hAnsi="宋体"/>
              </w:rPr>
            </w:pPr>
            <w:r>
              <w:rPr>
                <w:rFonts w:hint="eastAsia" w:ascii="宋体" w:hAnsi="宋体"/>
              </w:rPr>
              <w:t>数据库同步传输不使用通用数据库服务端口例如1433、1521、3306等，保障数据库同步传输的安全性</w:t>
            </w:r>
          </w:p>
          <w:p>
            <w:pPr>
              <w:pStyle w:val="10"/>
              <w:jc w:val="left"/>
              <w:rPr>
                <w:rFonts w:ascii="宋体" w:hAnsi="宋体"/>
              </w:rPr>
            </w:pPr>
            <w:r>
              <w:rPr>
                <w:rFonts w:hint="eastAsia" w:ascii="宋体" w:hAnsi="宋体"/>
              </w:rPr>
              <w:t>支持灵活的数据冲突检测机制，当同步的数据记录发成冲突时，可以灵活处理出现冲突的数据记录</w:t>
            </w:r>
          </w:p>
          <w:p>
            <w:pPr>
              <w:pStyle w:val="10"/>
              <w:jc w:val="left"/>
              <w:rPr>
                <w:rFonts w:ascii="宋体" w:hAnsi="宋体"/>
              </w:rPr>
            </w:pPr>
            <w:r>
              <w:rPr>
                <w:rFonts w:hint="eastAsia" w:ascii="宋体" w:hAnsi="宋体"/>
              </w:rPr>
              <w:t>数据库同步高可靠性，即使发生网络故障，已变化数据也不会丢失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9</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管理配置</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管理采用C/S架构专有协议管理，网闸管理口无IP地址，管理主机也不必设置IP即可搜索到设备，管理设备，支持设备集中管理。（提供功能截图证明）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10</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日志审计</w:t>
            </w:r>
          </w:p>
        </w:tc>
        <w:tc>
          <w:tcPr>
            <w:tcW w:w="716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rPr>
              <w:t>支持对所有访问进行日志记录，包括系统事件、成功事件、报警事件。提供对日志信息的浏览、查询、删除、下载等多种操作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sz w:val="21"/>
                <w:szCs w:val="21"/>
              </w:rPr>
              <w:t>11</w:t>
            </w:r>
          </w:p>
        </w:tc>
        <w:tc>
          <w:tcPr>
            <w:tcW w:w="1731" w:type="dxa"/>
            <w:tcBorders>
              <w:top w:val="single" w:color="auto" w:sz="4" w:space="0"/>
              <w:left w:val="nil"/>
              <w:bottom w:val="single" w:color="auto" w:sz="4" w:space="0"/>
              <w:right w:val="single" w:color="auto" w:sz="4" w:space="0"/>
            </w:tcBorders>
            <w:vAlign w:val="center"/>
          </w:tcPr>
          <w:p>
            <w:pPr>
              <w:pStyle w:val="10"/>
              <w:jc w:val="left"/>
              <w:rPr>
                <w:rFonts w:ascii="宋体" w:hAnsi="宋体"/>
              </w:rPr>
            </w:pPr>
            <w:r>
              <w:rPr>
                <w:rFonts w:hint="eastAsia" w:ascii="宋体" w:hAnsi="宋体" w:eastAsia="宋体" w:cs="宋体"/>
                <w:color w:val="FF0000"/>
                <w:sz w:val="21"/>
                <w:szCs w:val="21"/>
                <w:lang w:eastAsia="zh-CN"/>
              </w:rPr>
              <w:t>*</w:t>
            </w:r>
            <w:r>
              <w:rPr>
                <w:rFonts w:hint="eastAsia" w:ascii="宋体" w:hAnsi="宋体"/>
                <w:color w:val="FF0000"/>
              </w:rPr>
              <w:t>产品资质</w:t>
            </w:r>
          </w:p>
        </w:tc>
        <w:tc>
          <w:tcPr>
            <w:tcW w:w="7161" w:type="dxa"/>
            <w:tcBorders>
              <w:top w:val="single" w:color="auto" w:sz="4" w:space="0"/>
              <w:left w:val="nil"/>
              <w:bottom w:val="single" w:color="auto" w:sz="4" w:space="0"/>
              <w:right w:val="single" w:color="auto" w:sz="4" w:space="0"/>
            </w:tcBorders>
          </w:tcPr>
          <w:p>
            <w:pPr>
              <w:pStyle w:val="10"/>
              <w:jc w:val="left"/>
              <w:rPr>
                <w:rFonts w:ascii="宋体" w:hAnsi="宋体"/>
              </w:rPr>
            </w:pPr>
            <w:r>
              <w:rPr>
                <w:rFonts w:hint="eastAsia" w:ascii="宋体" w:hAnsi="宋体"/>
              </w:rPr>
              <w:t>具备公安部计算机信息系统安全专用产品销售许可证书</w:t>
            </w:r>
          </w:p>
          <w:p>
            <w:pPr>
              <w:pStyle w:val="10"/>
              <w:jc w:val="left"/>
              <w:rPr>
                <w:rFonts w:ascii="宋体" w:hAnsi="宋体"/>
              </w:rPr>
            </w:pPr>
            <w:r>
              <w:rPr>
                <w:rFonts w:hint="eastAsia" w:ascii="宋体" w:hAnsi="宋体"/>
              </w:rPr>
              <w:t>具备信息安全认证中心中国国家信息安全产品认证证书</w:t>
            </w:r>
          </w:p>
        </w:tc>
      </w:tr>
    </w:tbl>
    <w:p>
      <w:pPr>
        <w:pStyle w:val="5"/>
        <w:numPr>
          <w:ilvl w:val="4"/>
          <w:numId w:val="0"/>
        </w:numPr>
        <w:ind w:leftChars="0"/>
      </w:pPr>
      <w:r>
        <w:rPr>
          <w:rFonts w:hint="eastAsia"/>
          <w:lang w:val="en-US" w:eastAsia="zh-CN"/>
        </w:rPr>
        <w:t>4.8.2.3.5.</w:t>
      </w:r>
      <w:r>
        <w:rPr>
          <w:rFonts w:hint="eastAsia"/>
        </w:rPr>
        <w:t>内网防火墙</w:t>
      </w:r>
    </w:p>
    <w:tbl>
      <w:tblPr>
        <w:tblStyle w:val="8"/>
        <w:tblW w:w="94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31"/>
        <w:gridCol w:w="1499"/>
        <w:gridCol w:w="73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0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bCs/>
                <w:sz w:val="21"/>
                <w:szCs w:val="21"/>
              </w:rPr>
            </w:pPr>
            <w:r>
              <w:rPr>
                <w:rFonts w:hint="eastAsia" w:ascii="宋体" w:hAnsi="宋体"/>
                <w:b/>
                <w:bCs/>
                <w:sz w:val="21"/>
                <w:szCs w:val="21"/>
              </w:rPr>
              <w:t>序号</w:t>
            </w:r>
          </w:p>
        </w:tc>
        <w:tc>
          <w:tcPr>
            <w:tcW w:w="1499" w:type="dxa"/>
            <w:tcBorders>
              <w:top w:val="single" w:color="000000" w:sz="4" w:space="0"/>
              <w:left w:val="nil"/>
              <w:bottom w:val="single" w:color="000000" w:sz="4" w:space="0"/>
              <w:right w:val="single" w:color="000000" w:sz="4" w:space="0"/>
            </w:tcBorders>
            <w:vAlign w:val="center"/>
          </w:tcPr>
          <w:p>
            <w:pPr>
              <w:jc w:val="center"/>
              <w:rPr>
                <w:rFonts w:ascii="宋体" w:hAnsi="宋体"/>
                <w:b/>
                <w:bCs/>
                <w:sz w:val="21"/>
                <w:szCs w:val="21"/>
              </w:rPr>
            </w:pPr>
            <w:r>
              <w:rPr>
                <w:rFonts w:hint="eastAsia" w:ascii="宋体" w:hAnsi="宋体"/>
                <w:b/>
                <w:bCs/>
                <w:sz w:val="21"/>
                <w:szCs w:val="21"/>
              </w:rPr>
              <w:t>指标项</w:t>
            </w:r>
          </w:p>
        </w:tc>
        <w:tc>
          <w:tcPr>
            <w:tcW w:w="7312" w:type="dxa"/>
            <w:tcBorders>
              <w:top w:val="single" w:color="000000" w:sz="4" w:space="0"/>
              <w:left w:val="nil"/>
              <w:bottom w:val="single" w:color="000000" w:sz="4" w:space="0"/>
              <w:right w:val="single" w:color="000000" w:sz="4" w:space="0"/>
            </w:tcBorders>
            <w:vAlign w:val="center"/>
          </w:tcPr>
          <w:p>
            <w:pPr>
              <w:jc w:val="center"/>
              <w:rPr>
                <w:rFonts w:ascii="宋体" w:hAnsi="宋体"/>
                <w:b/>
                <w:bCs/>
                <w:sz w:val="21"/>
                <w:szCs w:val="21"/>
              </w:rPr>
            </w:pPr>
            <w:r>
              <w:rPr>
                <w:rFonts w:hint="eastAsia" w:ascii="宋体" w:hAnsi="宋体"/>
                <w:b/>
                <w:bCs/>
                <w:sz w:val="21"/>
                <w:szCs w:val="21"/>
              </w:rPr>
              <w:t>招标要求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hint="default"/>
                <w:color w:val="auto"/>
              </w:rPr>
            </w:pPr>
            <w:r>
              <w:rPr>
                <w:rFonts w:hint="eastAsia" w:ascii="宋体" w:hAnsi="宋体"/>
                <w:sz w:val="21"/>
                <w:szCs w:val="21"/>
              </w:rPr>
              <w:t>1</w:t>
            </w:r>
          </w:p>
        </w:tc>
        <w:tc>
          <w:tcPr>
            <w:tcW w:w="1499" w:type="dxa"/>
            <w:tcBorders>
              <w:top w:val="single" w:color="000000" w:sz="4" w:space="0"/>
              <w:left w:val="nil"/>
              <w:bottom w:val="single" w:color="000000" w:sz="4" w:space="0"/>
              <w:right w:val="single" w:color="000000" w:sz="4" w:space="0"/>
            </w:tcBorders>
            <w:vAlign w:val="center"/>
          </w:tcPr>
          <w:p>
            <w:pPr>
              <w:pStyle w:val="10"/>
              <w:jc w:val="left"/>
              <w:rPr>
                <w:szCs w:val="21"/>
              </w:rPr>
            </w:pPr>
            <w:r>
              <w:rPr>
                <w:rFonts w:hint="eastAsia" w:ascii="宋体" w:hAnsi="宋体"/>
              </w:rPr>
              <w:t>基本要求和性能</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1U机箱，配置不少于6个10/100/1000BASE-T接口，标配模块化电源；防火墙吞吐率：2Gbps 应用层吞吐率（FW+APP）：1.2Gbps 并发连接数：120万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hint="default"/>
                <w:color w:val="auto"/>
              </w:rPr>
            </w:pPr>
            <w:r>
              <w:rPr>
                <w:rFonts w:hint="eastAsia" w:ascii="宋体" w:hAnsi="宋体"/>
                <w:sz w:val="21"/>
                <w:szCs w:val="21"/>
              </w:rPr>
              <w:t>2</w:t>
            </w:r>
          </w:p>
        </w:tc>
        <w:tc>
          <w:tcPr>
            <w:tcW w:w="1499" w:type="dxa"/>
            <w:tcBorders>
              <w:top w:val="single" w:color="000000" w:sz="4" w:space="0"/>
              <w:left w:val="nil"/>
              <w:bottom w:val="single" w:color="000000" w:sz="4" w:space="0"/>
              <w:right w:val="single" w:color="000000" w:sz="4" w:space="0"/>
            </w:tcBorders>
            <w:vAlign w:val="center"/>
          </w:tcPr>
          <w:p>
            <w:pPr>
              <w:pStyle w:val="10"/>
              <w:jc w:val="left"/>
              <w:rPr>
                <w:szCs w:val="21"/>
              </w:rPr>
            </w:pPr>
            <w:r>
              <w:rPr>
                <w:rFonts w:hint="eastAsia" w:ascii="宋体" w:hAnsi="宋体"/>
              </w:rPr>
              <w:t>工作模式</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支持路由、交换、混合、虚拟线工作模式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631" w:type="dxa"/>
            <w:vMerge w:val="restart"/>
            <w:tcBorders>
              <w:top w:val="nil"/>
              <w:left w:val="single" w:color="000000" w:sz="4" w:space="0"/>
              <w:bottom w:val="single" w:color="000000" w:sz="4" w:space="0"/>
              <w:right w:val="single" w:color="000000" w:sz="4" w:space="0"/>
            </w:tcBorders>
            <w:vAlign w:val="center"/>
          </w:tcPr>
          <w:p>
            <w:pPr>
              <w:jc w:val="center"/>
              <w:rPr>
                <w:rStyle w:val="13"/>
                <w:rFonts w:hint="default"/>
                <w:color w:val="auto"/>
              </w:rPr>
            </w:pPr>
            <w:r>
              <w:rPr>
                <w:rFonts w:hint="eastAsia" w:ascii="宋体" w:hAnsi="宋体"/>
                <w:sz w:val="21"/>
                <w:szCs w:val="21"/>
              </w:rPr>
              <w:t>3</w:t>
            </w:r>
          </w:p>
        </w:tc>
        <w:tc>
          <w:tcPr>
            <w:tcW w:w="1499" w:type="dxa"/>
            <w:vMerge w:val="restart"/>
            <w:tcBorders>
              <w:top w:val="nil"/>
              <w:left w:val="nil"/>
              <w:bottom w:val="single" w:color="000000" w:sz="4" w:space="0"/>
              <w:right w:val="single" w:color="000000" w:sz="4" w:space="0"/>
            </w:tcBorders>
            <w:vAlign w:val="center"/>
          </w:tcPr>
          <w:p>
            <w:pPr>
              <w:pStyle w:val="10"/>
              <w:jc w:val="left"/>
              <w:rPr>
                <w:szCs w:val="21"/>
              </w:rPr>
            </w:pPr>
            <w:r>
              <w:rPr>
                <w:rFonts w:hint="eastAsia" w:ascii="宋体" w:hAnsi="宋体"/>
              </w:rPr>
              <w:t>智能DNS</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支持智能DNS功能，有效提高用户跨网访问效率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trPr>
        <w:tc>
          <w:tcPr>
            <w:tcW w:w="631" w:type="dxa"/>
            <w:vMerge w:val="continue"/>
            <w:tcBorders>
              <w:top w:val="nil"/>
              <w:left w:val="single" w:color="000000" w:sz="4" w:space="0"/>
              <w:bottom w:val="single" w:color="000000" w:sz="4" w:space="0"/>
              <w:right w:val="single" w:color="000000" w:sz="4" w:space="0"/>
            </w:tcBorders>
            <w:vAlign w:val="center"/>
          </w:tcPr>
          <w:p>
            <w:pPr>
              <w:widowControl/>
              <w:jc w:val="left"/>
              <w:rPr>
                <w:rStyle w:val="13"/>
                <w:rFonts w:hint="default"/>
                <w:color w:val="auto"/>
              </w:rPr>
            </w:pPr>
          </w:p>
        </w:tc>
        <w:tc>
          <w:tcPr>
            <w:tcW w:w="1499" w:type="dxa"/>
            <w:vMerge w:val="continue"/>
            <w:tcBorders>
              <w:top w:val="nil"/>
              <w:left w:val="nil"/>
              <w:bottom w:val="single" w:color="000000" w:sz="4" w:space="0"/>
              <w:right w:val="single" w:color="000000" w:sz="4" w:space="0"/>
            </w:tcBorders>
            <w:vAlign w:val="center"/>
          </w:tcPr>
          <w:p>
            <w:pPr>
              <w:widowControl/>
              <w:jc w:val="left"/>
              <w:rPr>
                <w:rFonts w:ascii="Calibri" w:hAnsi="Calibri" w:cs="宋体"/>
                <w:kern w:val="0"/>
                <w:sz w:val="21"/>
                <w:szCs w:val="21"/>
              </w:rPr>
            </w:pP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支持DNS Docting，能够将来自内部网络的域名解析请求定向到真实内网资源，降低路径开销，提高访问效率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Style w:val="13"/>
                <w:rFonts w:hint="default"/>
                <w:color w:val="auto"/>
              </w:rPr>
            </w:pPr>
            <w:r>
              <w:rPr>
                <w:rStyle w:val="13"/>
                <w:rFonts w:hint="default"/>
                <w:color w:val="auto"/>
              </w:rPr>
              <w:t>4</w:t>
            </w:r>
          </w:p>
        </w:tc>
        <w:tc>
          <w:tcPr>
            <w:tcW w:w="1499" w:type="dxa"/>
            <w:tcBorders>
              <w:top w:val="single" w:color="000000" w:sz="4" w:space="0"/>
              <w:left w:val="nil"/>
              <w:bottom w:val="single" w:color="000000" w:sz="4" w:space="0"/>
              <w:right w:val="single" w:color="000000" w:sz="4" w:space="0"/>
            </w:tcBorders>
            <w:vAlign w:val="center"/>
          </w:tcPr>
          <w:p>
            <w:pPr>
              <w:pStyle w:val="10"/>
              <w:jc w:val="left"/>
              <w:rPr>
                <w:szCs w:val="21"/>
              </w:rPr>
            </w:pPr>
            <w:r>
              <w:rPr>
                <w:rFonts w:hint="eastAsia" w:ascii="宋体" w:hAnsi="宋体"/>
              </w:rPr>
              <w:t>链路质量探测</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支持ICMP、Traceroute、TCP、HTTP、DNS等多种链路质量探测方式，用户可以根据探测结果有效判断链路质量；通过HTTP链路质量探测方式，探测结果可以提供DNS解析响应时间、TCP建立连接时间、HTTP交易时间等；通过TCP链路质量探测方式，探测结果可以提供TCP建立连接时间等；通过DNS链路质量探测方式，探测结果可以提供DNS解析响应时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0"/>
              </w:rPr>
            </w:pPr>
            <w:r>
              <w:rPr>
                <w:rFonts w:hint="eastAsia" w:ascii="宋体" w:hAnsi="宋体"/>
                <w:sz w:val="21"/>
                <w:szCs w:val="21"/>
              </w:rPr>
              <w:t>5</w:t>
            </w:r>
          </w:p>
        </w:tc>
        <w:tc>
          <w:tcPr>
            <w:tcW w:w="1499" w:type="dxa"/>
            <w:tcBorders>
              <w:top w:val="single" w:color="000000" w:sz="4" w:space="0"/>
              <w:left w:val="nil"/>
              <w:bottom w:val="single" w:color="000000" w:sz="4" w:space="0"/>
              <w:right w:val="single" w:color="000000" w:sz="4" w:space="0"/>
            </w:tcBorders>
            <w:vAlign w:val="center"/>
          </w:tcPr>
          <w:p>
            <w:pPr>
              <w:pStyle w:val="10"/>
              <w:jc w:val="left"/>
              <w:rPr>
                <w:rFonts w:ascii="宋体" w:hAnsi="宋体"/>
                <w:szCs w:val="21"/>
              </w:rPr>
            </w:pPr>
            <w:r>
              <w:rPr>
                <w:rFonts w:hint="eastAsia" w:ascii="宋体" w:hAnsi="宋体"/>
              </w:rPr>
              <w:t>数据防泄露功能</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支持DLP数据防泄漏功能，可针对发送IP或接收IP配置相互独立的DLP策略，对数据进行监控识别，达到敏感数据防护目的</w:t>
            </w:r>
          </w:p>
          <w:p>
            <w:pPr>
              <w:pStyle w:val="10"/>
              <w:jc w:val="left"/>
              <w:rPr>
                <w:rFonts w:ascii="宋体" w:hAnsi="宋体"/>
              </w:rPr>
            </w:pPr>
            <w:r>
              <w:rPr>
                <w:rFonts w:hint="eastAsia" w:ascii="宋体" w:hAnsi="宋体"/>
              </w:rPr>
              <w:t>支持识别的加密文件格式不少于12种；压缩文件格式不少于25种，如RAR、ZIP、GZ、TAR等；支持识别Linux，Unix等非Winodws的文件类型；支持识别异常文件格式类型；支持识别自定义文件类型（提供功能截图证明）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1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0"/>
              </w:rPr>
            </w:pPr>
            <w:r>
              <w:rPr>
                <w:rFonts w:hint="eastAsia" w:ascii="宋体" w:hAnsi="宋体"/>
                <w:sz w:val="21"/>
                <w:szCs w:val="21"/>
              </w:rPr>
              <w:t>6</w:t>
            </w:r>
          </w:p>
        </w:tc>
        <w:tc>
          <w:tcPr>
            <w:tcW w:w="1499" w:type="dxa"/>
            <w:tcBorders>
              <w:top w:val="single" w:color="000000" w:sz="4" w:space="0"/>
              <w:left w:val="nil"/>
              <w:bottom w:val="single" w:color="000000" w:sz="4" w:space="0"/>
              <w:right w:val="single" w:color="000000" w:sz="4" w:space="0"/>
            </w:tcBorders>
            <w:vAlign w:val="center"/>
          </w:tcPr>
          <w:p>
            <w:pPr>
              <w:pStyle w:val="10"/>
              <w:jc w:val="left"/>
              <w:rPr>
                <w:rFonts w:ascii="宋体" w:hAnsi="宋体"/>
                <w:szCs w:val="21"/>
              </w:rPr>
            </w:pPr>
            <w:r>
              <w:rPr>
                <w:rFonts w:hint="eastAsia" w:ascii="宋体" w:hAnsi="宋体"/>
              </w:rPr>
              <w:t>用户管控</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综合运用身份认证与访问控制技术，通过内置智能过滤引擎实现基于用户身份的安全防护策略部署与可视化监控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0"/>
              </w:rPr>
            </w:pPr>
            <w:r>
              <w:rPr>
                <w:rFonts w:hint="eastAsia" w:ascii="宋体" w:hAnsi="宋体"/>
                <w:sz w:val="21"/>
                <w:szCs w:val="21"/>
              </w:rPr>
              <w:t>7</w:t>
            </w:r>
          </w:p>
        </w:tc>
        <w:tc>
          <w:tcPr>
            <w:tcW w:w="1499" w:type="dxa"/>
            <w:tcBorders>
              <w:top w:val="single" w:color="000000" w:sz="4" w:space="0"/>
              <w:left w:val="nil"/>
              <w:bottom w:val="single" w:color="000000" w:sz="4" w:space="0"/>
              <w:right w:val="single" w:color="000000" w:sz="4" w:space="0"/>
            </w:tcBorders>
            <w:vAlign w:val="center"/>
          </w:tcPr>
          <w:p>
            <w:pPr>
              <w:pStyle w:val="10"/>
              <w:jc w:val="left"/>
              <w:rPr>
                <w:rFonts w:ascii="宋体" w:hAnsi="宋体"/>
                <w:szCs w:val="21"/>
              </w:rPr>
            </w:pPr>
            <w:r>
              <w:rPr>
                <w:rFonts w:hint="eastAsia" w:ascii="宋体" w:hAnsi="宋体"/>
              </w:rPr>
              <w:t>应用识别</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内置强大应用识别引擎，综合运用端口识别、行为识别、特征识别、关联识别等技术手段，准确识别传统应用如P2P、web应用、移动应用、云应用、加密应用等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0"/>
              </w:rPr>
            </w:pPr>
            <w:r>
              <w:rPr>
                <w:rFonts w:hint="eastAsia" w:ascii="宋体" w:hAnsi="宋体"/>
                <w:sz w:val="21"/>
                <w:szCs w:val="21"/>
              </w:rPr>
              <w:t>8</w:t>
            </w:r>
          </w:p>
        </w:tc>
        <w:tc>
          <w:tcPr>
            <w:tcW w:w="1499" w:type="dxa"/>
            <w:tcBorders>
              <w:top w:val="single" w:color="000000" w:sz="4" w:space="0"/>
              <w:left w:val="nil"/>
              <w:bottom w:val="single" w:color="000000" w:sz="4" w:space="0"/>
              <w:right w:val="single" w:color="000000" w:sz="4" w:space="0"/>
            </w:tcBorders>
            <w:vAlign w:val="center"/>
          </w:tcPr>
          <w:p>
            <w:pPr>
              <w:pStyle w:val="10"/>
              <w:jc w:val="left"/>
              <w:rPr>
                <w:rFonts w:ascii="宋体" w:hAnsi="宋体"/>
                <w:szCs w:val="21"/>
              </w:rPr>
            </w:pPr>
            <w:r>
              <w:rPr>
                <w:rFonts w:hint="eastAsia" w:ascii="宋体" w:hAnsi="宋体"/>
              </w:rPr>
              <w:t>一体化访问控制</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内置高度集成的一体化智能过滤引擎技术，实现在同一条访问控制策略中配置传统的五元组信息、应用、服务、时间、安全引擎（入侵、URL过滤、病毒过滤、DLP、内容过滤）的识别与控制</w:t>
            </w:r>
          </w:p>
          <w:p>
            <w:pPr>
              <w:pStyle w:val="10"/>
              <w:jc w:val="left"/>
              <w:rPr>
                <w:rFonts w:ascii="宋体" w:hAnsi="宋体"/>
              </w:rPr>
            </w:pPr>
            <w:r>
              <w:rPr>
                <w:rFonts w:hint="eastAsia" w:ascii="宋体" w:hAnsi="宋体"/>
              </w:rPr>
              <w:t>支持对单条访问控制策略进行最大并发连接数限制（提供功能截图证明）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rPr>
            </w:pPr>
            <w:r>
              <w:rPr>
                <w:rFonts w:hint="eastAsia" w:ascii="宋体" w:hAnsi="宋体"/>
                <w:sz w:val="21"/>
                <w:szCs w:val="21"/>
              </w:rPr>
              <w:t>9</w:t>
            </w:r>
          </w:p>
        </w:tc>
        <w:tc>
          <w:tcPr>
            <w:tcW w:w="1499"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DDOS防御</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内置攻击检测引擎，支持独立的DDOS检测、阻断能力（提供功能截图证明），支持检测包括land、Smurf、winnuke、tcp_sscan、ip_option、targa3、Synflood、Icmpflood、Udpflood、Portscan、ipsweep等攻击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6"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FF0000"/>
                <w:sz w:val="20"/>
              </w:rPr>
            </w:pPr>
            <w:r>
              <w:rPr>
                <w:rFonts w:hint="eastAsia" w:ascii="宋体" w:hAnsi="宋体"/>
                <w:color w:val="FF0000"/>
                <w:sz w:val="21"/>
                <w:szCs w:val="21"/>
              </w:rPr>
              <w:t>10</w:t>
            </w:r>
          </w:p>
        </w:tc>
        <w:tc>
          <w:tcPr>
            <w:tcW w:w="1499" w:type="dxa"/>
            <w:tcBorders>
              <w:top w:val="single" w:color="000000" w:sz="4" w:space="0"/>
              <w:left w:val="nil"/>
              <w:bottom w:val="single" w:color="000000" w:sz="4" w:space="0"/>
              <w:right w:val="single" w:color="000000" w:sz="4" w:space="0"/>
            </w:tcBorders>
            <w:vAlign w:val="center"/>
          </w:tcPr>
          <w:p>
            <w:pPr>
              <w:pStyle w:val="10"/>
              <w:jc w:val="left"/>
              <w:rPr>
                <w:rFonts w:ascii="宋体" w:hAnsi="宋体"/>
                <w:color w:val="FF0000"/>
                <w:szCs w:val="21"/>
              </w:rPr>
            </w:pPr>
            <w:r>
              <w:rPr>
                <w:rFonts w:hint="eastAsia" w:ascii="宋体" w:hAnsi="宋体" w:eastAsia="宋体" w:cs="宋体"/>
                <w:color w:val="FF0000"/>
                <w:sz w:val="21"/>
                <w:szCs w:val="21"/>
                <w:lang w:eastAsia="zh-CN"/>
              </w:rPr>
              <w:t>*</w:t>
            </w:r>
            <w:r>
              <w:rPr>
                <w:rFonts w:hint="eastAsia" w:ascii="宋体" w:hAnsi="宋体"/>
                <w:color w:val="FF0000"/>
              </w:rPr>
              <w:t>产品资质</w:t>
            </w:r>
          </w:p>
        </w:tc>
        <w:tc>
          <w:tcPr>
            <w:tcW w:w="7312" w:type="dxa"/>
            <w:tcBorders>
              <w:top w:val="single" w:color="000000" w:sz="4" w:space="0"/>
              <w:left w:val="nil"/>
              <w:bottom w:val="single" w:color="000000" w:sz="4" w:space="0"/>
              <w:right w:val="single" w:color="000000" w:sz="4" w:space="0"/>
            </w:tcBorders>
            <w:vAlign w:val="center"/>
          </w:tcPr>
          <w:p>
            <w:pPr>
              <w:pStyle w:val="10"/>
              <w:jc w:val="left"/>
              <w:rPr>
                <w:rFonts w:ascii="宋体" w:hAnsi="宋体"/>
              </w:rPr>
            </w:pPr>
            <w:r>
              <w:rPr>
                <w:rFonts w:hint="eastAsia" w:ascii="宋体" w:hAnsi="宋体"/>
              </w:rPr>
              <w:t>具备公安部颁发的《计算机信息系统安全专用产品销售许可证》</w:t>
            </w:r>
          </w:p>
          <w:p>
            <w:pPr>
              <w:pStyle w:val="10"/>
              <w:jc w:val="left"/>
              <w:rPr>
                <w:rFonts w:ascii="宋体" w:hAnsi="宋体"/>
              </w:rPr>
            </w:pPr>
            <w:r>
              <w:rPr>
                <w:rFonts w:hint="eastAsia" w:ascii="宋体" w:hAnsi="宋体"/>
              </w:rPr>
              <w:t>具备中国信息安全认证中心颁发的《国家信息安全产品认证证书（ISCCC）》</w:t>
            </w:r>
          </w:p>
          <w:p>
            <w:pPr>
              <w:pStyle w:val="10"/>
              <w:jc w:val="left"/>
              <w:rPr>
                <w:rFonts w:ascii="宋体" w:hAnsi="宋体"/>
              </w:rPr>
            </w:pPr>
            <w:r>
              <w:rPr>
                <w:rFonts w:hint="eastAsia" w:ascii="宋体" w:hAnsi="宋体"/>
              </w:rPr>
              <w:t>具备防火墙密码检测证书</w:t>
            </w:r>
          </w:p>
          <w:p>
            <w:pPr>
              <w:pStyle w:val="10"/>
              <w:jc w:val="left"/>
              <w:rPr>
                <w:rFonts w:ascii="宋体" w:hAnsi="宋体"/>
              </w:rPr>
            </w:pPr>
            <w:r>
              <w:rPr>
                <w:rFonts w:hint="eastAsia" w:ascii="宋体" w:hAnsi="宋体"/>
              </w:rPr>
              <w:t>信息安全产品自主原创证书</w:t>
            </w:r>
          </w:p>
          <w:p>
            <w:pPr>
              <w:pStyle w:val="10"/>
              <w:jc w:val="left"/>
              <w:rPr>
                <w:rFonts w:ascii="宋体" w:hAnsi="宋体"/>
              </w:rPr>
            </w:pPr>
            <w:r>
              <w:rPr>
                <w:rFonts w:hint="eastAsia" w:ascii="宋体" w:hAnsi="宋体"/>
              </w:rPr>
              <w:t>投标时需提供以上资质证书复印件</w:t>
            </w:r>
          </w:p>
        </w:tc>
      </w:tr>
    </w:tbl>
    <w:p>
      <w:pPr>
        <w:ind w:firstLine="480"/>
        <w:rPr>
          <w:szCs w:val="28"/>
        </w:rPr>
      </w:pPr>
      <w:r>
        <w:rPr>
          <w:rFonts w:hint="eastAsia"/>
        </w:rPr>
        <w:t xml:space="preserve"> </w:t>
      </w:r>
    </w:p>
    <w:p>
      <w:pPr>
        <w:pStyle w:val="5"/>
        <w:numPr>
          <w:ilvl w:val="4"/>
          <w:numId w:val="0"/>
        </w:numPr>
        <w:ind w:leftChars="0"/>
      </w:pPr>
      <w:r>
        <w:rPr>
          <w:rFonts w:hint="eastAsia"/>
          <w:lang w:val="en-US" w:eastAsia="zh-CN"/>
        </w:rPr>
        <w:t>4.8.2.3.6.</w:t>
      </w:r>
      <w:r>
        <w:rPr>
          <w:rFonts w:hint="eastAsia"/>
        </w:rPr>
        <w:t>内网网闸</w:t>
      </w:r>
    </w:p>
    <w:tbl>
      <w:tblPr>
        <w:tblStyle w:val="8"/>
        <w:tblW w:w="962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80"/>
        <w:gridCol w:w="1469"/>
        <w:gridCol w:w="7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bCs/>
                <w:sz w:val="21"/>
                <w:szCs w:val="21"/>
              </w:rPr>
            </w:pPr>
            <w:r>
              <w:rPr>
                <w:rFonts w:hint="eastAsia" w:ascii="宋体" w:hAnsi="宋体"/>
                <w:b/>
                <w:bCs/>
                <w:sz w:val="21"/>
                <w:szCs w:val="21"/>
              </w:rPr>
              <w:t>序号</w:t>
            </w:r>
          </w:p>
        </w:tc>
        <w:tc>
          <w:tcPr>
            <w:tcW w:w="1469" w:type="dxa"/>
            <w:tcBorders>
              <w:top w:val="single" w:color="auto" w:sz="6" w:space="0"/>
              <w:left w:val="nil"/>
              <w:bottom w:val="single" w:color="auto" w:sz="6" w:space="0"/>
              <w:right w:val="single" w:color="auto" w:sz="6" w:space="0"/>
            </w:tcBorders>
            <w:vAlign w:val="center"/>
          </w:tcPr>
          <w:p>
            <w:pPr>
              <w:jc w:val="center"/>
              <w:rPr>
                <w:rFonts w:ascii="宋体" w:hAnsi="宋体"/>
                <w:b/>
                <w:bCs/>
                <w:sz w:val="21"/>
                <w:szCs w:val="21"/>
              </w:rPr>
            </w:pPr>
            <w:r>
              <w:rPr>
                <w:rFonts w:hint="eastAsia" w:ascii="宋体" w:hAnsi="宋体"/>
                <w:b/>
                <w:bCs/>
                <w:sz w:val="21"/>
                <w:szCs w:val="21"/>
              </w:rPr>
              <w:t>指标项</w:t>
            </w:r>
          </w:p>
        </w:tc>
        <w:tc>
          <w:tcPr>
            <w:tcW w:w="7379" w:type="dxa"/>
            <w:tcBorders>
              <w:top w:val="single" w:color="auto" w:sz="6" w:space="0"/>
              <w:left w:val="nil"/>
              <w:bottom w:val="single" w:color="auto" w:sz="6" w:space="0"/>
              <w:right w:val="single" w:color="auto" w:sz="6" w:space="0"/>
            </w:tcBorders>
            <w:vAlign w:val="center"/>
          </w:tcPr>
          <w:p>
            <w:pPr>
              <w:jc w:val="center"/>
              <w:rPr>
                <w:rFonts w:ascii="宋体" w:hAnsi="宋体"/>
                <w:b/>
                <w:bCs/>
                <w:sz w:val="21"/>
                <w:szCs w:val="21"/>
              </w:rPr>
            </w:pPr>
            <w:r>
              <w:rPr>
                <w:rFonts w:hint="eastAsia" w:ascii="宋体" w:hAnsi="宋体"/>
                <w:b/>
                <w:bCs/>
                <w:sz w:val="21"/>
                <w:szCs w:val="21"/>
              </w:rPr>
              <w:t>招标要求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1</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系统基本架构</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2U机架式，“2+1”系统结构，内外端机为TCP/IP网络协议的终点，阻断TCP/IP协议的直接贯通。内外端机之间采用专用硬件和专用协议进行连接，不可编程。网闸以软硬件结合的方式，有效地隔断内外网络间直接的连接，防止信息无限制交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2</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接口配置</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内网</w:t>
            </w:r>
            <w:r>
              <w:rPr>
                <w:rFonts w:hint="eastAsia" w:ascii="宋体" w:hAnsi="宋体"/>
                <w:lang w:val="en-US" w:eastAsia="zh-CN"/>
              </w:rPr>
              <w:t>不低于</w:t>
            </w:r>
            <w:r>
              <w:rPr>
                <w:rFonts w:hint="eastAsia" w:ascii="宋体" w:hAnsi="宋体"/>
              </w:rPr>
              <w:t>4个10/100/1000M RJ45接口，1个串口，2个USB口</w:t>
            </w:r>
          </w:p>
          <w:p>
            <w:pPr>
              <w:pStyle w:val="10"/>
              <w:jc w:val="left"/>
              <w:rPr>
                <w:rFonts w:ascii="宋体" w:hAnsi="宋体"/>
              </w:rPr>
            </w:pPr>
            <w:r>
              <w:rPr>
                <w:rFonts w:hint="eastAsia" w:ascii="宋体" w:hAnsi="宋体"/>
              </w:rPr>
              <w:t>外网</w:t>
            </w:r>
            <w:r>
              <w:rPr>
                <w:rFonts w:hint="eastAsia" w:ascii="宋体" w:hAnsi="宋体"/>
                <w:lang w:val="en-US" w:eastAsia="zh-CN"/>
              </w:rPr>
              <w:t>不低于</w:t>
            </w:r>
            <w:r>
              <w:rPr>
                <w:rFonts w:hint="eastAsia" w:ascii="宋体" w:hAnsi="宋体"/>
              </w:rPr>
              <w:t>4个10/100/1000M RJ45接口，1个串口，2个USB口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3</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性能指标</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网络吞吐量：</w:t>
            </w:r>
            <w:r>
              <w:rPr>
                <w:rFonts w:hint="eastAsia" w:ascii="宋体" w:hAnsi="宋体"/>
                <w:lang w:val="en-US" w:eastAsia="zh-CN"/>
              </w:rPr>
              <w:t>≥</w:t>
            </w:r>
            <w:r>
              <w:rPr>
                <w:rFonts w:hint="eastAsia" w:ascii="宋体" w:hAnsi="宋体"/>
              </w:rPr>
              <w:t>300Mbps</w:t>
            </w:r>
          </w:p>
          <w:p>
            <w:pPr>
              <w:pStyle w:val="10"/>
              <w:jc w:val="left"/>
              <w:rPr>
                <w:rFonts w:ascii="宋体" w:hAnsi="宋体"/>
              </w:rPr>
            </w:pPr>
            <w:r>
              <w:rPr>
                <w:rFonts w:hint="eastAsia" w:ascii="宋体" w:hAnsi="宋体"/>
              </w:rPr>
              <w:t>系统整体时延：&lt;5毫秒</w:t>
            </w:r>
          </w:p>
          <w:p>
            <w:pPr>
              <w:pStyle w:val="10"/>
              <w:jc w:val="left"/>
              <w:rPr>
                <w:rFonts w:ascii="宋体" w:hAnsi="宋体"/>
              </w:rPr>
            </w:pPr>
            <w:r>
              <w:rPr>
                <w:rFonts w:hint="eastAsia" w:ascii="宋体" w:hAnsi="宋体"/>
              </w:rPr>
              <w:t>所有协议通道并发连接数：45000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4</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安全上网功能</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支持WEB访问，支持HTTP协议应用的各种指令控制</w:t>
            </w:r>
          </w:p>
          <w:p>
            <w:pPr>
              <w:pStyle w:val="10"/>
              <w:jc w:val="left"/>
              <w:rPr>
                <w:rFonts w:ascii="宋体" w:hAnsi="宋体"/>
              </w:rPr>
            </w:pPr>
            <w:r>
              <w:rPr>
                <w:rFonts w:hint="eastAsia" w:ascii="宋体" w:hAnsi="宋体"/>
              </w:rPr>
              <w:t>支持HTTPS网络传输，并且可在该加密通道中分解出正常HTTPS网络应用，保障传输。同时可以屏蔽自由门等各类加密翻墙软件的传输。（提供功能截图证明）</w:t>
            </w:r>
          </w:p>
          <w:p>
            <w:pPr>
              <w:pStyle w:val="10"/>
              <w:jc w:val="left"/>
              <w:rPr>
                <w:rFonts w:ascii="宋体" w:hAnsi="宋体"/>
              </w:rPr>
            </w:pPr>
            <w:r>
              <w:rPr>
                <w:rFonts w:hint="eastAsia" w:ascii="宋体" w:hAnsi="宋体"/>
              </w:rPr>
              <w:t>其他过滤策略：文件类型、页面提交方式等。支持情景模式，能够控制用户上网以及服务器对外提供服务的具体时间</w:t>
            </w:r>
          </w:p>
          <w:p>
            <w:pPr>
              <w:pStyle w:val="10"/>
              <w:jc w:val="left"/>
              <w:rPr>
                <w:rFonts w:ascii="宋体" w:hAnsi="宋体"/>
              </w:rPr>
            </w:pPr>
            <w:r>
              <w:rPr>
                <w:rFonts w:hint="eastAsia" w:ascii="宋体" w:hAnsi="宋体"/>
              </w:rPr>
              <w:t>代理、透明和路由工作模式下均支持HTTP和HTTPS协议内部命令及命令参数控制策略。（提供功能截图证明）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5</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文件传输功能</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支持FTP文件传输协议，支持主动被动两种模式。支持FTP命令参数控制支持对传输文件的类型过滤。</w:t>
            </w:r>
          </w:p>
          <w:p>
            <w:pPr>
              <w:pStyle w:val="10"/>
              <w:jc w:val="left"/>
              <w:rPr>
                <w:rFonts w:ascii="宋体" w:hAnsi="宋体"/>
              </w:rPr>
            </w:pPr>
            <w:r>
              <w:rPr>
                <w:rFonts w:hint="eastAsia" w:ascii="宋体" w:hAnsi="宋体"/>
              </w:rPr>
              <w:t>代理、透明和路由工作模式下均支持FTP协议内部命令及命令参数控制策略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6</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文件同步功能</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提供专用文件同步客户端提供安全的文件同步功能</w:t>
            </w:r>
          </w:p>
          <w:p>
            <w:pPr>
              <w:pStyle w:val="10"/>
              <w:jc w:val="left"/>
              <w:rPr>
                <w:rFonts w:ascii="宋体" w:hAnsi="宋体"/>
              </w:rPr>
            </w:pPr>
            <w:r>
              <w:rPr>
                <w:rFonts w:hint="eastAsia" w:ascii="宋体" w:hAnsi="宋体"/>
              </w:rPr>
              <w:t>同步传输方向可控，双向或单向</w:t>
            </w:r>
          </w:p>
          <w:p>
            <w:pPr>
              <w:pStyle w:val="10"/>
              <w:jc w:val="left"/>
              <w:rPr>
                <w:rFonts w:ascii="宋体" w:hAnsi="宋体"/>
              </w:rPr>
            </w:pPr>
            <w:r>
              <w:rPr>
                <w:rFonts w:hint="eastAsia" w:ascii="宋体" w:hAnsi="宋体"/>
              </w:rPr>
              <w:t>支持一对多或多对一文件同步</w:t>
            </w:r>
          </w:p>
          <w:p>
            <w:pPr>
              <w:pStyle w:val="10"/>
              <w:jc w:val="left"/>
              <w:rPr>
                <w:rFonts w:ascii="宋体" w:hAnsi="宋体"/>
              </w:rPr>
            </w:pPr>
            <w:r>
              <w:rPr>
                <w:rFonts w:hint="eastAsia" w:ascii="宋体" w:hAnsi="宋体"/>
              </w:rPr>
              <w:t>支持文件变动实时同步、定时同步、系统资源空闲智能同步等多种同步方式</w:t>
            </w:r>
          </w:p>
          <w:p>
            <w:pPr>
              <w:pStyle w:val="10"/>
              <w:jc w:val="left"/>
              <w:rPr>
                <w:rFonts w:ascii="宋体" w:hAnsi="宋体"/>
              </w:rPr>
            </w:pPr>
            <w:r>
              <w:rPr>
                <w:rFonts w:hint="eastAsia" w:ascii="宋体" w:hAnsi="宋体"/>
              </w:rPr>
              <w:t>支持同步删除和同步覆盖策略配置，并能将同步删除和同步覆盖的文件备份到指定文件夹</w:t>
            </w:r>
          </w:p>
          <w:p>
            <w:pPr>
              <w:pStyle w:val="10"/>
              <w:jc w:val="left"/>
              <w:rPr>
                <w:rFonts w:ascii="宋体" w:hAnsi="宋体"/>
              </w:rPr>
            </w:pPr>
            <w:r>
              <w:rPr>
                <w:rFonts w:hint="eastAsia" w:ascii="宋体" w:hAnsi="宋体"/>
              </w:rPr>
              <w:t>支持文件同步容错策略和告警策略，同步出错能够自动重传并能够设置重传次数，出现异常同步状况能够终止同步弹出告警提示并记录日志。（提供功能截图证明）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7</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数据库访问功能</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提供对多种主流数据库,如：MYSQL、SQLSERVER、ORACLE、DB2、SYBASE等系统的安全访问</w:t>
            </w:r>
          </w:p>
          <w:p>
            <w:pPr>
              <w:pStyle w:val="10"/>
              <w:jc w:val="left"/>
              <w:rPr>
                <w:rFonts w:ascii="宋体" w:hAnsi="宋体"/>
              </w:rPr>
            </w:pPr>
            <w:r>
              <w:rPr>
                <w:rFonts w:hint="eastAsia" w:ascii="宋体" w:hAnsi="宋体"/>
              </w:rPr>
              <w:t>代理、透明和路由工作模式下均支持数据库内部命令及命令参数控制策略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8</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数据库同步功能</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基于专用客户端与网闸安全连接方式，提供多种主流数据库系统如：ORACLE、SQLSERVER、MYSQL、SYBASE、DB2等之间的同步</w:t>
            </w:r>
          </w:p>
          <w:p>
            <w:pPr>
              <w:pStyle w:val="10"/>
              <w:jc w:val="left"/>
              <w:rPr>
                <w:rFonts w:ascii="宋体" w:hAnsi="宋体"/>
              </w:rPr>
            </w:pPr>
            <w:r>
              <w:rPr>
                <w:rFonts w:hint="eastAsia" w:ascii="宋体" w:hAnsi="宋体"/>
              </w:rPr>
              <w:t>支持达梦、人大金仓等国产数据。（提供功能截图证明）</w:t>
            </w:r>
          </w:p>
          <w:p>
            <w:pPr>
              <w:pStyle w:val="10"/>
              <w:jc w:val="left"/>
              <w:rPr>
                <w:rFonts w:ascii="宋体" w:hAnsi="宋体"/>
              </w:rPr>
            </w:pPr>
            <w:r>
              <w:rPr>
                <w:rFonts w:hint="eastAsia" w:ascii="宋体" w:hAnsi="宋体"/>
              </w:rPr>
              <w:t>支持二进制普通文件、图片、文本文件及BLOB大字段同步。（提供功能截图证明）</w:t>
            </w:r>
          </w:p>
          <w:p>
            <w:pPr>
              <w:pStyle w:val="10"/>
              <w:jc w:val="left"/>
              <w:rPr>
                <w:rFonts w:ascii="宋体" w:hAnsi="宋体"/>
              </w:rPr>
            </w:pPr>
            <w:r>
              <w:rPr>
                <w:rFonts w:hint="eastAsia" w:ascii="宋体" w:hAnsi="宋体"/>
              </w:rPr>
              <w:t>支持数据一对一、一对多、多对多的单向或双向交换和同步</w:t>
            </w:r>
          </w:p>
          <w:p>
            <w:pPr>
              <w:pStyle w:val="10"/>
              <w:jc w:val="left"/>
              <w:rPr>
                <w:rFonts w:ascii="宋体" w:hAnsi="宋体"/>
              </w:rPr>
            </w:pPr>
            <w:r>
              <w:rPr>
                <w:rFonts w:hint="eastAsia" w:ascii="宋体" w:hAnsi="宋体"/>
              </w:rPr>
              <w:t>支持数据库实时同步或定时同步的策略定义</w:t>
            </w:r>
          </w:p>
          <w:p>
            <w:pPr>
              <w:pStyle w:val="10"/>
              <w:jc w:val="left"/>
              <w:rPr>
                <w:rFonts w:ascii="宋体" w:hAnsi="宋体"/>
              </w:rPr>
            </w:pPr>
            <w:r>
              <w:rPr>
                <w:rFonts w:hint="eastAsia" w:ascii="宋体" w:hAnsi="宋体"/>
              </w:rPr>
              <w:t>数据库同步传输不使用通用数据库服务端口例如1433、1521、3306等，保障数据库同步传输的安全性</w:t>
            </w:r>
          </w:p>
          <w:p>
            <w:pPr>
              <w:pStyle w:val="10"/>
              <w:jc w:val="left"/>
              <w:rPr>
                <w:rFonts w:ascii="宋体" w:hAnsi="宋体"/>
              </w:rPr>
            </w:pPr>
            <w:r>
              <w:rPr>
                <w:rFonts w:hint="eastAsia" w:ascii="宋体" w:hAnsi="宋体"/>
              </w:rPr>
              <w:t>支持灵活的数据冲突检测机制，当同步的数据记录发成冲突时，可以灵活处理出现冲突的数据记录</w:t>
            </w:r>
          </w:p>
          <w:p>
            <w:pPr>
              <w:pStyle w:val="10"/>
              <w:jc w:val="left"/>
              <w:rPr>
                <w:rFonts w:ascii="宋体" w:hAnsi="宋体"/>
              </w:rPr>
            </w:pPr>
            <w:r>
              <w:rPr>
                <w:rFonts w:hint="eastAsia" w:ascii="宋体" w:hAnsi="宋体"/>
              </w:rPr>
              <w:t>数据库同步高可靠性，即使发生网络故障，已变化数据也不会丢失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9</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管理配置</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管理采用C/S架构专有协议管理，网闸管理口无IP地址，管理主机也不必设置IP即可搜索到设备，管理设备，支持设备集中管理（提供功能截图证明）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auto"/>
                <w:sz w:val="21"/>
                <w:szCs w:val="21"/>
              </w:rPr>
            </w:pPr>
            <w:r>
              <w:rPr>
                <w:rFonts w:hint="eastAsia" w:ascii="宋体" w:hAnsi="宋体"/>
                <w:sz w:val="21"/>
                <w:szCs w:val="21"/>
              </w:rPr>
              <w:t>10</w:t>
            </w:r>
          </w:p>
        </w:tc>
        <w:tc>
          <w:tcPr>
            <w:tcW w:w="1469" w:type="dxa"/>
            <w:tcBorders>
              <w:top w:val="single" w:color="auto" w:sz="6" w:space="0"/>
              <w:left w:val="nil"/>
              <w:bottom w:val="single" w:color="auto" w:sz="6" w:space="0"/>
              <w:right w:val="single" w:color="auto" w:sz="6" w:space="0"/>
            </w:tcBorders>
            <w:vAlign w:val="center"/>
          </w:tcPr>
          <w:p>
            <w:pPr>
              <w:pStyle w:val="10"/>
              <w:jc w:val="left"/>
            </w:pPr>
            <w:r>
              <w:rPr>
                <w:rFonts w:hint="eastAsia" w:ascii="宋体" w:hAnsi="宋体"/>
              </w:rPr>
              <w:t>日志审计</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支持对所有访问进行日志记录，包括系统事件、成功事件、报警事件提供对日志信息的浏览、查询、删除、下载等多种操作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 w:hRule="atLeast"/>
        </w:trPr>
        <w:tc>
          <w:tcPr>
            <w:tcW w:w="780" w:type="dxa"/>
            <w:tcBorders>
              <w:top w:val="single" w:color="auto" w:sz="6" w:space="0"/>
              <w:left w:val="single" w:color="auto" w:sz="6" w:space="0"/>
              <w:bottom w:val="single" w:color="auto" w:sz="6" w:space="0"/>
              <w:right w:val="single" w:color="auto" w:sz="6" w:space="0"/>
            </w:tcBorders>
            <w:vAlign w:val="center"/>
          </w:tcPr>
          <w:p>
            <w:pPr>
              <w:jc w:val="center"/>
              <w:rPr>
                <w:rStyle w:val="13"/>
                <w:rFonts w:hint="default"/>
                <w:color w:val="FF0000"/>
                <w:sz w:val="21"/>
                <w:szCs w:val="21"/>
              </w:rPr>
            </w:pPr>
            <w:r>
              <w:rPr>
                <w:rFonts w:hint="eastAsia" w:ascii="宋体" w:hAnsi="宋体"/>
                <w:color w:val="FF0000"/>
                <w:sz w:val="21"/>
                <w:szCs w:val="21"/>
              </w:rPr>
              <w:t>11</w:t>
            </w:r>
          </w:p>
        </w:tc>
        <w:tc>
          <w:tcPr>
            <w:tcW w:w="1469" w:type="dxa"/>
            <w:tcBorders>
              <w:top w:val="single" w:color="auto" w:sz="6" w:space="0"/>
              <w:left w:val="nil"/>
              <w:bottom w:val="single" w:color="auto" w:sz="6" w:space="0"/>
              <w:right w:val="single" w:color="auto" w:sz="6" w:space="0"/>
            </w:tcBorders>
            <w:vAlign w:val="center"/>
          </w:tcPr>
          <w:p>
            <w:pPr>
              <w:pStyle w:val="10"/>
              <w:jc w:val="left"/>
              <w:rPr>
                <w:color w:val="FF0000"/>
              </w:rPr>
            </w:pPr>
            <w:r>
              <w:rPr>
                <w:rFonts w:hint="eastAsia" w:ascii="宋体" w:hAnsi="宋体" w:eastAsia="宋体" w:cs="宋体"/>
                <w:color w:val="FF0000"/>
                <w:sz w:val="21"/>
                <w:szCs w:val="21"/>
                <w:lang w:eastAsia="zh-CN"/>
              </w:rPr>
              <w:t>*</w:t>
            </w:r>
            <w:r>
              <w:rPr>
                <w:rFonts w:hint="eastAsia" w:ascii="宋体" w:hAnsi="宋体"/>
                <w:color w:val="FF0000"/>
              </w:rPr>
              <w:t>产品资质</w:t>
            </w:r>
          </w:p>
        </w:tc>
        <w:tc>
          <w:tcPr>
            <w:tcW w:w="7379" w:type="dxa"/>
            <w:tcBorders>
              <w:top w:val="single" w:color="auto" w:sz="6" w:space="0"/>
              <w:left w:val="nil"/>
              <w:bottom w:val="single" w:color="auto" w:sz="6" w:space="0"/>
              <w:right w:val="single" w:color="auto" w:sz="6" w:space="0"/>
            </w:tcBorders>
            <w:vAlign w:val="center"/>
          </w:tcPr>
          <w:p>
            <w:pPr>
              <w:pStyle w:val="10"/>
              <w:jc w:val="left"/>
              <w:rPr>
                <w:rFonts w:ascii="宋体" w:hAnsi="宋体"/>
              </w:rPr>
            </w:pPr>
            <w:r>
              <w:rPr>
                <w:rFonts w:hint="eastAsia" w:ascii="宋体" w:hAnsi="宋体"/>
              </w:rPr>
              <w:t>具备公安部计算机信息系统安全专用产品销售许可证书</w:t>
            </w:r>
          </w:p>
          <w:p>
            <w:pPr>
              <w:pStyle w:val="10"/>
              <w:jc w:val="left"/>
              <w:rPr>
                <w:rFonts w:ascii="宋体" w:hAnsi="宋体"/>
              </w:rPr>
            </w:pPr>
            <w:r>
              <w:rPr>
                <w:rFonts w:hint="eastAsia" w:ascii="宋体" w:hAnsi="宋体"/>
              </w:rPr>
              <w:t>具备信息安全认证中心中国国家信息安全产品认证证书</w:t>
            </w:r>
          </w:p>
        </w:tc>
      </w:tr>
    </w:tbl>
    <w:p>
      <w:pPr>
        <w:pStyle w:val="5"/>
        <w:numPr>
          <w:ilvl w:val="4"/>
          <w:numId w:val="0"/>
        </w:numPr>
        <w:ind w:leftChars="0"/>
      </w:pPr>
      <w:r>
        <w:rPr>
          <w:rFonts w:hint="eastAsia"/>
          <w:lang w:val="en-US" w:eastAsia="zh-CN"/>
        </w:rPr>
        <w:t>4.8.2.3.7.</w:t>
      </w:r>
      <w:r>
        <w:rPr>
          <w:rFonts w:hint="eastAsia"/>
        </w:rPr>
        <w:t>存储备份一体机</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874"/>
        <w:gridCol w:w="1693"/>
        <w:gridCol w:w="6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1"/>
                <w:szCs w:val="21"/>
              </w:rPr>
            </w:pPr>
            <w:r>
              <w:rPr>
                <w:rFonts w:hint="eastAsia" w:ascii="宋体" w:hAnsi="宋体"/>
                <w:b/>
                <w:bCs/>
                <w:sz w:val="21"/>
                <w:szCs w:val="21"/>
              </w:rPr>
              <w:t>序号</w:t>
            </w:r>
          </w:p>
        </w:tc>
        <w:tc>
          <w:tcPr>
            <w:tcW w:w="2567" w:type="dxa"/>
            <w:gridSpan w:val="2"/>
            <w:tcBorders>
              <w:top w:val="single" w:color="auto" w:sz="4" w:space="0"/>
              <w:left w:val="nil"/>
              <w:bottom w:val="single" w:color="auto" w:sz="4" w:space="0"/>
              <w:right w:val="single" w:color="auto" w:sz="4" w:space="0"/>
            </w:tcBorders>
            <w:vAlign w:val="center"/>
          </w:tcPr>
          <w:p>
            <w:pPr>
              <w:jc w:val="center"/>
              <w:rPr>
                <w:rFonts w:ascii="宋体" w:hAnsi="宋体"/>
                <w:b/>
                <w:bCs/>
                <w:sz w:val="21"/>
                <w:szCs w:val="21"/>
              </w:rPr>
            </w:pPr>
            <w:r>
              <w:rPr>
                <w:rFonts w:hint="eastAsia" w:ascii="宋体" w:hAnsi="宋体"/>
                <w:b/>
                <w:bCs/>
                <w:sz w:val="21"/>
                <w:szCs w:val="21"/>
              </w:rPr>
              <w:t>指标项</w:t>
            </w:r>
          </w:p>
        </w:tc>
        <w:tc>
          <w:tcPr>
            <w:tcW w:w="6229" w:type="dxa"/>
            <w:tcBorders>
              <w:top w:val="single" w:color="auto" w:sz="4" w:space="0"/>
              <w:left w:val="nil"/>
              <w:bottom w:val="single" w:color="auto" w:sz="4" w:space="0"/>
              <w:right w:val="single" w:color="auto" w:sz="4" w:space="0"/>
            </w:tcBorders>
            <w:vAlign w:val="center"/>
          </w:tcPr>
          <w:p>
            <w:pPr>
              <w:jc w:val="center"/>
              <w:rPr>
                <w:rFonts w:ascii="宋体" w:hAnsi="宋体"/>
                <w:b/>
                <w:bCs/>
                <w:sz w:val="21"/>
                <w:szCs w:val="21"/>
              </w:rPr>
            </w:pPr>
            <w:r>
              <w:rPr>
                <w:rFonts w:hint="eastAsia" w:ascii="宋体" w:hAnsi="宋体"/>
                <w:b/>
                <w:bCs/>
                <w:sz w:val="21"/>
                <w:szCs w:val="21"/>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10"/>
              <w:jc w:val="center"/>
              <w:rPr>
                <w:rFonts w:ascii="宋体" w:hAnsi="宋体"/>
                <w:szCs w:val="21"/>
              </w:rPr>
            </w:pPr>
            <w:r>
              <w:rPr>
                <w:rFonts w:hint="eastAsia" w:ascii="宋体" w:hAnsi="宋体"/>
              </w:rPr>
              <w:t>1</w:t>
            </w:r>
          </w:p>
        </w:tc>
        <w:tc>
          <w:tcPr>
            <w:tcW w:w="874"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硬件要求</w:t>
            </w: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处理器</w:t>
            </w:r>
          </w:p>
        </w:tc>
        <w:tc>
          <w:tcPr>
            <w:tcW w:w="6229" w:type="dxa"/>
            <w:tcBorders>
              <w:top w:val="single" w:color="auto" w:sz="4" w:space="0"/>
              <w:left w:val="nil"/>
              <w:bottom w:val="single" w:color="auto" w:sz="4" w:space="0"/>
              <w:right w:val="single" w:color="auto" w:sz="4" w:space="0"/>
            </w:tcBorders>
            <w:shd w:val="clear" w:color="auto" w:fill="FFFFFF"/>
            <w:vAlign w:val="center"/>
          </w:tcPr>
          <w:p>
            <w:pPr>
              <w:pStyle w:val="10"/>
              <w:rPr>
                <w:rFonts w:ascii="宋体" w:hAnsi="宋体"/>
              </w:rPr>
            </w:pPr>
            <w:r>
              <w:rPr>
                <w:rFonts w:hint="eastAsia" w:ascii="宋体" w:hAnsi="宋体"/>
              </w:rPr>
              <w:t>不低于1*XEON E3-1230 V5（2.4G/6核12线程）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硬盘</w:t>
            </w:r>
          </w:p>
        </w:tc>
        <w:tc>
          <w:tcPr>
            <w:tcW w:w="6229" w:type="dxa"/>
            <w:tcBorders>
              <w:top w:val="single" w:color="auto" w:sz="4" w:space="0"/>
              <w:left w:val="nil"/>
              <w:bottom w:val="single" w:color="auto" w:sz="4" w:space="0"/>
              <w:right w:val="single" w:color="auto" w:sz="4" w:space="0"/>
            </w:tcBorders>
            <w:shd w:val="clear" w:color="auto" w:fill="FFFFFF"/>
            <w:vAlign w:val="center"/>
          </w:tcPr>
          <w:p>
            <w:pPr>
              <w:pStyle w:val="10"/>
              <w:rPr>
                <w:rFonts w:ascii="宋体" w:hAnsi="宋体"/>
              </w:rPr>
            </w:pPr>
            <w:r>
              <w:rPr>
                <w:rFonts w:hint="eastAsia" w:ascii="宋体" w:hAnsi="宋体"/>
              </w:rPr>
              <w:t>配置至少支持4个硬盘槽位配置4T企业级SATA。1*240GSSD用于系统安装，不占用外部存储槽位支持在线扩容，可通过后期在线添加磁盘和扩展磁盘柜的方式，进行备份介质容量的增加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内存</w:t>
            </w:r>
          </w:p>
        </w:tc>
        <w:tc>
          <w:tcPr>
            <w:tcW w:w="6229" w:type="dxa"/>
            <w:tcBorders>
              <w:top w:val="single" w:color="auto" w:sz="4" w:space="0"/>
              <w:left w:val="nil"/>
              <w:bottom w:val="single" w:color="auto" w:sz="4" w:space="0"/>
              <w:right w:val="single" w:color="auto" w:sz="4" w:space="0"/>
            </w:tcBorders>
            <w:shd w:val="clear" w:color="auto" w:fill="FFFFFF"/>
            <w:vAlign w:val="center"/>
          </w:tcPr>
          <w:p>
            <w:pPr>
              <w:pStyle w:val="10"/>
              <w:rPr>
                <w:rFonts w:ascii="宋体" w:hAnsi="宋体"/>
              </w:rPr>
            </w:pPr>
            <w:r>
              <w:rPr>
                <w:rFonts w:hint="eastAsia" w:ascii="宋体" w:hAnsi="宋体"/>
              </w:rPr>
              <w:t>不少于8GB RAM，最大可扩容64GB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网络接口</w:t>
            </w:r>
          </w:p>
        </w:tc>
        <w:tc>
          <w:tcPr>
            <w:tcW w:w="6229" w:type="dxa"/>
            <w:tcBorders>
              <w:top w:val="single" w:color="auto" w:sz="4" w:space="0"/>
              <w:left w:val="nil"/>
              <w:bottom w:val="single" w:color="auto" w:sz="4" w:space="0"/>
              <w:right w:val="single" w:color="auto" w:sz="4" w:space="0"/>
            </w:tcBorders>
            <w:shd w:val="clear" w:color="auto" w:fill="FFFFFF"/>
            <w:vAlign w:val="center"/>
          </w:tcPr>
          <w:p>
            <w:pPr>
              <w:pStyle w:val="10"/>
              <w:rPr>
                <w:rFonts w:ascii="宋体" w:hAnsi="宋体"/>
              </w:rPr>
            </w:pPr>
            <w:r>
              <w:rPr>
                <w:rFonts w:hint="eastAsia" w:ascii="宋体" w:hAnsi="宋体"/>
              </w:rPr>
              <w:t>不少于2个千兆网络端口，网络端口都可用且可分配不同的备份任务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2</w:t>
            </w:r>
          </w:p>
        </w:tc>
        <w:tc>
          <w:tcPr>
            <w:tcW w:w="874"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保护功能</w:t>
            </w: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平台兼容性</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支持Windows、Linux、UNIX、AIX、Solaris、 HP-UX等主流操作系统，以及龙芯、飞腾架构下中标麒麟、银河麒麟等自主可控操作系统，提供自主可控操作系统互认证证书复印件，并加盖公章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支持在天津飞腾自研FT-1500A芯片系列的硬件平台上部署备份服务，提供产品的兼容性认证证书复印件，并加盖公章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支持在华为自研的高性能低功耗ARM架构64位处理器的服务器上部署备份服务，提供产品的兼容互认证证书复印件，并加盖公章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平台安全性</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基于linux的备份存储专用系统，支持https方式登录，确保登录安全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文件保护</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支持在同一文件备份作业中采用多通道并发备份，提高备份和恢复的速度。（提供产品功能截图）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文件执行完全备份后的备份集，无需还原数据，直接通过挂载方式实现即时恢复。（提供产品功能截图）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支持文件合成备份，合成数据通过挂载方式实现即时恢复（提供产品功能截图）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分布式文件保护</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支持Hadoop 分布式文件系统（HDFS）的文件备份（完全备份、增量备份、合成备份）与恢复。（提供产品功能截图）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操作系统保护</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支持linux 和windows操作系统的备份及异机恢复，支持操作系统备份与恢复的UEFI引导方式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操作系统恢复过程中提供驱动程序更换界面，允许客户针对不同的驱动程序做调整。（提供产品功能截图）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支持基于龙芯3A/3B、飞腾1000/1500架构上的操作系统备份以及基于龙芯3A/3B的裸机恢复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支持把Windows 操作系统的备份数据直接生成为VMWare、KVM、H3C CAS等虚拟平台支持数据，通过挂载方式实现即时恢复。（提供产品功能截图）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数据库应用保护</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支持主流的数据库备份恢复，包括但不限于Oracle、 SQL Server、MySQL、Sybase、DB2、Informix、PostgreSQL、MongoDB、Exchange、SharePoint、Domino等主流数据库应用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MySQL的逻辑备份和物理备份（完全备份、增量备份、日志备份、连续日志备份），通过物理备份实现对数据库的热备份。支持MySQL基于物理备份的备份数据（非CDP备份数据），实现任意时间点的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支持采用ON-Bar方式实现对Informix的任意时间点备份/恢复，并支持自动配置ON-Bar的相关配置文件，以及设置自动日志备份。（提供产品功能截图）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支持国产主流的数据备份恢复，包括但不限于达梦（DM）、人大金仓（kingbase）、南大通用（GBase）、神州通用（ShenTong）等数据库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支持Oracle单个表和多个表在不同时间点上的恢复、支持对Exchange单邮件恢复；（提供产品功能截图）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支持对Oracle的日志进行详细解析，可以查看每条日志数据的实际执行内容，包括：时间、 SCN、 用户名、 表名、 操作类型、 SQL 语句等。在数据恢复作业中可以选择准确的SCN来确定数据恢复点。（提供产品功能截图）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针对Oracle中已经提交的事务，根据日志解析后得到的SQL语句，创建撤销处理，把数据回滚到事务提交前的状态。（提供产品功能截图）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支持对Oracle、MySQL的日志文件采用连续日志备份方式，持续监控日志文件的变化情况，即时把新增日志的数据块进行备份，实现对数据库变化数据达到秒级以内的备份保护。（提供产品功能截图）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支持Oracle、SQL Server、MySQL等合成备份，不用周期性执行全量备份，只需把增量数据合并到已存储的全量数据，就可生成新的全量数据，合成后的备份数据通过挂载方式实现即时恢复，极大缩短数据恢复的时间窗口。（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支持Oracle数据库的逻辑备份，以非脚本方式实现导入/导出功能（提供产品功能截图）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产品必须支持Oracle RAC 在内的多种集群环境的数据备份，支持RAC集群环境向备用机的恢复，只需通过web向导界面即可完成配置，无须手工修改rman脚本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 SQL Server Always On Availability Groups 的备份和恢复。（提供产品功能截图）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在同一DB2的作业配置中，支持自定义配置多通道并行数据传输，提升数据备份或恢复效率。（提供产品功能截图）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在作业配置向导界面中提供时间导轨滚动条，通过拉动滚动条，提供以秒为进度单位来选定恢复时间点，实现数据库可以在任意时间点上的恢复。（提供产品功能截图）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3</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实时保护</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支持CDP实时容灾功能，可实现秒级内的数据实时容灾。在恢复时支持通过挂载方式实现任意时间点的即时恢复（提供产品功能截图）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数据库采用基于应用层（非物理IO同步方式）数据同步技术实现业务容灾，支持主从切换、继续同步等灵活功能。容灾主机可在线激活，承担业务数据查询等功能，并能够继续同步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 Oracle RAC 在内的多种集群环境下的数据库主备切换、应用接管。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4</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云平台保护</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支持VMware、Hyper-V、Xenserver、Xen、KVM、FusionSphere、H3C CAS、OpenStack、CNware等虚拟机的备份恢复（不能采用guest host 操作系统备份恢复方式）。（提供产品功能截图）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针对Vmware、Hyper-V、H3C CAS等虚拟化平台，支持通过挂载方式实现虚拟机的即时恢复。（提供产品功能截图）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Vmware平台虚拟机备份，恢复时可恢复虚拟机网络标签及IP地址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支持VMWare策略化配置合成备份。（提供产品功能截图）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支持备份产品和VMWare vCenter平台信息联动，在VMWare vCenter的管理界面上可以直接查看备份产品中虚拟机备份任务的状态。（提供产品功能截图）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支持KVM、H3C CAS、XenServer、CNware等虚拟平台下虚拟机的差异备份。（提供产品功能截图）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5</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高可用支持</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可支持共享型存储和镜像型存储的高可用集群，可支持一主多备模式集群（提供产品功能截图）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6</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重复数据删除</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支持固定块、变长块的数据重删技术，在创建重删存储空间时，需要提供变长和固定数据的数据块大小选择。（提供产品功能截图）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支持对操作系统、文件、各种数据库与虚拟机等备份集的重复数据删除功能。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7</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远程复制</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支持catalog、备份集等备份数据的异地容灾，即通过异地存储的备份数据，对本地、异地中备份服务器、存储服务器、代理端等设备，实现在本机或异机上进行恢复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支持备份任务执行时，采用接龙式的点到点复制方式，实现备份集在存储服务器中的多份同步复制，避免源端服务器在备份集进行1对多并发复制时造成的占用多倍传输资源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8</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磁带支持</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支持LAN-free备份架构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提供对文件、操作系统、数据库、应用软件、虚拟化的备份保护，支持D2T和D2D2T模式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9</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数据加密</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支持AES、Blowfish等加密算法。对于AES加密需要支持选择不同密钥长度，以便用户根据源端计算资源情况选择合适的数据加密处理。（提供产品功能截图）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10</w:t>
            </w: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云端备份</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基于对象存储技术，支持采用D2C方式，把本地数据备份到云平台，实现本地与云端数据的协同保护，云平台包括但不限于：亚马逊云、阿里云、微软云、百度云、腾讯云、华为云、新浪云、天翼云、金山云等。（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11</w:t>
            </w:r>
          </w:p>
        </w:tc>
        <w:tc>
          <w:tcPr>
            <w:tcW w:w="874"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可用性</w:t>
            </w: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可用性验证</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支持对Oracle、SQL Server、MySQL、DB2、PostgreSQL、Informix、Sybase、达梦、Kingbase、Gbase、Domino等主流数据库的备份集进行定时容灾演练，以此检验备份集的可用性。（提供产品功能截图）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restart"/>
            <w:tcBorders>
              <w:top w:val="nil"/>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12</w:t>
            </w:r>
          </w:p>
        </w:tc>
        <w:tc>
          <w:tcPr>
            <w:tcW w:w="874"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可管理性</w:t>
            </w: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管理方式</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采用先进的运维管理架构，平台同时兼容备份、CDP、高可用、数据库同步等功能要求，所有功能的管理和监控，都在备份软件中采用同一可视化界面实现。（提供产品功能截图）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智能报表，能够自定义报表。自主选择字段来源以及需要显示的字段等，并能够自定义新字段。支持筛选，排序等动作。（提供产品功能截图）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支持自定义启动需要审批的业务流程，包括创建存储空间、创建备份作业、创建恢复作业等，对需要审批的业务提供审批流程管理。（提供产品功能截图）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支持同一存储空间中通过添加多个存储（介质）服务器，把存储容量进行合并，达到备份数据存储空间的平滑扩展。（提供产品功能截图）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支持对存储大小、主机、资源、作业速度、作业耗时等备份相关资源进行图形统计，并根据存储使用趋势提供存储空间的使用建议。（提供产品功能截图）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告警方式</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支持以邮件告警的方式，针对于备份存储系统的硬件故障、软件故障等等信息及时通知管理员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8" w:hRule="atLeast"/>
        </w:trPr>
        <w:tc>
          <w:tcPr>
            <w:tcW w:w="832" w:type="dxa"/>
            <w:vMerge w:val="restart"/>
            <w:tcBorders>
              <w:top w:val="nil"/>
              <w:left w:val="single" w:color="auto" w:sz="4" w:space="0"/>
              <w:bottom w:val="single" w:color="auto" w:sz="4" w:space="0"/>
              <w:right w:val="single" w:color="auto" w:sz="4" w:space="0"/>
            </w:tcBorders>
            <w:vAlign w:val="center"/>
          </w:tcPr>
          <w:p>
            <w:pPr>
              <w:pStyle w:val="10"/>
              <w:jc w:val="center"/>
              <w:rPr>
                <w:rFonts w:ascii="宋体" w:hAnsi="宋体"/>
              </w:rPr>
            </w:pPr>
            <w:r>
              <w:rPr>
                <w:rFonts w:hint="eastAsia" w:ascii="宋体" w:hAnsi="宋体"/>
              </w:rPr>
              <w:t>13</w:t>
            </w:r>
          </w:p>
        </w:tc>
        <w:tc>
          <w:tcPr>
            <w:tcW w:w="874"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eastAsia="宋体" w:cs="宋体"/>
                <w:color w:val="FF0000"/>
                <w:sz w:val="21"/>
                <w:szCs w:val="21"/>
                <w:lang w:eastAsia="zh-CN"/>
              </w:rPr>
              <w:t>*</w:t>
            </w:r>
            <w:r>
              <w:rPr>
                <w:rFonts w:hint="eastAsia" w:ascii="宋体" w:hAnsi="宋体"/>
                <w:color w:val="FF0000"/>
              </w:rPr>
              <w:t>资质</w:t>
            </w: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产品资质证书</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 xml:space="preserve"> 投标产品必须具有由公安部颁发的《安全产品销售许可证》（提供证书复印件）</w:t>
            </w:r>
          </w:p>
          <w:p>
            <w:pPr>
              <w:pStyle w:val="10"/>
              <w:rPr>
                <w:rFonts w:ascii="宋体" w:hAnsi="宋体"/>
              </w:rPr>
            </w:pPr>
            <w:r>
              <w:rPr>
                <w:rFonts w:hint="eastAsia" w:ascii="宋体" w:hAnsi="宋体"/>
              </w:rPr>
              <w:t xml:space="preserve">  投标产品必须具有国家保密科技测评中心颁发的《涉密信息系统产品检测证书》（提供证书复印件）</w:t>
            </w:r>
          </w:p>
          <w:p>
            <w:pPr>
              <w:pStyle w:val="10"/>
              <w:rPr>
                <w:rFonts w:ascii="宋体" w:hAnsi="宋体"/>
              </w:rPr>
            </w:pPr>
            <w:r>
              <w:rPr>
                <w:rFonts w:hint="eastAsia" w:ascii="宋体" w:hAnsi="宋体"/>
              </w:rPr>
              <w:t xml:space="preserve"> 投标产品必须具有中国信息安全认证中心颁发的《中国国家信息安全产品认证证书》（提供复印件）</w:t>
            </w:r>
          </w:p>
          <w:p>
            <w:pPr>
              <w:pStyle w:val="10"/>
              <w:rPr>
                <w:rFonts w:ascii="宋体" w:hAnsi="宋体"/>
              </w:rPr>
            </w:pPr>
            <w:r>
              <w:rPr>
                <w:rFonts w:hint="eastAsia" w:ascii="宋体" w:hAnsi="宋体"/>
              </w:rPr>
              <w:t xml:space="preserve"> 投标产品必须具有国家版权局颁发的软件著作权证书。（提供证书复印件）</w:t>
            </w:r>
          </w:p>
          <w:p>
            <w:pPr>
              <w:pStyle w:val="10"/>
              <w:rPr>
                <w:rFonts w:ascii="宋体" w:hAnsi="宋体"/>
              </w:rPr>
            </w:pPr>
            <w:r>
              <w:rPr>
                <w:rFonts w:hint="eastAsia" w:ascii="宋体" w:hAnsi="宋体"/>
              </w:rPr>
              <w:t xml:space="preserve"> 提供商用密码产品生产定点单位证书（提供证书复印件）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操作系统认证</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投标产品中内置操作系统部件需要得到操作系统厂商的认证，要求提供官网截图加盖公章，并在官网可查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节能认证</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 xml:space="preserve">备份容灾产品具有中国质量认证中心颁发的《中国节能产品认证证书》 </w:t>
            </w:r>
          </w:p>
          <w:p>
            <w:pPr>
              <w:pStyle w:val="10"/>
              <w:rPr>
                <w:rFonts w:ascii="宋体" w:hAnsi="宋体"/>
              </w:rPr>
            </w:pPr>
            <w:r>
              <w:rPr>
                <w:rFonts w:hint="eastAsia" w:ascii="宋体" w:hAnsi="宋体"/>
              </w:rPr>
              <w:t>备份容灾产品列入中国政府采购网节能产品政府采购清单（提供官网下载链接以及清单截图并加盖公章）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商标注册</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 xml:space="preserve">为了核实投标产品是正版产品，投标产品需具有商标局颁发的《商标注册证》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项目人员认证</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供应商必须具有4名以上获得工信部容灾备份管理师证书的工程师；提供用工合同证明和管理师证书的扫描件或复印件，以保证项目的顺利实施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restart"/>
            <w:tcBorders>
              <w:top w:val="nil"/>
              <w:left w:val="nil"/>
              <w:bottom w:val="single" w:color="auto" w:sz="4" w:space="0"/>
              <w:right w:val="single" w:color="auto" w:sz="4" w:space="0"/>
            </w:tcBorders>
            <w:vAlign w:val="center"/>
          </w:tcPr>
          <w:p>
            <w:pPr>
              <w:pStyle w:val="10"/>
              <w:rPr>
                <w:rFonts w:ascii="宋体" w:hAnsi="宋体"/>
              </w:rPr>
            </w:pPr>
            <w:r>
              <w:rPr>
                <w:rFonts w:hint="eastAsia" w:ascii="宋体" w:hAnsi="宋体"/>
              </w:rPr>
              <w:t>产品兼容认证</w:t>
            </w: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为保障项目投资，投标产品应获得国产数据库（南大通用、神舟通用、人大金仓、达梦、星瑞格）、国产操作系统（中标麒麟、银河麒麟、红旗Linux、深度、浪潮、普华）、国产云平台（华为FusionSphere、华三CAS、EasyStack ECS、云宏CNware）、国产服务器（中科曙光、龙芯、天津飞腾、华为ARM）等国产产品及厂商的认证证书，需提供证书复印件，并加盖公章，满足后续国产化要求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投标产品通过Oracle 公司颁发的BSP资质认证，要求提供Oracle官网截图加盖公章，并在Oracle官网可查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投标产品通过 VMware Ready Application Software 的认证，要求提供VMware官网截图加盖公章，并在VMware官网可查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8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87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169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6229"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投标产品通过 Citrix Ready 的认证，要求提供 Citrix 官网截图加盖公章，并在 Citrix 官网可查</w:t>
            </w:r>
          </w:p>
        </w:tc>
      </w:tr>
    </w:tbl>
    <w:p>
      <w:pPr>
        <w:ind w:firstLine="480"/>
        <w:rPr>
          <w:szCs w:val="28"/>
        </w:rPr>
      </w:pPr>
      <w:r>
        <w:rPr>
          <w:rFonts w:hint="eastAsia"/>
        </w:rPr>
        <w:t xml:space="preserve"> </w:t>
      </w:r>
    </w:p>
    <w:p>
      <w:pPr>
        <w:pStyle w:val="5"/>
        <w:numPr>
          <w:ilvl w:val="4"/>
          <w:numId w:val="0"/>
        </w:numPr>
        <w:ind w:leftChars="0"/>
      </w:pPr>
      <w:r>
        <w:rPr>
          <w:rFonts w:hint="eastAsia"/>
          <w:lang w:val="en-US" w:eastAsia="zh-CN"/>
        </w:rPr>
        <w:t>4.8.2.3.8.</w:t>
      </w:r>
      <w:r>
        <w:rPr>
          <w:rFonts w:hint="eastAsia"/>
        </w:rPr>
        <w:t>防病毒软件</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847"/>
        <w:gridCol w:w="8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8"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b/>
                <w:bCs/>
                <w:sz w:val="21"/>
                <w:szCs w:val="21"/>
              </w:rPr>
            </w:pPr>
            <w:r>
              <w:rPr>
                <w:rFonts w:hint="eastAsia" w:ascii="宋体" w:hAnsi="宋体"/>
                <w:b/>
                <w:bCs/>
                <w:sz w:val="21"/>
                <w:szCs w:val="21"/>
              </w:rPr>
              <w:t>序号</w:t>
            </w:r>
          </w:p>
        </w:tc>
        <w:tc>
          <w:tcPr>
            <w:tcW w:w="847" w:type="dxa"/>
            <w:tcBorders>
              <w:top w:val="single" w:color="auto" w:sz="4" w:space="0"/>
              <w:left w:val="nil"/>
              <w:bottom w:val="single" w:color="auto" w:sz="4" w:space="0"/>
              <w:right w:val="single" w:color="auto" w:sz="4" w:space="0"/>
            </w:tcBorders>
            <w:shd w:val="clear" w:color="auto" w:fill="FFFFFF"/>
            <w:vAlign w:val="center"/>
          </w:tcPr>
          <w:p>
            <w:pPr>
              <w:pStyle w:val="10"/>
              <w:rPr>
                <w:rFonts w:ascii="宋体" w:hAnsi="宋体"/>
                <w:b/>
                <w:bCs/>
                <w:szCs w:val="21"/>
              </w:rPr>
            </w:pPr>
            <w:r>
              <w:rPr>
                <w:rFonts w:hint="eastAsia" w:ascii="宋体" w:hAnsi="宋体"/>
                <w:b/>
                <w:bCs/>
              </w:rPr>
              <w:t>指标项</w:t>
            </w:r>
          </w:p>
        </w:tc>
        <w:tc>
          <w:tcPr>
            <w:tcW w:w="8003" w:type="dxa"/>
            <w:tcBorders>
              <w:top w:val="single" w:color="auto" w:sz="4" w:space="0"/>
              <w:left w:val="nil"/>
              <w:bottom w:val="single" w:color="auto" w:sz="4" w:space="0"/>
              <w:right w:val="single" w:color="auto" w:sz="4" w:space="0"/>
            </w:tcBorders>
            <w:shd w:val="clear" w:color="auto" w:fill="FFFFFF"/>
            <w:vAlign w:val="center"/>
          </w:tcPr>
          <w:p>
            <w:pPr>
              <w:pStyle w:val="10"/>
              <w:ind w:firstLine="361"/>
              <w:jc w:val="center"/>
              <w:rPr>
                <w:rFonts w:ascii="宋体" w:hAnsi="宋体"/>
                <w:b/>
                <w:bCs/>
              </w:rPr>
            </w:pPr>
            <w:r>
              <w:rPr>
                <w:rFonts w:hint="eastAsia" w:ascii="宋体" w:hAnsi="宋体"/>
                <w:b/>
                <w:bCs/>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847" w:type="dxa"/>
            <w:vMerge w:val="restart"/>
            <w:tcBorders>
              <w:top w:val="nil"/>
              <w:left w:val="nil"/>
              <w:bottom w:val="single" w:color="auto" w:sz="4" w:space="0"/>
              <w:right w:val="single" w:color="auto" w:sz="4" w:space="0"/>
            </w:tcBorders>
            <w:vAlign w:val="center"/>
          </w:tcPr>
          <w:p>
            <w:pPr>
              <w:pStyle w:val="10"/>
              <w:rPr>
                <w:rFonts w:ascii="宋体" w:hAnsi="宋体"/>
                <w:szCs w:val="21"/>
              </w:rPr>
            </w:pPr>
            <w:r>
              <w:rPr>
                <w:rFonts w:hint="eastAsia" w:ascii="宋体" w:hAnsi="宋体"/>
              </w:rPr>
              <w:t>安装部署</w:t>
            </w: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管理端支持全中文界面，纯B/S架构，无需安装客户端软件。管理员只需通过浏览器登陆控制中心，即可对虚拟机进行管理。防病毒的病毒查杀支持多引擎的协同工作对病毒、木马、恶意软件、引导区病毒、BIOS病毒等进行查杀，提供主动防御系统防护等功能</w:t>
            </w:r>
          </w:p>
          <w:p>
            <w:pPr>
              <w:pStyle w:val="10"/>
              <w:rPr>
                <w:rFonts w:ascii="宋体" w:hAnsi="宋体"/>
              </w:rPr>
            </w:pPr>
            <w:r>
              <w:rPr>
                <w:rFonts w:hint="eastAsia" w:ascii="宋体" w:hAnsi="宋体"/>
              </w:rPr>
              <w:t>客户端默认支持WindowsXP/VISTA/WIN7/WIN8/WIN10，含三年升级许可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客户端资源占用应小于50MB，有效节省终端资源使用率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至少支持WindowsXP、Windows 7、Windows 8、Windows 10等32位/64位操作系统，同时并支持Windows2003、Windows2008、Windows2012等32位/64位服务器操作系统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2</w:t>
            </w:r>
          </w:p>
        </w:tc>
        <w:tc>
          <w:tcPr>
            <w:tcW w:w="847" w:type="dxa"/>
            <w:vMerge w:val="restart"/>
            <w:tcBorders>
              <w:top w:val="nil"/>
              <w:left w:val="nil"/>
              <w:bottom w:val="single" w:color="auto" w:sz="4" w:space="0"/>
              <w:right w:val="single" w:color="auto" w:sz="4" w:space="0"/>
            </w:tcBorders>
            <w:vAlign w:val="center"/>
          </w:tcPr>
          <w:p>
            <w:pPr>
              <w:pStyle w:val="10"/>
              <w:rPr>
                <w:rFonts w:ascii="宋体" w:hAnsi="宋体"/>
                <w:szCs w:val="21"/>
              </w:rPr>
            </w:pPr>
            <w:r>
              <w:rPr>
                <w:rFonts w:hint="eastAsia" w:ascii="宋体" w:hAnsi="宋体"/>
              </w:rPr>
              <w:t>管理控制</w:t>
            </w: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全网威胁统计分析管理控制台可直观的展示病毒趋势统计、终端信息、病毒类型排行、病毒排行、终端危险排行等统计情况。并随时对网络中病毒发生的情况进行查询统计，能按时间、按IP地址、机器名、按病毒名称、病毒类型进行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管理控制台支持实时显示客户端的状态，包括机器名称、IP地址、mac地址、操作系统、显卡信息、内存大小、连接状态、监控状态、当前版本信息和物理位置等信息。（提供功能截图证明）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支持对防病毒客户端进行分组，根据不同的组别可以设定不同的策略和执行不同的任务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支持对全网进行集中的管理和任务下发，可以通过控制台立即给客户端发送命令，包括立即杀毒、立即升级、关机、重启、显示消息等，而不需要通过建立策略方式实现，从而简化和方便了管理员的管理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管理控制台支持通知客户端立即升级、强制更新、客户端主动升级等方式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支持客户端防删功能，能够防止客户端在未经管理员允许情况下强行卸载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shd w:val="clear" w:color="auto" w:fill="FFFFFF"/>
            <w:vAlign w:val="center"/>
          </w:tcPr>
          <w:p>
            <w:pPr>
              <w:pStyle w:val="10"/>
              <w:rPr>
                <w:rFonts w:ascii="宋体" w:hAnsi="宋体"/>
              </w:rPr>
            </w:pPr>
            <w:r>
              <w:rPr>
                <w:rFonts w:hint="eastAsia" w:ascii="宋体" w:hAnsi="宋体"/>
              </w:rPr>
              <w:t>支持客户端未开机的全网查杀策略设置，在客户端下次启动时策略补做功能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支持分级管理及多管理员权限划分，如：超级管理员，操作管理员。同时管理控制台支持自定义管理员权限设定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管理控制台支持对客户端的系统操作行为进行记录功能，便于管理员对用户操作审查和分析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支持客户端威胁日志信息上报统计功能，包含终端危险排行统计、防御类型分布统计、病毒类型分布统计、病毒排行统计等，支持图表显示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报表内容必须包括御类型分析、病毒类型分析、病毒排行、终端杀毒排行、病毒趋势统计、黑客拦截、对外攻击分析。支持威胁Top10、Top20、Top30排行。（提供功能截图证明）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报表应该可以通过表格以及图形方式进行展现，支持将生成的报表以Excel、word、HTML、PDF等通用格式输出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支持按日、周、月定期推送报表功能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控制台支持恶意网站拦截、浏览器保护、恶意行为、文件保护、下载保护、黑客拦截、系统加固、U盘防护、邮件监控、白名单等策略下发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管理控制台支持预制策略功能，保障新安装客户端自动应用组策略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restart"/>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3</w:t>
            </w:r>
          </w:p>
        </w:tc>
        <w:tc>
          <w:tcPr>
            <w:tcW w:w="847" w:type="dxa"/>
            <w:vMerge w:val="restart"/>
            <w:tcBorders>
              <w:top w:val="nil"/>
              <w:left w:val="nil"/>
              <w:bottom w:val="single" w:color="auto" w:sz="4" w:space="0"/>
              <w:right w:val="single" w:color="auto" w:sz="4" w:space="0"/>
            </w:tcBorders>
            <w:vAlign w:val="center"/>
          </w:tcPr>
          <w:p>
            <w:pPr>
              <w:pStyle w:val="10"/>
              <w:rPr>
                <w:rFonts w:ascii="宋体" w:hAnsi="宋体"/>
                <w:szCs w:val="21"/>
              </w:rPr>
            </w:pPr>
            <w:r>
              <w:rPr>
                <w:rFonts w:hint="eastAsia" w:ascii="宋体" w:hAnsi="宋体"/>
              </w:rPr>
              <w:t>客户端防护</w:t>
            </w: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至少支持对终端电脑内部文件进行全盘扫描、快速扫描，自定义扫描三种扫描能力。并具备空闲查杀、异步查杀、断点查杀、后台查杀等功能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支持扫描和清除各种广告软件、恶意插件、隐蔽软件、黑客工具、风险程序等等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支持Office/IE/Lotus Notes等嵌入杀毒；支持用户添加嵌入杀毒的应用程序；支持MSN Messenger、AOL Messenger、FlashGet、NetAnts、NetVampire、WinZip、WellGet、WinRAR等工具的嵌入式杀毒功能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支持未知病毒、恶意代码的防范能力，支持基于行为的检测和防护技术：针对未知恶意威胁具有行为评分能力，智能识别蠕虫木马，无需提示用户操作判断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支持病毒查杀时目录排出功能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支持U盘扫描检查功能，防止病毒通过U盘在终端传播有效保护终端不受病毒侵扰。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支持对网页进行病毒、木马进行监测及防护，对可能产生威胁的网页进行提示或屏蔽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支持客户端对外攻击检测，防止用户终端感染病毒后的对外对外攻击行为，避免用户的利益受到损害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能够实时监控和清除来自各种途径的病毒、木马、恶意程序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支持对终端内文件、邮件、网页一体化实时监控，防止病毒运行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支持基于SMTP/POP3协议的邮件监控，包括如：Outlook、Outlook Express、foxmail、DreamMail等邮件客户端的防（杀）病毒。（提供功能截图证明）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847"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21"/>
                <w:szCs w:val="21"/>
              </w:rPr>
            </w:pPr>
          </w:p>
        </w:tc>
        <w:tc>
          <w:tcPr>
            <w:tcW w:w="8003" w:type="dxa"/>
            <w:tcBorders>
              <w:top w:val="single" w:color="auto" w:sz="4" w:space="0"/>
              <w:left w:val="nil"/>
              <w:bottom w:val="single" w:color="auto" w:sz="4" w:space="0"/>
              <w:right w:val="single" w:color="auto" w:sz="4" w:space="0"/>
            </w:tcBorders>
          </w:tcPr>
          <w:p>
            <w:pPr>
              <w:pStyle w:val="10"/>
              <w:rPr>
                <w:rFonts w:ascii="宋体" w:hAnsi="宋体"/>
              </w:rPr>
            </w:pPr>
            <w:r>
              <w:rPr>
                <w:rFonts w:hint="eastAsia" w:ascii="宋体" w:hAnsi="宋体"/>
              </w:rPr>
              <w:t>支持可疑文件上报功能，如果用户觉得某个文件比较可疑，可将此文件上报给病毒管控中心进行检查分析和处理，并将情报全网共享。（提供功能截图证明）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 w:val="21"/>
                <w:szCs w:val="21"/>
              </w:rPr>
            </w:pPr>
            <w:r>
              <w:rPr>
                <w:rFonts w:hint="eastAsia" w:ascii="宋体" w:hAnsi="宋体"/>
                <w:color w:val="FF0000"/>
                <w:sz w:val="21"/>
                <w:szCs w:val="21"/>
              </w:rPr>
              <w:t>4</w:t>
            </w:r>
          </w:p>
        </w:tc>
        <w:tc>
          <w:tcPr>
            <w:tcW w:w="847" w:type="dxa"/>
            <w:tcBorders>
              <w:top w:val="single" w:color="auto" w:sz="4" w:space="0"/>
              <w:left w:val="nil"/>
              <w:bottom w:val="single" w:color="auto" w:sz="4" w:space="0"/>
              <w:right w:val="single" w:color="auto" w:sz="4" w:space="0"/>
            </w:tcBorders>
            <w:vAlign w:val="center"/>
          </w:tcPr>
          <w:p>
            <w:pPr>
              <w:pStyle w:val="10"/>
              <w:rPr>
                <w:rFonts w:ascii="宋体" w:hAnsi="宋体"/>
                <w:color w:val="FF0000"/>
                <w:szCs w:val="21"/>
              </w:rPr>
            </w:pPr>
            <w:r>
              <w:rPr>
                <w:rFonts w:hint="eastAsia" w:ascii="宋体" w:hAnsi="宋体" w:eastAsia="宋体" w:cs="宋体"/>
                <w:color w:val="FF0000"/>
                <w:sz w:val="21"/>
                <w:szCs w:val="21"/>
                <w:lang w:eastAsia="zh-CN"/>
              </w:rPr>
              <w:t>*</w:t>
            </w:r>
            <w:r>
              <w:rPr>
                <w:rFonts w:hint="eastAsia" w:ascii="宋体" w:hAnsi="宋体"/>
                <w:color w:val="FF0000"/>
              </w:rPr>
              <w:t>产品资质</w:t>
            </w:r>
          </w:p>
        </w:tc>
        <w:tc>
          <w:tcPr>
            <w:tcW w:w="8003" w:type="dxa"/>
            <w:tcBorders>
              <w:top w:val="single" w:color="auto" w:sz="4" w:space="0"/>
              <w:left w:val="nil"/>
              <w:bottom w:val="single" w:color="auto" w:sz="4" w:space="0"/>
              <w:right w:val="single" w:color="auto" w:sz="4" w:space="0"/>
            </w:tcBorders>
            <w:vAlign w:val="center"/>
          </w:tcPr>
          <w:p>
            <w:pPr>
              <w:pStyle w:val="10"/>
              <w:rPr>
                <w:rFonts w:ascii="宋体" w:hAnsi="宋体"/>
              </w:rPr>
            </w:pPr>
            <w:r>
              <w:rPr>
                <w:rFonts w:hint="eastAsia" w:ascii="宋体" w:hAnsi="宋体"/>
              </w:rPr>
              <w:t>具备公安部颁发的《计算机信息系统安全专用产品销售许可证(一级)》</w:t>
            </w:r>
          </w:p>
          <w:p>
            <w:pPr>
              <w:pStyle w:val="10"/>
              <w:rPr>
                <w:rFonts w:ascii="宋体" w:hAnsi="宋体"/>
              </w:rPr>
            </w:pPr>
            <w:r>
              <w:rPr>
                <w:rFonts w:hint="eastAsia" w:ascii="宋体" w:hAnsi="宋体"/>
              </w:rPr>
              <w:t>具备国家版权局颁发的《计算机软件著作权登记证书》</w:t>
            </w:r>
          </w:p>
        </w:tc>
      </w:tr>
    </w:tbl>
    <w:p>
      <w:pPr>
        <w:numPr>
          <w:ilvl w:val="0"/>
          <w:numId w:val="0"/>
        </w:numPr>
        <w:ind w:leftChars="0"/>
        <w:rPr>
          <w:rFonts w:hint="eastAsia" w:eastAsiaTheme="minorEastAsia"/>
          <w:sz w:val="32"/>
          <w:szCs w:val="32"/>
          <w:lang w:val="en-US" w:eastAsia="zh-CN"/>
        </w:rPr>
      </w:pPr>
      <w:r>
        <w:rPr>
          <w:rFonts w:hint="eastAsia"/>
          <w:sz w:val="32"/>
          <w:szCs w:val="32"/>
          <w:lang w:val="en-US" w:eastAsia="zh-CN"/>
        </w:rPr>
        <w:t>十三、原文件</w:t>
      </w:r>
    </w:p>
    <w:p>
      <w:pPr>
        <w:pStyle w:val="2"/>
        <w:numPr>
          <w:ilvl w:val="1"/>
          <w:numId w:val="0"/>
        </w:numPr>
        <w:ind w:leftChars="0"/>
      </w:pPr>
      <w:r>
        <w:rPr>
          <w:rFonts w:hint="eastAsia"/>
          <w:lang w:val="en-US" w:eastAsia="zh-CN"/>
        </w:rPr>
        <w:t>4.9.</w:t>
      </w:r>
      <w:r>
        <w:rPr>
          <w:rFonts w:hint="eastAsia"/>
        </w:rPr>
        <w:t>总体建设要求</w:t>
      </w:r>
    </w:p>
    <w:p>
      <w:pPr>
        <w:spacing w:line="360" w:lineRule="auto"/>
        <w:ind w:firstLine="480"/>
        <w:rPr>
          <w:rFonts w:ascii="宋体" w:hAnsi="宋体"/>
          <w:sz w:val="24"/>
          <w:szCs w:val="24"/>
        </w:rPr>
      </w:pPr>
      <w:r>
        <w:rPr>
          <w:rFonts w:hint="eastAsia" w:ascii="宋体" w:hAnsi="宋体"/>
          <w:sz w:val="24"/>
          <w:szCs w:val="24"/>
        </w:rPr>
        <w:t>本招标文件中带“△”项和的条款为本项目重要的技术要求项，对项目实施效果存在重大影响，投标人须做详细技术方案或说明确保项目有效实施，评标委员会将按照评分细则对该条款作技术评估。</w:t>
      </w:r>
    </w:p>
    <w:p>
      <w:pPr>
        <w:spacing w:line="360" w:lineRule="auto"/>
        <w:ind w:firstLine="480"/>
        <w:rPr>
          <w:rFonts w:ascii="宋体" w:hAnsi="宋体"/>
          <w:sz w:val="24"/>
          <w:szCs w:val="24"/>
        </w:rPr>
      </w:pPr>
      <w:r>
        <w:rPr>
          <w:rFonts w:hint="eastAsia" w:ascii="宋体" w:hAnsi="宋体"/>
          <w:sz w:val="24"/>
          <w:szCs w:val="24"/>
        </w:rPr>
        <w:t>为了充分发挥项目技术优势，提高监测结果的客观性和科学性，确保本系统能长期、稳定、正常地运行，项目各单元应符合以下基本要求：</w:t>
      </w:r>
    </w:p>
    <w:p>
      <w:pPr>
        <w:spacing w:line="360" w:lineRule="auto"/>
        <w:ind w:firstLine="480"/>
        <w:rPr>
          <w:rFonts w:ascii="宋体" w:hAnsi="宋体"/>
          <w:sz w:val="24"/>
          <w:szCs w:val="24"/>
        </w:rPr>
      </w:pPr>
      <w:r>
        <w:rPr>
          <w:rFonts w:hint="eastAsia" w:ascii="宋体" w:hAnsi="宋体"/>
          <w:sz w:val="24"/>
          <w:szCs w:val="24"/>
        </w:rPr>
        <w:t>1）系统应基于性能可靠的设备、成熟的技术、先进的体系结构建立的系统。系统应具有可靠运行、完善的功能、灵活的操作及长期的稳定运行；</w:t>
      </w:r>
    </w:p>
    <w:p>
      <w:pPr>
        <w:spacing w:line="360" w:lineRule="auto"/>
        <w:ind w:firstLine="480"/>
        <w:rPr>
          <w:rFonts w:ascii="宋体" w:hAnsi="宋体"/>
          <w:sz w:val="24"/>
          <w:szCs w:val="24"/>
        </w:rPr>
      </w:pPr>
      <w:r>
        <w:rPr>
          <w:rFonts w:hint="eastAsia" w:ascii="宋体" w:hAnsi="宋体"/>
          <w:sz w:val="24"/>
          <w:szCs w:val="24"/>
        </w:rPr>
        <w:t>2）应用软件必须同时支持多种浏览器，并在多种浏览器下正常运行和显示；</w:t>
      </w:r>
    </w:p>
    <w:p>
      <w:pPr>
        <w:spacing w:line="360" w:lineRule="auto"/>
        <w:ind w:firstLine="480"/>
        <w:rPr>
          <w:rFonts w:ascii="宋体" w:hAnsi="宋体"/>
          <w:sz w:val="24"/>
          <w:szCs w:val="24"/>
        </w:rPr>
      </w:pPr>
      <w:r>
        <w:rPr>
          <w:rFonts w:hint="eastAsia" w:ascii="宋体" w:hAnsi="宋体"/>
          <w:sz w:val="24"/>
          <w:szCs w:val="24"/>
        </w:rPr>
        <w:t>3）提供全方位的技术支持服务，进行完善的项目管理；</w:t>
      </w:r>
    </w:p>
    <w:p>
      <w:pPr>
        <w:spacing w:line="360" w:lineRule="auto"/>
        <w:ind w:firstLine="480"/>
        <w:rPr>
          <w:rFonts w:ascii="宋体" w:hAnsi="宋体"/>
          <w:sz w:val="24"/>
          <w:szCs w:val="24"/>
        </w:rPr>
      </w:pPr>
      <w:r>
        <w:rPr>
          <w:rFonts w:hint="eastAsia" w:ascii="宋体" w:hAnsi="宋体"/>
          <w:sz w:val="24"/>
          <w:szCs w:val="24"/>
        </w:rPr>
        <w:t>4）系统总体设计符合国家、行业相关技术标准和规范。以物联网技术应用为支撑，总体框架设计具有较高的系统集成顶层设计规划。</w:t>
      </w:r>
    </w:p>
    <w:p>
      <w:pPr>
        <w:spacing w:line="360" w:lineRule="auto"/>
        <w:ind w:firstLine="480"/>
        <w:rPr>
          <w:rFonts w:hint="eastAsia" w:ascii="宋体" w:hAnsi="宋体"/>
          <w:sz w:val="24"/>
          <w:szCs w:val="24"/>
        </w:rPr>
      </w:pPr>
      <w:r>
        <w:rPr>
          <w:rFonts w:hint="eastAsia" w:ascii="宋体" w:hAnsi="宋体"/>
          <w:sz w:val="24"/>
          <w:szCs w:val="24"/>
        </w:rPr>
        <w:t>5）系统设计要求界面美观、风格统一, 人机界面友好, 操作体验人性化。</w:t>
      </w:r>
    </w:p>
    <w:p>
      <w:pPr>
        <w:spacing w:line="360" w:lineRule="auto"/>
        <w:ind w:firstLine="480"/>
        <w:rPr>
          <w:rFonts w:hint="eastAsia" w:ascii="宋体" w:hAnsi="宋体" w:eastAsiaTheme="minorEastAsia"/>
          <w:sz w:val="32"/>
          <w:szCs w:val="32"/>
          <w:lang w:eastAsia="zh-CN"/>
        </w:rPr>
      </w:pPr>
      <w:r>
        <w:rPr>
          <w:rFonts w:hint="eastAsia" w:ascii="宋体" w:hAnsi="宋体"/>
          <w:sz w:val="32"/>
          <w:szCs w:val="32"/>
          <w:lang w:eastAsia="zh-CN"/>
        </w:rPr>
        <w:t>修改后</w:t>
      </w:r>
    </w:p>
    <w:p>
      <w:pPr>
        <w:pStyle w:val="2"/>
        <w:numPr>
          <w:ilvl w:val="1"/>
          <w:numId w:val="0"/>
        </w:numPr>
        <w:ind w:leftChars="0"/>
        <w:rPr>
          <w:color w:val="FF0000"/>
        </w:rPr>
      </w:pPr>
      <w:r>
        <w:rPr>
          <w:rFonts w:hint="eastAsia"/>
          <w:color w:val="FF0000"/>
          <w:lang w:val="en-US" w:eastAsia="zh-CN"/>
        </w:rPr>
        <w:t>4.9.</w:t>
      </w:r>
      <w:r>
        <w:rPr>
          <w:rFonts w:hint="eastAsia"/>
          <w:color w:val="FF0000"/>
        </w:rPr>
        <w:t>总体建设要求</w:t>
      </w:r>
    </w:p>
    <w:p>
      <w:pPr>
        <w:spacing w:line="360" w:lineRule="auto"/>
        <w:ind w:firstLine="480"/>
        <w:rPr>
          <w:rFonts w:ascii="宋体" w:hAnsi="宋体"/>
          <w:color w:val="FF0000"/>
          <w:sz w:val="24"/>
          <w:szCs w:val="24"/>
        </w:rPr>
      </w:pPr>
      <w:r>
        <w:rPr>
          <w:rFonts w:hint="eastAsia" w:ascii="宋体" w:hAnsi="宋体"/>
          <w:color w:val="FF0000"/>
          <w:sz w:val="24"/>
          <w:szCs w:val="24"/>
        </w:rPr>
        <w:t>为了充分发挥项目技术优势，提高监测结果的客观性和科学性，确保本系统能长期、稳定、正常地运行，项目各单元应符合以下基本要求：</w:t>
      </w:r>
    </w:p>
    <w:p>
      <w:pPr>
        <w:spacing w:line="360" w:lineRule="auto"/>
        <w:ind w:firstLine="480"/>
        <w:rPr>
          <w:rFonts w:ascii="宋体" w:hAnsi="宋体"/>
          <w:sz w:val="24"/>
          <w:szCs w:val="24"/>
        </w:rPr>
      </w:pPr>
      <w:r>
        <w:rPr>
          <w:rFonts w:hint="eastAsia" w:ascii="宋体" w:hAnsi="宋体"/>
          <w:color w:val="auto"/>
          <w:sz w:val="24"/>
          <w:szCs w:val="24"/>
        </w:rPr>
        <w:t>1）系统应基于性能可靠的设备、成熟的技术、先进的体系结构建立的系统。系统应具</w:t>
      </w:r>
      <w:r>
        <w:rPr>
          <w:rFonts w:hint="eastAsia" w:ascii="宋体" w:hAnsi="宋体"/>
          <w:sz w:val="24"/>
          <w:szCs w:val="24"/>
        </w:rPr>
        <w:t>有可靠运行、完善的功能、灵活的操作及长期的稳定运行；</w:t>
      </w:r>
    </w:p>
    <w:p>
      <w:pPr>
        <w:spacing w:line="360" w:lineRule="auto"/>
        <w:ind w:firstLine="480"/>
        <w:rPr>
          <w:rFonts w:ascii="宋体" w:hAnsi="宋体"/>
          <w:sz w:val="24"/>
          <w:szCs w:val="24"/>
        </w:rPr>
      </w:pPr>
      <w:r>
        <w:rPr>
          <w:rFonts w:hint="eastAsia" w:ascii="宋体" w:hAnsi="宋体"/>
          <w:sz w:val="24"/>
          <w:szCs w:val="24"/>
        </w:rPr>
        <w:t>2）应用软件必须同时支持多种浏览器，并在多种浏览器下正常运行和显示；</w:t>
      </w:r>
    </w:p>
    <w:p>
      <w:pPr>
        <w:spacing w:line="360" w:lineRule="auto"/>
        <w:ind w:firstLine="480"/>
        <w:rPr>
          <w:rFonts w:ascii="宋体" w:hAnsi="宋体"/>
          <w:sz w:val="24"/>
          <w:szCs w:val="24"/>
        </w:rPr>
      </w:pPr>
      <w:r>
        <w:rPr>
          <w:rFonts w:hint="eastAsia" w:ascii="宋体" w:hAnsi="宋体"/>
          <w:sz w:val="24"/>
          <w:szCs w:val="24"/>
        </w:rPr>
        <w:t>3）提供全方位的技术支持服务，进行完善的项目管理；</w:t>
      </w:r>
    </w:p>
    <w:p>
      <w:pPr>
        <w:spacing w:line="360" w:lineRule="auto"/>
        <w:ind w:firstLine="480"/>
        <w:rPr>
          <w:rFonts w:ascii="宋体" w:hAnsi="宋体"/>
          <w:sz w:val="24"/>
          <w:szCs w:val="24"/>
        </w:rPr>
      </w:pPr>
      <w:r>
        <w:rPr>
          <w:rFonts w:hint="eastAsia" w:ascii="宋体" w:hAnsi="宋体"/>
          <w:sz w:val="24"/>
          <w:szCs w:val="24"/>
        </w:rPr>
        <w:t>4）系统总体设计符合国家、行业相关技术标准和规范。以物联网技术应用为支撑，总体框架设计具有较高的系统集成顶层设计规划。</w:t>
      </w:r>
    </w:p>
    <w:p>
      <w:pPr>
        <w:spacing w:line="360" w:lineRule="auto"/>
        <w:ind w:firstLine="480"/>
        <w:rPr>
          <w:rFonts w:ascii="宋体" w:hAnsi="宋体"/>
          <w:sz w:val="24"/>
          <w:szCs w:val="24"/>
        </w:rPr>
      </w:pPr>
      <w:r>
        <w:rPr>
          <w:rFonts w:hint="eastAsia" w:ascii="宋体" w:hAnsi="宋体"/>
          <w:sz w:val="24"/>
          <w:szCs w:val="24"/>
        </w:rPr>
        <w:t>5）系统设计要求界面美观、风格统一, 人机界面友好, 操作体验人性化。</w:t>
      </w:r>
    </w:p>
    <w:p>
      <w:pPr>
        <w:numPr>
          <w:ilvl w:val="0"/>
          <w:numId w:val="0"/>
        </w:numPr>
        <w:ind w:leftChars="0"/>
        <w:rPr>
          <w:rFonts w:hint="eastAsia"/>
          <w:sz w:val="32"/>
          <w:szCs w:val="32"/>
          <w:lang w:val="en-US" w:eastAsia="zh-CN"/>
        </w:rPr>
      </w:pPr>
      <w:r>
        <w:rPr>
          <w:rFonts w:hint="eastAsia"/>
          <w:sz w:val="32"/>
          <w:szCs w:val="32"/>
          <w:lang w:val="en-US" w:eastAsia="zh-CN"/>
        </w:rPr>
        <w:t>十四、原文件</w:t>
      </w:r>
    </w:p>
    <w:p>
      <w:pPr>
        <w:spacing w:line="360" w:lineRule="auto"/>
        <w:rPr>
          <w:rFonts w:ascii="宋体" w:hAnsi="宋体" w:cs="宋体"/>
          <w:b/>
          <w:kern w:val="0"/>
          <w:sz w:val="24"/>
          <w:szCs w:val="24"/>
        </w:rPr>
      </w:pPr>
      <w:r>
        <w:rPr>
          <w:rFonts w:hint="eastAsia" w:ascii="宋体" w:hAnsi="宋体" w:cs="宋体"/>
          <w:b/>
          <w:kern w:val="0"/>
          <w:sz w:val="24"/>
          <w:szCs w:val="24"/>
        </w:rPr>
        <w:t>表二详细评审表：</w:t>
      </w:r>
    </w:p>
    <w:tbl>
      <w:tblPr>
        <w:tblStyle w:val="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945"/>
        <w:gridCol w:w="7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2542" w:type="dxa"/>
            <w:gridSpan w:val="2"/>
            <w:tcBorders>
              <w:top w:val="single" w:color="auto" w:sz="4" w:space="0"/>
              <w:left w:val="single" w:color="auto" w:sz="4" w:space="0"/>
              <w:bottom w:val="single" w:color="auto" w:sz="4" w:space="0"/>
              <w:right w:val="single" w:color="auto" w:sz="4" w:space="0"/>
            </w:tcBorders>
          </w:tcPr>
          <w:p>
            <w:pPr>
              <w:pStyle w:val="10"/>
              <w:rPr>
                <w:rFonts w:ascii="Times New Roman" w:hAnsi="Times New Roman" w:cs="Times New Roman"/>
                <w:b/>
                <w:bCs/>
              </w:rPr>
            </w:pPr>
            <w:r>
              <w:rPr>
                <w:rFonts w:ascii="Times New Roman" w:hAnsi="Times New Roman" w:cs="Times New Roman"/>
                <w:b/>
                <w:bCs/>
              </w:rPr>
              <w:t>评审因素</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b/>
                <w:bCs/>
              </w:rPr>
            </w:pPr>
            <w:r>
              <w:rPr>
                <w:rFonts w:ascii="Times New Roman" w:hAnsi="Times New Roman" w:cs="Times New Roman"/>
                <w:b/>
                <w:bC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2542" w:type="dxa"/>
            <w:gridSpan w:val="2"/>
            <w:tcBorders>
              <w:top w:val="single" w:color="auto" w:sz="4" w:space="0"/>
              <w:left w:val="single" w:color="auto" w:sz="4" w:space="0"/>
              <w:bottom w:val="single" w:color="auto" w:sz="4" w:space="0"/>
              <w:right w:val="single" w:color="auto" w:sz="4" w:space="0"/>
            </w:tcBorders>
          </w:tcPr>
          <w:p>
            <w:pPr>
              <w:pStyle w:val="10"/>
              <w:rPr>
                <w:rFonts w:ascii="Times New Roman" w:hAnsi="Times New Roman" w:cs="Times New Roman"/>
                <w:szCs w:val="21"/>
              </w:rPr>
            </w:pPr>
            <w:r>
              <w:rPr>
                <w:rFonts w:ascii="Times New Roman" w:hAnsi="Times New Roman" w:cs="Times New Roman"/>
                <w:szCs w:val="21"/>
              </w:rPr>
              <w:t>分值构成</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1．报价得分</w:t>
            </w:r>
            <w:r>
              <w:rPr>
                <w:rFonts w:ascii="Times New Roman" w:hAnsi="Times New Roman" w:cs="Times New Roman"/>
                <w:szCs w:val="21"/>
                <w:u w:val="single"/>
              </w:rPr>
              <w:t>30</w:t>
            </w:r>
            <w:r>
              <w:rPr>
                <w:rFonts w:ascii="Times New Roman" w:hAnsi="Times New Roman" w:cs="Times New Roman"/>
                <w:szCs w:val="21"/>
              </w:rPr>
              <w:t xml:space="preserve">分 </w:t>
            </w:r>
          </w:p>
          <w:p>
            <w:pPr>
              <w:pStyle w:val="10"/>
              <w:rPr>
                <w:rFonts w:ascii="Times New Roman" w:hAnsi="Times New Roman" w:cs="Times New Roman"/>
                <w:szCs w:val="21"/>
              </w:rPr>
            </w:pPr>
            <w:r>
              <w:rPr>
                <w:rFonts w:ascii="Times New Roman" w:hAnsi="Times New Roman" w:cs="Times New Roman"/>
                <w:szCs w:val="21"/>
              </w:rPr>
              <w:t>2．资质部分</w:t>
            </w:r>
            <w:r>
              <w:rPr>
                <w:rFonts w:hint="eastAsia" w:ascii="Times New Roman" w:hAnsi="Times New Roman" w:cs="Times New Roman"/>
                <w:szCs w:val="21"/>
                <w:u w:val="single"/>
              </w:rPr>
              <w:t>20</w:t>
            </w:r>
            <w:r>
              <w:rPr>
                <w:rFonts w:ascii="Times New Roman" w:hAnsi="Times New Roman" w:cs="Times New Roman"/>
                <w:szCs w:val="21"/>
              </w:rPr>
              <w:t>分</w:t>
            </w:r>
          </w:p>
          <w:p>
            <w:pPr>
              <w:pStyle w:val="10"/>
              <w:rPr>
                <w:rFonts w:ascii="Times New Roman" w:hAnsi="Times New Roman" w:cs="Times New Roman"/>
                <w:szCs w:val="21"/>
              </w:rPr>
            </w:pPr>
            <w:r>
              <w:rPr>
                <w:rFonts w:ascii="Times New Roman" w:hAnsi="Times New Roman" w:cs="Times New Roman"/>
                <w:szCs w:val="21"/>
              </w:rPr>
              <w:t>3．技术部分</w:t>
            </w:r>
            <w:r>
              <w:rPr>
                <w:rFonts w:hint="eastAsia" w:ascii="Times New Roman" w:hAnsi="Times New Roman" w:cs="Times New Roman"/>
                <w:szCs w:val="21"/>
                <w:u w:val="single"/>
              </w:rPr>
              <w:t>50</w:t>
            </w:r>
            <w:r>
              <w:rPr>
                <w:rFonts w:ascii="Times New Roman" w:hAnsi="Times New Roman"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投标报价</w:t>
            </w:r>
          </w:p>
        </w:tc>
        <w:tc>
          <w:tcPr>
            <w:tcW w:w="1945"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评标基准价确定方法</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满足招标文件要求通过初步评审的且投标报价最低的为评标基准价。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投标报价得分</w:t>
            </w:r>
          </w:p>
          <w:p>
            <w:pPr>
              <w:pStyle w:val="10"/>
              <w:rPr>
                <w:rFonts w:ascii="Times New Roman" w:hAnsi="Times New Roman" w:cs="Times New Roman"/>
                <w:szCs w:val="21"/>
              </w:rPr>
            </w:pPr>
            <w:r>
              <w:rPr>
                <w:rFonts w:ascii="Times New Roman" w:hAnsi="Times New Roman" w:cs="Times New Roman"/>
                <w:szCs w:val="21"/>
              </w:rPr>
              <w:t>（30分）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97" w:type="dxa"/>
            <w:vMerge w:val="restart"/>
            <w:tcBorders>
              <w:top w:val="single" w:color="auto" w:sz="4" w:space="0"/>
              <w:left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资质部分</w:t>
            </w:r>
          </w:p>
        </w:tc>
        <w:tc>
          <w:tcPr>
            <w:tcW w:w="1945"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企业专业能力</w:t>
            </w:r>
          </w:p>
          <w:p>
            <w:pPr>
              <w:pStyle w:val="10"/>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3</w:t>
            </w:r>
            <w:r>
              <w:rPr>
                <w:rFonts w:ascii="Times New Roman" w:hAnsi="Times New Roman" w:cs="Times New Roman"/>
                <w:szCs w:val="21"/>
              </w:rPr>
              <w:t>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hint="eastAsia" w:ascii="Times New Roman" w:hAnsi="Times New Roman" w:cs="Times New Roman"/>
                <w:szCs w:val="21"/>
              </w:rPr>
              <w:t>投标方或关键设备/系统生产商</w:t>
            </w:r>
            <w:r>
              <w:rPr>
                <w:rFonts w:ascii="Times New Roman" w:hAnsi="Times New Roman" w:cs="Times New Roman"/>
                <w:szCs w:val="21"/>
              </w:rPr>
              <w:t>获得环保行政主管部门</w:t>
            </w:r>
            <w:r>
              <w:rPr>
                <w:rFonts w:hint="eastAsia" w:ascii="Times New Roman" w:hAnsi="Times New Roman" w:cs="Times New Roman"/>
                <w:szCs w:val="21"/>
                <w:lang w:eastAsia="zh-CN"/>
              </w:rPr>
              <w:t>认证</w:t>
            </w:r>
            <w:r>
              <w:rPr>
                <w:rFonts w:ascii="Times New Roman" w:hAnsi="Times New Roman" w:cs="Times New Roman"/>
                <w:szCs w:val="21"/>
              </w:rPr>
              <w:t>，</w:t>
            </w:r>
            <w:r>
              <w:rPr>
                <w:rFonts w:hint="eastAsia" w:ascii="Times New Roman" w:hAnsi="Times New Roman" w:cs="Times New Roman"/>
                <w:szCs w:val="21"/>
              </w:rPr>
              <w:t>具有且提供：1.</w:t>
            </w:r>
            <w:r>
              <w:rPr>
                <w:rFonts w:ascii="Times New Roman" w:hAnsi="Times New Roman" w:cs="Times New Roman"/>
                <w:szCs w:val="21"/>
              </w:rPr>
              <w:t>国家环境保护监测仪器工程技术中心</w:t>
            </w:r>
            <w:r>
              <w:rPr>
                <w:rFonts w:hint="eastAsia" w:ascii="Times New Roman" w:hAnsi="Times New Roman" w:cs="Times New Roman"/>
                <w:szCs w:val="21"/>
                <w:lang w:eastAsia="zh-CN"/>
              </w:rPr>
              <w:t>认证证书</w:t>
            </w:r>
            <w:r>
              <w:rPr>
                <w:rFonts w:ascii="Times New Roman" w:hAnsi="Times New Roman" w:cs="Times New Roman"/>
                <w:szCs w:val="21"/>
              </w:rPr>
              <w:t>得</w:t>
            </w:r>
            <w:r>
              <w:rPr>
                <w:rFonts w:hint="eastAsia" w:ascii="Times New Roman" w:hAnsi="Times New Roman" w:cs="Times New Roman"/>
                <w:szCs w:val="21"/>
              </w:rPr>
              <w:t>3</w:t>
            </w:r>
            <w:r>
              <w:rPr>
                <w:rFonts w:ascii="Times New Roman" w:hAnsi="Times New Roman" w:cs="Times New Roman"/>
                <w:szCs w:val="21"/>
              </w:rPr>
              <w:t>分；</w:t>
            </w:r>
            <w:r>
              <w:rPr>
                <w:rFonts w:hint="eastAsia" w:ascii="Times New Roman" w:hAnsi="Times New Roman" w:cs="Times New Roman"/>
                <w:szCs w:val="21"/>
              </w:rPr>
              <w:t>2.</w:t>
            </w:r>
            <w:r>
              <w:rPr>
                <w:rFonts w:ascii="Times New Roman" w:hAnsi="Times New Roman" w:cs="Times New Roman"/>
                <w:szCs w:val="21"/>
              </w:rPr>
              <w:t>省级环境保护监测仪器工程技术中心</w:t>
            </w:r>
            <w:r>
              <w:rPr>
                <w:rFonts w:hint="eastAsia" w:ascii="Times New Roman" w:hAnsi="Times New Roman" w:cs="Times New Roman"/>
                <w:szCs w:val="21"/>
                <w:lang w:eastAsia="zh-CN"/>
              </w:rPr>
              <w:t>认证证书</w:t>
            </w:r>
            <w:r>
              <w:rPr>
                <w:rFonts w:ascii="Times New Roman" w:hAnsi="Times New Roman" w:cs="Times New Roman"/>
                <w:szCs w:val="21"/>
              </w:rPr>
              <w:t>得</w:t>
            </w:r>
            <w:r>
              <w:rPr>
                <w:rFonts w:hint="eastAsia" w:ascii="Times New Roman" w:hAnsi="Times New Roman" w:cs="Times New Roman"/>
                <w:szCs w:val="21"/>
              </w:rPr>
              <w:t>1</w:t>
            </w:r>
            <w:r>
              <w:rPr>
                <w:rFonts w:ascii="Times New Roman" w:hAnsi="Times New Roman" w:cs="Times New Roman"/>
                <w:szCs w:val="21"/>
              </w:rPr>
              <w:t>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97" w:type="dxa"/>
            <w:vMerge w:val="continue"/>
            <w:tcBorders>
              <w:top w:val="single" w:color="auto" w:sz="4" w:space="0"/>
              <w:left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10"/>
              <w:rPr>
                <w:rFonts w:ascii="黑体" w:hAnsi="黑体"/>
                <w:color w:val="000000" w:themeColor="text1"/>
                <w:sz w:val="24"/>
                <w:szCs w:val="24"/>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企业业绩案例（8分）</w:t>
            </w:r>
          </w:p>
          <w:p>
            <w:pPr>
              <w:pStyle w:val="10"/>
              <w:rPr>
                <w:rFonts w:ascii="黑体" w:hAnsi="黑体"/>
                <w:color w:val="000000" w:themeColor="text1"/>
                <w:sz w:val="24"/>
                <w:szCs w:val="24"/>
                <w14:textFill>
                  <w14:solidFill>
                    <w14:schemeClr w14:val="tx1"/>
                  </w14:solidFill>
                </w14:textFill>
              </w:rPr>
            </w:pP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投标方或关键设备/系统生产商提供2017年1月1日至今工业园区综合类监测项目的非转包分包合同，每提供1个合同金额3000万元以上（含）业绩的得3分，每提供1个合同金额1500万-3000万（含）业绩的得1分。提供完整合同复印件和对应的中标通知书复印件（或相关证明中标通知书的材料）加盖公章，材料不齐不得分；最多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企业研发能力</w:t>
            </w:r>
          </w:p>
          <w:p>
            <w:pPr>
              <w:pStyle w:val="10"/>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hint="eastAsia" w:ascii="Times New Roman" w:hAnsi="Times New Roman" w:cs="Times New Roman"/>
                <w:szCs w:val="21"/>
              </w:rPr>
              <w:t>投标方或关键设备/系统生产商</w:t>
            </w:r>
            <w:r>
              <w:rPr>
                <w:rFonts w:ascii="Times New Roman" w:hAnsi="Times New Roman" w:cs="Times New Roman"/>
                <w:szCs w:val="21"/>
              </w:rPr>
              <w:t>具备较强的技术研发能力，得到国家行政管理相关部门认</w:t>
            </w:r>
            <w:r>
              <w:rPr>
                <w:rFonts w:hint="eastAsia" w:ascii="Times New Roman" w:hAnsi="Times New Roman" w:cs="Times New Roman"/>
                <w:szCs w:val="21"/>
                <w:lang w:eastAsia="zh-CN"/>
              </w:rPr>
              <w:t>证。</w:t>
            </w:r>
            <w:r>
              <w:rPr>
                <w:rFonts w:hint="eastAsia" w:ascii="Times New Roman" w:hAnsi="Times New Roman" w:cs="Times New Roman"/>
                <w:szCs w:val="21"/>
                <w:lang w:val="en-US" w:eastAsia="zh-CN"/>
              </w:rPr>
              <w:t>1.</w:t>
            </w:r>
            <w:r>
              <w:rPr>
                <w:rFonts w:hint="eastAsia" w:ascii="Times New Roman" w:hAnsi="Times New Roman" w:cs="Times New Roman"/>
                <w:szCs w:val="21"/>
              </w:rPr>
              <w:t>具有且提供</w:t>
            </w:r>
            <w:r>
              <w:rPr>
                <w:rFonts w:ascii="Times New Roman" w:hAnsi="Times New Roman" w:cs="Times New Roman"/>
                <w:szCs w:val="21"/>
              </w:rPr>
              <w:t>国家级企业技术中心的</w:t>
            </w:r>
            <w:r>
              <w:rPr>
                <w:rFonts w:hint="eastAsia" w:ascii="Times New Roman" w:hAnsi="Times New Roman" w:cs="Times New Roman"/>
                <w:szCs w:val="21"/>
                <w:lang w:eastAsia="zh-CN"/>
              </w:rPr>
              <w:t>认证证书</w:t>
            </w:r>
            <w:r>
              <w:rPr>
                <w:rFonts w:ascii="Times New Roman" w:hAnsi="Times New Roman" w:cs="Times New Roman"/>
                <w:szCs w:val="21"/>
              </w:rPr>
              <w:t>得</w:t>
            </w:r>
            <w:r>
              <w:rPr>
                <w:rFonts w:hint="eastAsia" w:ascii="Times New Roman" w:hAnsi="Times New Roman" w:cs="Times New Roman"/>
                <w:szCs w:val="21"/>
              </w:rPr>
              <w:t>2</w:t>
            </w:r>
            <w:r>
              <w:rPr>
                <w:rFonts w:ascii="Times New Roman" w:hAnsi="Times New Roman" w:cs="Times New Roman"/>
                <w:szCs w:val="21"/>
              </w:rPr>
              <w:t>分</w:t>
            </w:r>
            <w:r>
              <w:rPr>
                <w:rFonts w:hint="eastAsia" w:ascii="Times New Roman" w:hAnsi="Times New Roman" w:cs="Times New Roman"/>
                <w:szCs w:val="21"/>
                <w:lang w:val="en-US" w:eastAsia="zh-CN"/>
              </w:rPr>
              <w:t>2.</w:t>
            </w:r>
            <w:r>
              <w:rPr>
                <w:rFonts w:hint="eastAsia" w:ascii="Times New Roman" w:hAnsi="Times New Roman" w:cs="Times New Roman"/>
                <w:szCs w:val="21"/>
              </w:rPr>
              <w:t>具有且提供</w:t>
            </w:r>
            <w:r>
              <w:rPr>
                <w:rFonts w:ascii="Times New Roman" w:hAnsi="Times New Roman" w:cs="Times New Roman"/>
                <w:szCs w:val="21"/>
              </w:rPr>
              <w:t>省级企业技术中心</w:t>
            </w:r>
            <w:r>
              <w:rPr>
                <w:rFonts w:hint="eastAsia" w:ascii="Times New Roman" w:hAnsi="Times New Roman" w:cs="Times New Roman"/>
                <w:szCs w:val="21"/>
                <w:lang w:eastAsia="zh-CN"/>
              </w:rPr>
              <w:t>认证证书</w:t>
            </w:r>
            <w:r>
              <w:rPr>
                <w:rFonts w:ascii="Times New Roman" w:hAnsi="Times New Roman" w:cs="Times New Roman"/>
                <w:szCs w:val="21"/>
              </w:rPr>
              <w:t>的得</w:t>
            </w:r>
            <w:r>
              <w:rPr>
                <w:rFonts w:hint="eastAsia" w:ascii="Times New Roman" w:hAnsi="Times New Roman" w:cs="Times New Roman"/>
                <w:szCs w:val="21"/>
              </w:rPr>
              <w:t>1</w:t>
            </w:r>
            <w:r>
              <w:rPr>
                <w:rFonts w:ascii="Times New Roman" w:hAnsi="Times New Roman" w:cs="Times New Roman"/>
                <w:szCs w:val="21"/>
              </w:rPr>
              <w:t>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企业软件能力</w:t>
            </w:r>
          </w:p>
          <w:p>
            <w:pPr>
              <w:pStyle w:val="10"/>
              <w:rPr>
                <w:rFonts w:ascii="Times New Roman" w:hAnsi="Times New Roman" w:cs="Times New Roman"/>
                <w:szCs w:val="21"/>
              </w:rPr>
            </w:pPr>
            <w:r>
              <w:rPr>
                <w:rFonts w:ascii="Times New Roman" w:hAnsi="Times New Roman" w:cs="Times New Roman"/>
                <w:szCs w:val="21"/>
              </w:rPr>
              <w:t>（4分）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hint="eastAsia" w:ascii="Times New Roman" w:hAnsi="Times New Roman" w:cs="Times New Roman"/>
                <w:szCs w:val="21"/>
              </w:rPr>
              <w:t>投标方或关键设备/系统生产商</w:t>
            </w:r>
            <w:r>
              <w:rPr>
                <w:rFonts w:ascii="Times New Roman" w:hAnsi="Times New Roman" w:cs="Times New Roman"/>
                <w:szCs w:val="21"/>
              </w:rPr>
              <w:t>具有较高的软件研发能力，完成软件过程及能力成熟度评估，</w:t>
            </w:r>
            <w:r>
              <w:rPr>
                <w:rFonts w:hint="eastAsia" w:ascii="Times New Roman" w:hAnsi="Times New Roman" w:cs="Times New Roman"/>
                <w:szCs w:val="21"/>
              </w:rPr>
              <w:t>投标方或关键设备/系统生产商具有且提供：</w:t>
            </w:r>
            <w:r>
              <w:rPr>
                <w:rFonts w:ascii="Times New Roman" w:hAnsi="Times New Roman" w:cs="Times New Roman"/>
                <w:szCs w:val="21"/>
              </w:rPr>
              <w:t>CMMI5级证书得4分</w:t>
            </w:r>
            <w:r>
              <w:rPr>
                <w:rFonts w:hint="eastAsia" w:ascii="Times New Roman" w:hAnsi="Times New Roman" w:cs="Times New Roman"/>
                <w:szCs w:val="21"/>
              </w:rPr>
              <w:t>；</w:t>
            </w:r>
            <w:r>
              <w:rPr>
                <w:rFonts w:ascii="Times New Roman" w:hAnsi="Times New Roman" w:cs="Times New Roman"/>
                <w:szCs w:val="21"/>
              </w:rPr>
              <w:t>CMMI4级证书得2分</w:t>
            </w:r>
            <w:r>
              <w:rPr>
                <w:rFonts w:hint="eastAsia" w:ascii="Times New Roman" w:hAnsi="Times New Roman" w:cs="Times New Roman"/>
                <w:szCs w:val="21"/>
              </w:rPr>
              <w:t>；</w:t>
            </w:r>
            <w:r>
              <w:rPr>
                <w:rFonts w:ascii="Times New Roman" w:hAnsi="Times New Roman" w:cs="Times New Roman"/>
                <w:szCs w:val="21"/>
              </w:rPr>
              <w:t>CMMI3级证书得1分</w:t>
            </w:r>
            <w:r>
              <w:rPr>
                <w:rFonts w:hint="eastAsia" w:ascii="Times New Roman" w:hAnsi="Times New Roman" w:cs="Times New Roman"/>
                <w:szCs w:val="21"/>
              </w:rPr>
              <w:t>;</w:t>
            </w:r>
            <w:r>
              <w:rPr>
                <w:rFonts w:ascii="Times New Roman" w:hAnsi="Times New Roman" w:cs="Times New Roman"/>
                <w:szCs w:val="21"/>
              </w:rPr>
              <w:t>其他不得分</w:t>
            </w: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vAlign w:val="center"/>
          </w:tcPr>
          <w:p>
            <w:pPr>
              <w:rPr>
                <w:rFonts w:eastAsia="Arial"/>
                <w:kern w:val="0"/>
                <w:sz w:val="21"/>
                <w:szCs w:val="21"/>
              </w:rPr>
            </w:pPr>
            <w:r>
              <w:rPr>
                <w:rFonts w:hint="eastAsia" w:eastAsia="Arial"/>
                <w:kern w:val="0"/>
                <w:sz w:val="21"/>
                <w:szCs w:val="21"/>
              </w:rPr>
              <w:t>企业体系认证</w:t>
            </w:r>
          </w:p>
          <w:p>
            <w:pPr>
              <w:pStyle w:val="10"/>
              <w:rPr>
                <w:rFonts w:ascii="Times New Roman" w:hAnsi="Times New Roman" w:eastAsia="Arial" w:cs="Times New Roman"/>
                <w:szCs w:val="21"/>
              </w:rPr>
            </w:pPr>
            <w:r>
              <w:rPr>
                <w:rFonts w:hint="eastAsia" w:ascii="Times New Roman" w:hAnsi="Times New Roman" w:eastAsia="Arial" w:cs="Times New Roman"/>
                <w:szCs w:val="21"/>
              </w:rPr>
              <w:t>（</w:t>
            </w:r>
            <w:r>
              <w:rPr>
                <w:rFonts w:hint="eastAsia" w:ascii="Times New Roman" w:hAnsi="Times New Roman" w:cs="Times New Roman"/>
                <w:szCs w:val="21"/>
              </w:rPr>
              <w:t>3</w:t>
            </w:r>
            <w:r>
              <w:rPr>
                <w:rFonts w:hint="eastAsia" w:ascii="Times New Roman" w:hAnsi="Times New Roman" w:eastAsia="Arial" w:cs="Times New Roman"/>
                <w:szCs w:val="21"/>
              </w:rPr>
              <w:t>分）</w:t>
            </w:r>
          </w:p>
          <w:p>
            <w:pPr>
              <w:pStyle w:val="10"/>
              <w:rPr>
                <w:rFonts w:ascii="Times New Roman" w:hAnsi="Times New Roman" w:eastAsia="Arial" w:cs="Times New Roman"/>
                <w:szCs w:val="21"/>
              </w:rPr>
            </w:pP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hint="eastAsia" w:ascii="Times New Roman" w:hAnsi="Times New Roman" w:cs="Times New Roman"/>
                <w:szCs w:val="21"/>
              </w:rPr>
              <w:t>投标方或关键设备/系统生产商具有且</w:t>
            </w:r>
            <w:r>
              <w:rPr>
                <w:rFonts w:hint="eastAsia" w:ascii="宋体" w:hAnsi="宋体"/>
                <w:szCs w:val="21"/>
              </w:rPr>
              <w:t>提供</w:t>
            </w:r>
            <w:r>
              <w:rPr>
                <w:rFonts w:hint="eastAsia" w:ascii="Times New Roman" w:hAnsi="Times New Roman" w:eastAsia="Arial" w:cs="Times New Roman"/>
                <w:szCs w:val="21"/>
              </w:rPr>
              <w:t>OHSAS18001职业健康安全管理体系认证证书、ISO9001质量管理体系认证证书、ISO27001信息安全管理体系认证证书、ISO10012测量管理体系认证证书、ISO20000信息技术服务管理体系认证证书、ISO14001环境管理体系认证证书</w:t>
            </w:r>
            <w:r>
              <w:rPr>
                <w:rFonts w:hint="eastAsia" w:ascii="等线" w:hAnsi="等线" w:eastAsia="等线"/>
                <w:szCs w:val="21"/>
              </w:rPr>
              <w:t>6</w:t>
            </w:r>
            <w:r>
              <w:rPr>
                <w:rFonts w:hint="eastAsia" w:ascii="宋体" w:hAnsi="宋体"/>
                <w:szCs w:val="21"/>
              </w:rPr>
              <w:t>项认证证书得3分</w:t>
            </w:r>
            <w:r>
              <w:rPr>
                <w:rFonts w:hint="eastAsia" w:ascii="Times New Roman" w:hAnsi="Times New Roman" w:eastAsia="Arial" w:cs="Times New Roman"/>
                <w:szCs w:val="21"/>
              </w:rPr>
              <w:t>。</w:t>
            </w:r>
            <w:r>
              <w:rPr>
                <w:rFonts w:hint="eastAsia" w:ascii="Times New Roman" w:hAnsi="Times New Roman" w:cs="Times New Roman"/>
                <w:szCs w:val="21"/>
              </w:rPr>
              <w:t>每少提供一项，扣1分，扣完为止。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restart"/>
            <w:tcBorders>
              <w:top w:val="single" w:color="auto" w:sz="4" w:space="0"/>
              <w:left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技术部分</w:t>
            </w:r>
          </w:p>
        </w:tc>
        <w:tc>
          <w:tcPr>
            <w:tcW w:w="1945" w:type="dxa"/>
            <w:tcBorders>
              <w:top w:val="single" w:color="auto" w:sz="4" w:space="0"/>
              <w:left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技术方案评价</w:t>
            </w:r>
            <w:r>
              <w:rPr>
                <w:rFonts w:ascii="Times New Roman" w:hAnsi="Times New Roman" w:cs="Times New Roman"/>
                <w:sz w:val="22"/>
              </w:rPr>
              <w:t>（1</w:t>
            </w:r>
            <w:r>
              <w:rPr>
                <w:rFonts w:hint="eastAsia" w:ascii="Times New Roman" w:hAnsi="Times New Roman" w:cs="Times New Roman"/>
                <w:sz w:val="22"/>
                <w:lang w:val="en-US" w:eastAsia="zh-CN"/>
              </w:rPr>
              <w:t>2</w:t>
            </w:r>
            <w:r>
              <w:rPr>
                <w:rFonts w:ascii="Times New Roman" w:hAnsi="Times New Roman" w:cs="Times New Roman"/>
                <w:sz w:val="22"/>
              </w:rPr>
              <w:t>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（1）总体设计合理性评价：投标人对业主现状及需求描述详实，建设思路清晰、可行性强，技术路线成熟可靠。（0～</w:t>
            </w:r>
            <w:r>
              <w:rPr>
                <w:rFonts w:hint="eastAsia" w:ascii="Times New Roman" w:hAnsi="Times New Roman" w:cs="Times New Roman"/>
                <w:szCs w:val="21"/>
                <w:lang w:val="en-US" w:eastAsia="zh-CN"/>
              </w:rPr>
              <w:t>6</w:t>
            </w:r>
            <w:r>
              <w:rPr>
                <w:rFonts w:ascii="Times New Roman" w:hAnsi="Times New Roman" w:cs="Times New Roman"/>
                <w:szCs w:val="21"/>
              </w:rPr>
              <w:t>分）</w:t>
            </w:r>
          </w:p>
          <w:p>
            <w:pPr>
              <w:pStyle w:val="10"/>
              <w:rPr>
                <w:rFonts w:ascii="Times New Roman" w:hAnsi="Times New Roman" w:cs="Times New Roman"/>
                <w:szCs w:val="21"/>
              </w:rPr>
            </w:pPr>
            <w:r>
              <w:rPr>
                <w:rFonts w:ascii="Times New Roman" w:hAnsi="Times New Roman" w:cs="Times New Roman"/>
                <w:szCs w:val="21"/>
              </w:rPr>
              <w:t>优：</w:t>
            </w:r>
            <w:r>
              <w:rPr>
                <w:rFonts w:hint="eastAsia" w:ascii="Times New Roman" w:hAnsi="Times New Roman" w:cs="Times New Roman"/>
                <w:szCs w:val="21"/>
              </w:rPr>
              <w:t>4~</w:t>
            </w:r>
            <w:r>
              <w:rPr>
                <w:rFonts w:hint="eastAsia" w:ascii="Times New Roman" w:hAnsi="Times New Roman" w:cs="Times New Roman"/>
                <w:szCs w:val="21"/>
                <w:lang w:val="en-US" w:eastAsia="zh-CN"/>
              </w:rPr>
              <w:t>6</w:t>
            </w:r>
            <w:r>
              <w:rPr>
                <w:rFonts w:ascii="Times New Roman" w:hAnsi="Times New Roman" w:cs="Times New Roman"/>
                <w:szCs w:val="21"/>
              </w:rPr>
              <w:t>分，良：2</w:t>
            </w:r>
            <w:r>
              <w:rPr>
                <w:rFonts w:hint="eastAsia" w:ascii="Times New Roman" w:hAnsi="Times New Roman" w:cs="Times New Roman"/>
                <w:szCs w:val="21"/>
              </w:rPr>
              <w:t>~</w:t>
            </w:r>
            <w:r>
              <w:rPr>
                <w:rFonts w:ascii="Times New Roman" w:hAnsi="Times New Roman" w:cs="Times New Roman"/>
                <w:szCs w:val="21"/>
              </w:rPr>
              <w:t>3分，一般：1分</w:t>
            </w:r>
            <w:r>
              <w:rPr>
                <w:rFonts w:hint="eastAsia" w:ascii="Times New Roman" w:hAnsi="Times New Roman" w:cs="Times New Roman"/>
                <w:szCs w:val="21"/>
              </w:rPr>
              <w:t xml:space="preserve"> </w:t>
            </w:r>
          </w:p>
          <w:p>
            <w:pPr>
              <w:pStyle w:val="10"/>
              <w:rPr>
                <w:rFonts w:ascii="Times New Roman" w:hAnsi="Times New Roman" w:cs="Times New Roman"/>
                <w:szCs w:val="21"/>
              </w:rPr>
            </w:pPr>
            <w:r>
              <w:rPr>
                <w:rFonts w:ascii="Times New Roman" w:hAnsi="Times New Roman" w:cs="Times New Roman"/>
                <w:szCs w:val="21"/>
              </w:rPr>
              <w:t>（2）业务架构合理性评价：</w:t>
            </w:r>
            <w:r>
              <w:rPr>
                <w:rFonts w:hint="eastAsia" w:ascii="Times New Roman" w:hAnsi="Times New Roman" w:cs="Times New Roman"/>
                <w:szCs w:val="21"/>
              </w:rPr>
              <w:t>投标人对</w:t>
            </w:r>
            <w:r>
              <w:rPr>
                <w:rFonts w:ascii="Times New Roman" w:hAnsi="Times New Roman" w:cs="Times New Roman"/>
                <w:szCs w:val="21"/>
              </w:rPr>
              <w:t>总体技术框架选择合理，并具备良好的扩展性，方案设计规划合理，建设内容详实。（0～</w:t>
            </w:r>
            <w:r>
              <w:rPr>
                <w:rFonts w:hint="eastAsia" w:ascii="Times New Roman" w:hAnsi="Times New Roman" w:cs="Times New Roman"/>
                <w:szCs w:val="21"/>
                <w:lang w:val="en-US" w:eastAsia="zh-CN"/>
              </w:rPr>
              <w:t>6</w:t>
            </w:r>
            <w:r>
              <w:rPr>
                <w:rFonts w:ascii="Times New Roman" w:hAnsi="Times New Roman" w:cs="Times New Roman"/>
                <w:szCs w:val="21"/>
              </w:rPr>
              <w:t>分）</w:t>
            </w:r>
          </w:p>
          <w:p>
            <w:pPr>
              <w:pStyle w:val="10"/>
              <w:rPr>
                <w:rFonts w:ascii="Times New Roman" w:hAnsi="Times New Roman" w:cs="Times New Roman"/>
                <w:szCs w:val="21"/>
              </w:rPr>
            </w:pPr>
            <w:r>
              <w:rPr>
                <w:rFonts w:ascii="Times New Roman" w:hAnsi="Times New Roman" w:cs="Times New Roman"/>
                <w:szCs w:val="21"/>
              </w:rPr>
              <w:t>优：</w:t>
            </w:r>
            <w:r>
              <w:rPr>
                <w:rFonts w:hint="eastAsia" w:ascii="Times New Roman" w:hAnsi="Times New Roman" w:cs="Times New Roman"/>
                <w:szCs w:val="21"/>
              </w:rPr>
              <w:t>4~</w:t>
            </w:r>
            <w:r>
              <w:rPr>
                <w:rFonts w:hint="eastAsia" w:ascii="Times New Roman" w:hAnsi="Times New Roman" w:cs="Times New Roman"/>
                <w:szCs w:val="21"/>
                <w:lang w:val="en-US" w:eastAsia="zh-CN"/>
              </w:rPr>
              <w:t>6</w:t>
            </w:r>
            <w:r>
              <w:rPr>
                <w:rFonts w:ascii="Times New Roman" w:hAnsi="Times New Roman" w:cs="Times New Roman"/>
                <w:szCs w:val="21"/>
              </w:rPr>
              <w:t>分，良：2</w:t>
            </w:r>
            <w:r>
              <w:rPr>
                <w:rFonts w:hint="eastAsia" w:ascii="Times New Roman" w:hAnsi="Times New Roman" w:cs="Times New Roman"/>
                <w:szCs w:val="21"/>
              </w:rPr>
              <w:t>~</w:t>
            </w:r>
            <w:r>
              <w:rPr>
                <w:rFonts w:ascii="Times New Roman" w:hAnsi="Times New Roman" w:cs="Times New Roman"/>
                <w:szCs w:val="21"/>
              </w:rPr>
              <w:t>3分，一般：1分，</w:t>
            </w:r>
            <w:r>
              <w:rPr>
                <w:rFonts w:hint="eastAsia"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top w:val="single" w:color="auto" w:sz="4" w:space="0"/>
              <w:left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软件自主知识产权（</w:t>
            </w:r>
            <w:r>
              <w:rPr>
                <w:rFonts w:hint="eastAsia" w:ascii="Times New Roman" w:hAnsi="Times New Roman" w:cs="Times New Roman"/>
                <w:szCs w:val="21"/>
              </w:rPr>
              <w:t>5</w:t>
            </w:r>
            <w:r>
              <w:rPr>
                <w:rFonts w:ascii="Times New Roman" w:hAnsi="Times New Roman" w:cs="Times New Roman"/>
                <w:szCs w:val="21"/>
              </w:rPr>
              <w:t>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hint="eastAsia" w:ascii="Times New Roman" w:hAnsi="Times New Roman" w:cs="Times New Roman"/>
                <w:szCs w:val="21"/>
              </w:rPr>
              <w:t>一、投标方或关键设备/系统生产商具有且提供以下</w:t>
            </w:r>
            <w:r>
              <w:rPr>
                <w:rFonts w:ascii="Times New Roman" w:hAnsi="Times New Roman" w:cs="Times New Roman"/>
                <w:szCs w:val="21"/>
              </w:rPr>
              <w:t>软件著作权登记证书</w:t>
            </w:r>
            <w:r>
              <w:rPr>
                <w:rFonts w:hint="eastAsia" w:ascii="Times New Roman" w:hAnsi="Times New Roman" w:cs="Times New Roman"/>
                <w:szCs w:val="21"/>
              </w:rPr>
              <w:t>：</w:t>
            </w:r>
          </w:p>
          <w:p>
            <w:pPr>
              <w:pStyle w:val="10"/>
              <w:rPr>
                <w:rFonts w:ascii="Times New Roman" w:hAnsi="Times New Roman" w:cs="Times New Roman"/>
                <w:szCs w:val="21"/>
              </w:rPr>
            </w:pPr>
            <w:r>
              <w:rPr>
                <w:rFonts w:hint="eastAsia" w:ascii="Times New Roman" w:hAnsi="Times New Roman" w:cs="Times New Roman"/>
                <w:szCs w:val="21"/>
              </w:rPr>
              <w:t>1、大气污染溯源</w:t>
            </w:r>
            <w:r>
              <w:rPr>
                <w:rFonts w:ascii="Times New Roman" w:hAnsi="Times New Roman" w:cs="Times New Roman"/>
                <w:szCs w:val="21"/>
              </w:rPr>
              <w:t>系统</w:t>
            </w:r>
            <w:r>
              <w:rPr>
                <w:rFonts w:hint="eastAsia" w:ascii="Times New Roman" w:hAnsi="Times New Roman" w:cs="Times New Roman"/>
                <w:szCs w:val="21"/>
              </w:rPr>
              <w:t>；2、分级预警管控</w:t>
            </w:r>
            <w:r>
              <w:rPr>
                <w:rFonts w:ascii="Times New Roman" w:hAnsi="Times New Roman" w:cs="Times New Roman"/>
                <w:szCs w:val="21"/>
              </w:rPr>
              <w:t>系统</w:t>
            </w:r>
            <w:r>
              <w:rPr>
                <w:rFonts w:hint="eastAsia" w:ascii="Times New Roman" w:hAnsi="Times New Roman" w:cs="Times New Roman"/>
                <w:szCs w:val="21"/>
              </w:rPr>
              <w:t>；3、</w:t>
            </w:r>
            <w:r>
              <w:rPr>
                <w:rFonts w:ascii="Times New Roman" w:hAnsi="Times New Roman" w:cs="Times New Roman"/>
                <w:szCs w:val="21"/>
              </w:rPr>
              <w:t>重大危险源在线监控及事故预警系统</w:t>
            </w:r>
            <w:r>
              <w:rPr>
                <w:rFonts w:hint="eastAsia" w:ascii="Times New Roman" w:hAnsi="Times New Roman" w:cs="Times New Roman"/>
                <w:szCs w:val="21"/>
              </w:rPr>
              <w:t>；4、</w:t>
            </w:r>
            <w:r>
              <w:rPr>
                <w:rFonts w:ascii="Times New Roman" w:hAnsi="Times New Roman" w:cs="Times New Roman"/>
                <w:szCs w:val="21"/>
              </w:rPr>
              <w:t>安全生产风险作业管理系统</w:t>
            </w:r>
            <w:r>
              <w:rPr>
                <w:rFonts w:hint="eastAsia" w:ascii="Times New Roman" w:hAnsi="Times New Roman" w:cs="Times New Roman"/>
                <w:szCs w:val="21"/>
              </w:rPr>
              <w:t>；5、</w:t>
            </w:r>
            <w:r>
              <w:rPr>
                <w:rFonts w:ascii="Times New Roman" w:hAnsi="Times New Roman" w:cs="Times New Roman"/>
                <w:szCs w:val="21"/>
              </w:rPr>
              <w:t>能源管理平台软件</w:t>
            </w:r>
            <w:r>
              <w:rPr>
                <w:rFonts w:hint="eastAsia" w:ascii="Times New Roman" w:hAnsi="Times New Roman" w:cs="Times New Roman"/>
                <w:szCs w:val="21"/>
              </w:rPr>
              <w:t>；6、</w:t>
            </w:r>
            <w:r>
              <w:rPr>
                <w:rFonts w:ascii="Times New Roman" w:hAnsi="Times New Roman" w:cs="Times New Roman"/>
                <w:szCs w:val="21"/>
              </w:rPr>
              <w:t>人机联控平台软件</w:t>
            </w:r>
            <w:r>
              <w:rPr>
                <w:rFonts w:hint="eastAsia" w:ascii="Times New Roman" w:hAnsi="Times New Roman" w:cs="Times New Roman"/>
                <w:szCs w:val="21"/>
              </w:rPr>
              <w:t>；7、车辆车载终端系统； 8、道路车辆监管平台软件； 9、经济运行监测平台软件； 10、能耗采集网关系统；</w:t>
            </w:r>
          </w:p>
          <w:p>
            <w:pPr>
              <w:pStyle w:val="10"/>
              <w:rPr>
                <w:rFonts w:ascii="Times New Roman" w:hAnsi="Times New Roman" w:cs="Times New Roman"/>
                <w:szCs w:val="21"/>
              </w:rPr>
            </w:pPr>
            <w:r>
              <w:rPr>
                <w:rFonts w:hint="eastAsia" w:ascii="Times New Roman" w:hAnsi="Times New Roman" w:cs="Times New Roman"/>
                <w:szCs w:val="21"/>
              </w:rPr>
              <w:t>二、提供</w:t>
            </w:r>
            <w:r>
              <w:rPr>
                <w:rFonts w:ascii="Times New Roman" w:hAnsi="Times New Roman" w:cs="Times New Roman"/>
                <w:szCs w:val="21"/>
              </w:rPr>
              <w:t>大气污染溯源系统</w:t>
            </w:r>
            <w:r>
              <w:rPr>
                <w:rFonts w:hint="eastAsia" w:ascii="Times New Roman" w:hAnsi="Times New Roman" w:cs="Times New Roman"/>
                <w:szCs w:val="21"/>
              </w:rPr>
              <w:t>、</w:t>
            </w:r>
            <w:r>
              <w:rPr>
                <w:rFonts w:ascii="Times New Roman" w:hAnsi="Times New Roman" w:cs="Times New Roman"/>
                <w:szCs w:val="21"/>
              </w:rPr>
              <w:t>分级预警管控系统软件平台由第三方检测机构出具的检验检测报告</w:t>
            </w:r>
            <w:r>
              <w:rPr>
                <w:rFonts w:hint="eastAsia" w:ascii="Times New Roman" w:hAnsi="Times New Roman" w:cs="Times New Roman"/>
                <w:szCs w:val="21"/>
              </w:rPr>
              <w:t>（提供检验检测报告原件扫描件并加盖投标单位公章，原件备查；提供出具此检验检测报告的第三方检测机构须具备</w:t>
            </w:r>
            <w:r>
              <w:rPr>
                <w:rFonts w:ascii="Times New Roman" w:hAnsi="Times New Roman" w:cs="Times New Roman"/>
                <w:szCs w:val="21"/>
              </w:rPr>
              <w:t>CNAS</w:t>
            </w:r>
            <w:r>
              <w:rPr>
                <w:rFonts w:hint="eastAsia" w:ascii="Times New Roman" w:hAnsi="Times New Roman" w:cs="Times New Roman"/>
                <w:szCs w:val="21"/>
              </w:rPr>
              <w:t>和</w:t>
            </w:r>
            <w:r>
              <w:rPr>
                <w:rFonts w:ascii="Times New Roman" w:hAnsi="Times New Roman" w:cs="Times New Roman"/>
                <w:szCs w:val="21"/>
              </w:rPr>
              <w:t>CMA</w:t>
            </w:r>
            <w:r>
              <w:rPr>
                <w:rFonts w:hint="eastAsia" w:ascii="Times New Roman" w:hAnsi="Times New Roman" w:cs="Times New Roman"/>
                <w:szCs w:val="21"/>
              </w:rPr>
              <w:t>资质，须提供第三方检测机构资质证书并加盖第三方检测机构公章的扫描件）</w:t>
            </w:r>
          </w:p>
          <w:p>
            <w:pPr>
              <w:pStyle w:val="10"/>
              <w:ind w:firstLine="420" w:firstLineChars="200"/>
              <w:rPr>
                <w:rFonts w:ascii="Times New Roman" w:hAnsi="Times New Roman" w:cs="Times New Roman"/>
                <w:szCs w:val="21"/>
              </w:rPr>
            </w:pPr>
            <w:r>
              <w:rPr>
                <w:rFonts w:hint="eastAsia" w:ascii="Times New Roman" w:hAnsi="Times New Roman" w:cs="Times New Roman"/>
                <w:szCs w:val="21"/>
              </w:rPr>
              <w:t>同时满足一和二的条件得5分，只满足其中任何一项时，得2分，无不得分。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right w:val="single" w:color="auto" w:sz="4" w:space="0"/>
            </w:tcBorders>
            <w:vAlign w:val="center"/>
          </w:tcPr>
          <w:p>
            <w:pPr>
              <w:pStyle w:val="10"/>
              <w:ind w:left="210" w:hanging="210" w:hangingChars="100"/>
              <w:rPr>
                <w:rFonts w:ascii="Times New Roman" w:hAnsi="Times New Roman" w:cs="Times New Roman"/>
                <w:szCs w:val="21"/>
              </w:rPr>
            </w:pPr>
            <w:r>
              <w:rPr>
                <w:rFonts w:hint="eastAsia" w:ascii="Times New Roman" w:hAnsi="Times New Roman" w:cs="Times New Roman"/>
                <w:szCs w:val="21"/>
              </w:rPr>
              <w:t>主要技术参数</w:t>
            </w:r>
            <w:r>
              <w:rPr>
                <w:rFonts w:ascii="Times New Roman" w:hAnsi="Times New Roman" w:cs="Times New Roman"/>
                <w:szCs w:val="21"/>
              </w:rPr>
              <w:t>（</w:t>
            </w:r>
            <w:r>
              <w:rPr>
                <w:rFonts w:hint="eastAsia" w:ascii="Times New Roman" w:hAnsi="Times New Roman" w:cs="Times New Roman"/>
                <w:szCs w:val="21"/>
              </w:rPr>
              <w:t>15</w:t>
            </w:r>
            <w:r>
              <w:rPr>
                <w:rFonts w:ascii="Times New Roman" w:hAnsi="Times New Roman" w:cs="Times New Roman"/>
                <w:szCs w:val="21"/>
              </w:rPr>
              <w:t>分）</w:t>
            </w:r>
          </w:p>
        </w:tc>
        <w:tc>
          <w:tcPr>
            <w:tcW w:w="7086" w:type="dxa"/>
            <w:tcBorders>
              <w:top w:val="single" w:color="auto" w:sz="4" w:space="0"/>
              <w:left w:val="single" w:color="auto" w:sz="4" w:space="0"/>
              <w:bottom w:val="single" w:color="auto" w:sz="4" w:space="0"/>
              <w:right w:val="single" w:color="auto" w:sz="4" w:space="0"/>
            </w:tcBorders>
            <w:vAlign w:val="center"/>
          </w:tcPr>
          <w:p>
            <w:pPr>
              <w:tabs>
                <w:tab w:val="left" w:pos="312"/>
              </w:tabs>
              <w:spacing w:line="276" w:lineRule="auto"/>
              <w:rPr>
                <w:sz w:val="21"/>
                <w:szCs w:val="21"/>
              </w:rPr>
            </w:pPr>
            <w:r>
              <w:rPr>
                <w:rFonts w:hint="eastAsia"/>
                <w:sz w:val="21"/>
                <w:szCs w:val="21"/>
              </w:rPr>
              <w:t>1.投标方提供的产品技术参数指标（加“△”项）每项无实质性响应的减3分，减完为止；</w:t>
            </w:r>
          </w:p>
          <w:p>
            <w:pPr>
              <w:pStyle w:val="10"/>
              <w:rPr>
                <w:rFonts w:hAnsi="宋体"/>
                <w:szCs w:val="21"/>
              </w:rPr>
            </w:pPr>
            <w:r>
              <w:rPr>
                <w:rFonts w:hint="eastAsia" w:hAnsi="宋体"/>
                <w:szCs w:val="21"/>
              </w:rPr>
              <w:t>2.</w:t>
            </w:r>
            <w:r>
              <w:rPr>
                <w:rFonts w:hint="eastAsia" w:ascii="宋体" w:hAnsi="宋体"/>
                <w:szCs w:val="21"/>
              </w:rPr>
              <w:t xml:space="preserve"> </w:t>
            </w:r>
            <w:r>
              <w:rPr>
                <w:rFonts w:hint="eastAsia"/>
                <w:szCs w:val="21"/>
              </w:rPr>
              <w:t>投标方提供的</w:t>
            </w:r>
            <w:r>
              <w:rPr>
                <w:rFonts w:hint="eastAsia" w:hAnsi="宋体"/>
                <w:szCs w:val="21"/>
              </w:rPr>
              <w:t>产品（加“△”项），</w:t>
            </w:r>
            <w:r>
              <w:rPr>
                <w:rFonts w:hint="eastAsia" w:ascii="宋体" w:hAnsi="宋体"/>
                <w:szCs w:val="21"/>
              </w:rPr>
              <w:t>供应商应当按照要求提供的“佐证材料”在响应文件中提供相关证明材料(复印件加盖公章)。</w:t>
            </w:r>
            <w:r>
              <w:rPr>
                <w:rFonts w:hint="eastAsia" w:hAnsi="宋体"/>
                <w:szCs w:val="21"/>
              </w:rPr>
              <w:t>每项无实质性响应减3分，减完为止。</w:t>
            </w:r>
          </w:p>
          <w:p>
            <w:pPr>
              <w:pStyle w:val="10"/>
              <w:rPr>
                <w:rFonts w:ascii="Times New Roman" w:hAnsi="Times New Roman" w:cs="Times New Roman"/>
                <w:szCs w:val="21"/>
              </w:rPr>
            </w:pPr>
            <w:r>
              <w:rPr>
                <w:rFonts w:hint="eastAsia" w:hAnsi="宋体"/>
                <w:szCs w:val="21"/>
              </w:rPr>
              <w:t>3：</w:t>
            </w:r>
            <w:r>
              <w:rPr>
                <w:rFonts w:hint="eastAsia"/>
                <w:szCs w:val="21"/>
              </w:rPr>
              <w:t>投标方提供的产品技术参数指标（加“△”项）完全响应指标或</w:t>
            </w:r>
            <w:r>
              <w:rPr>
                <w:rFonts w:hint="eastAsia" w:ascii="宋体" w:hAnsi="宋体"/>
                <w:szCs w:val="21"/>
              </w:rPr>
              <w:t>提供的“佐证材料”在响应文件中提供相关证明材料得15分。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系统演示综合评价</w:t>
            </w:r>
            <w:r>
              <w:rPr>
                <w:rFonts w:ascii="Times New Roman" w:hAnsi="Times New Roman" w:cs="Times New Roman"/>
                <w:sz w:val="22"/>
              </w:rPr>
              <w:t>（</w:t>
            </w:r>
            <w:r>
              <w:rPr>
                <w:rFonts w:hint="eastAsia" w:ascii="Times New Roman" w:hAnsi="Times New Roman" w:cs="Times New Roman"/>
                <w:sz w:val="22"/>
              </w:rPr>
              <w:t>10</w:t>
            </w:r>
            <w:r>
              <w:rPr>
                <w:rFonts w:ascii="Times New Roman" w:hAnsi="Times New Roman" w:cs="Times New Roman"/>
                <w:sz w:val="22"/>
              </w:rPr>
              <w:t>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宋体" w:hAnsi="宋体"/>
              </w:rPr>
            </w:pPr>
            <w:r>
              <w:rPr>
                <w:rFonts w:ascii="Times New Roman" w:hAnsi="Times New Roman" w:cs="Times New Roman"/>
                <w:szCs w:val="21"/>
              </w:rPr>
              <w:t>根据投标方</w:t>
            </w:r>
            <w:r>
              <w:rPr>
                <w:rFonts w:hint="eastAsia" w:ascii="宋体" w:hAnsi="宋体"/>
              </w:rPr>
              <w:t>对系统方案演示效果进行综合评审，全部演示完成并优秀得10分，每缺少一项扣对应的分数，扣完为止。系统演示每家限时20分钟，必须提供真实软件系统演示，静态网页、录像、PPT等演示总分得0-1分。</w:t>
            </w:r>
          </w:p>
          <w:p>
            <w:pPr>
              <w:pStyle w:val="10"/>
              <w:rPr>
                <w:rFonts w:ascii="宋体" w:hAnsi="宋体"/>
              </w:rPr>
            </w:pPr>
            <w:r>
              <w:rPr>
                <w:rFonts w:hint="eastAsia" w:ascii="宋体" w:hAnsi="宋体"/>
              </w:rPr>
              <w:t>1、按照系统招标要求演示环境污染溯源系统和能耗在线监测分析系统；</w:t>
            </w:r>
            <w:r>
              <w:rPr>
                <w:rFonts w:ascii="Times New Roman" w:hAnsi="Times New Roman" w:cs="Times New Roman"/>
                <w:szCs w:val="21"/>
              </w:rPr>
              <w:t>（0～</w:t>
            </w:r>
            <w:r>
              <w:rPr>
                <w:rFonts w:hint="eastAsia" w:ascii="Times New Roman" w:hAnsi="Times New Roman" w:cs="Times New Roman"/>
                <w:szCs w:val="21"/>
              </w:rPr>
              <w:t>2</w:t>
            </w:r>
            <w:r>
              <w:rPr>
                <w:rFonts w:ascii="Times New Roman" w:hAnsi="Times New Roman" w:cs="Times New Roman"/>
                <w:szCs w:val="21"/>
              </w:rPr>
              <w:t>分）</w:t>
            </w:r>
          </w:p>
          <w:p>
            <w:pPr>
              <w:pStyle w:val="10"/>
              <w:rPr>
                <w:rFonts w:ascii="宋体" w:hAnsi="宋体"/>
              </w:rPr>
            </w:pPr>
            <w:r>
              <w:rPr>
                <w:rFonts w:hint="eastAsia" w:ascii="宋体" w:hAnsi="宋体"/>
              </w:rPr>
              <w:t>优：2分，良：</w:t>
            </w:r>
            <w:r>
              <w:rPr>
                <w:rFonts w:hint="eastAsia" w:ascii="Times New Roman" w:hAnsi="Times New Roman" w:cs="Times New Roman"/>
                <w:szCs w:val="21"/>
              </w:rPr>
              <w:t>1</w:t>
            </w:r>
            <w:r>
              <w:rPr>
                <w:rFonts w:hint="eastAsia" w:ascii="宋体" w:hAnsi="宋体"/>
              </w:rPr>
              <w:t>分，差：</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w:t>
            </w:r>
          </w:p>
          <w:p>
            <w:pPr>
              <w:pStyle w:val="10"/>
              <w:rPr>
                <w:rFonts w:ascii="宋体" w:hAnsi="宋体"/>
              </w:rPr>
            </w:pPr>
            <w:r>
              <w:rPr>
                <w:rFonts w:hint="eastAsia" w:ascii="宋体" w:hAnsi="宋体"/>
              </w:rPr>
              <w:t>2、按照系统招标要求演示智慧园区核心技术人工智能平台系统：</w:t>
            </w:r>
          </w:p>
          <w:p>
            <w:pPr>
              <w:pStyle w:val="10"/>
              <w:rPr>
                <w:rFonts w:ascii="宋体" w:hAnsi="宋体"/>
              </w:rPr>
            </w:pPr>
            <w:r>
              <w:rPr>
                <w:rFonts w:hint="eastAsia" w:ascii="宋体" w:hAnsi="宋体"/>
              </w:rPr>
              <w:t>2.1实时监测。</w:t>
            </w:r>
            <w:r>
              <w:rPr>
                <w:rFonts w:ascii="Times New Roman" w:hAnsi="Times New Roman" w:cs="Times New Roman"/>
                <w:szCs w:val="21"/>
              </w:rPr>
              <w:t>（0～</w:t>
            </w:r>
            <w:r>
              <w:rPr>
                <w:rFonts w:hint="eastAsia" w:ascii="Times New Roman" w:hAnsi="Times New Roman" w:cs="Times New Roman"/>
                <w:szCs w:val="21"/>
              </w:rPr>
              <w:t>3</w:t>
            </w:r>
            <w:r>
              <w:rPr>
                <w:rFonts w:ascii="Times New Roman" w:hAnsi="Times New Roman" w:cs="Times New Roman"/>
                <w:szCs w:val="21"/>
              </w:rPr>
              <w:t>分）</w:t>
            </w:r>
          </w:p>
          <w:p>
            <w:pPr>
              <w:pStyle w:val="10"/>
              <w:rPr>
                <w:rFonts w:ascii="宋体" w:hAnsi="宋体"/>
              </w:rPr>
            </w:pPr>
            <w:r>
              <w:rPr>
                <w:rFonts w:hint="eastAsia" w:ascii="宋体" w:hAnsi="宋体"/>
              </w:rPr>
              <w:t>对站房内设备的监测数据和状态参数进行实时监测；对站房内人脸和姿态识别，对进入监测范围内的人进行实时人脸和人体姿态识别。</w:t>
            </w:r>
          </w:p>
          <w:p>
            <w:pPr>
              <w:pStyle w:val="10"/>
              <w:numPr>
                <w:ilvl w:val="0"/>
                <w:numId w:val="7"/>
              </w:numPr>
              <w:rPr>
                <w:rFonts w:ascii="宋体" w:hAnsi="宋体"/>
              </w:rPr>
            </w:pPr>
            <w:r>
              <w:rPr>
                <w:rFonts w:hint="eastAsia" w:ascii="宋体" w:hAnsi="宋体"/>
              </w:rPr>
              <w:t>能够实时显示监测数据和状态参数，优得1分；良得</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分；没有该功能得0分。</w:t>
            </w:r>
          </w:p>
          <w:p>
            <w:pPr>
              <w:pStyle w:val="10"/>
              <w:numPr>
                <w:ilvl w:val="0"/>
                <w:numId w:val="7"/>
              </w:numPr>
              <w:rPr>
                <w:rFonts w:ascii="宋体" w:hAnsi="宋体"/>
              </w:rPr>
            </w:pPr>
            <w:r>
              <w:rPr>
                <w:rFonts w:hint="eastAsia" w:ascii="宋体" w:hAnsi="宋体"/>
              </w:rPr>
              <w:t>判断是否为授权人员，需要显示人员详细信息，优得1分；良得</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分；没有该功能得0分。</w:t>
            </w:r>
          </w:p>
          <w:p>
            <w:pPr>
              <w:pStyle w:val="10"/>
              <w:numPr>
                <w:ilvl w:val="0"/>
                <w:numId w:val="7"/>
              </w:numPr>
              <w:rPr>
                <w:rFonts w:ascii="宋体" w:hAnsi="宋体"/>
              </w:rPr>
            </w:pPr>
            <w:r>
              <w:rPr>
                <w:rFonts w:hint="eastAsia" w:ascii="宋体" w:hAnsi="宋体"/>
              </w:rPr>
              <w:t>能够实时显示人体姿态信息，优得1分；良得</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分；没有该功能得0分。</w:t>
            </w:r>
          </w:p>
          <w:p>
            <w:pPr>
              <w:pStyle w:val="10"/>
              <w:rPr>
                <w:rFonts w:ascii="宋体" w:hAnsi="宋体"/>
              </w:rPr>
            </w:pPr>
            <w:r>
              <w:rPr>
                <w:rFonts w:hint="eastAsia" w:ascii="宋体" w:hAnsi="宋体"/>
              </w:rPr>
              <w:t>2.2日常维护流程智能监管，维护人员进行完整流程的维护动作，需要通过机器识别现场人员动作是否规范，判断是否存在漏做或不规范的操作。</w:t>
            </w:r>
            <w:r>
              <w:rPr>
                <w:rFonts w:ascii="Times New Roman" w:hAnsi="Times New Roman" w:cs="Times New Roman"/>
                <w:szCs w:val="21"/>
              </w:rPr>
              <w:t>（0～</w:t>
            </w:r>
            <w:r>
              <w:rPr>
                <w:rFonts w:hint="eastAsia" w:ascii="Times New Roman" w:hAnsi="Times New Roman" w:cs="Times New Roman"/>
                <w:szCs w:val="21"/>
              </w:rPr>
              <w:t>3</w:t>
            </w:r>
            <w:r>
              <w:rPr>
                <w:rFonts w:ascii="Times New Roman" w:hAnsi="Times New Roman" w:cs="Times New Roman"/>
                <w:szCs w:val="21"/>
              </w:rPr>
              <w:t>分）</w:t>
            </w:r>
          </w:p>
          <w:p>
            <w:pPr>
              <w:pStyle w:val="10"/>
              <w:numPr>
                <w:ilvl w:val="0"/>
                <w:numId w:val="7"/>
              </w:numPr>
              <w:rPr>
                <w:rFonts w:ascii="宋体" w:hAnsi="宋体"/>
              </w:rPr>
            </w:pPr>
            <w:r>
              <w:rPr>
                <w:rFonts w:hint="eastAsia" w:ascii="宋体" w:hAnsi="宋体"/>
              </w:rPr>
              <w:t>能够识别正常维护动作，优得1分；良得</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分；没有该功能得0分。</w:t>
            </w:r>
          </w:p>
          <w:p>
            <w:pPr>
              <w:pStyle w:val="10"/>
              <w:numPr>
                <w:ilvl w:val="0"/>
                <w:numId w:val="7"/>
              </w:numPr>
              <w:rPr>
                <w:rFonts w:ascii="宋体" w:hAnsi="宋体"/>
              </w:rPr>
            </w:pPr>
            <w:r>
              <w:rPr>
                <w:rFonts w:hint="eastAsia" w:ascii="宋体" w:hAnsi="宋体"/>
              </w:rPr>
              <w:t>能够识别到漏做运维工作，优得1分；良得</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分；没有该功能得0分。</w:t>
            </w:r>
          </w:p>
          <w:p>
            <w:pPr>
              <w:pStyle w:val="10"/>
              <w:numPr>
                <w:ilvl w:val="0"/>
                <w:numId w:val="7"/>
              </w:numPr>
              <w:rPr>
                <w:rFonts w:ascii="宋体" w:hAnsi="宋体"/>
              </w:rPr>
            </w:pPr>
            <w:r>
              <w:rPr>
                <w:rFonts w:hint="eastAsia" w:ascii="宋体" w:hAnsi="宋体"/>
              </w:rPr>
              <w:t>能够识别到不规范的运维操作，优得1分；良得</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分；没有该功能得0分。</w:t>
            </w:r>
          </w:p>
          <w:p>
            <w:pPr>
              <w:pStyle w:val="10"/>
              <w:rPr>
                <w:rFonts w:ascii="宋体" w:hAnsi="宋体"/>
              </w:rPr>
            </w:pPr>
            <w:r>
              <w:rPr>
                <w:rFonts w:hint="eastAsia" w:ascii="宋体" w:hAnsi="宋体"/>
              </w:rPr>
              <w:t>2.3现场溯源与告警。</w:t>
            </w:r>
            <w:r>
              <w:rPr>
                <w:rFonts w:ascii="Times New Roman" w:hAnsi="Times New Roman" w:cs="Times New Roman"/>
                <w:szCs w:val="21"/>
              </w:rPr>
              <w:t>（0～</w:t>
            </w:r>
            <w:r>
              <w:rPr>
                <w:rFonts w:hint="eastAsia" w:ascii="Times New Roman" w:hAnsi="Times New Roman" w:cs="Times New Roman"/>
                <w:szCs w:val="21"/>
              </w:rPr>
              <w:t>2</w:t>
            </w:r>
            <w:r>
              <w:rPr>
                <w:rFonts w:ascii="Times New Roman" w:hAnsi="Times New Roman" w:cs="Times New Roman"/>
                <w:szCs w:val="21"/>
              </w:rPr>
              <w:t>分）</w:t>
            </w:r>
          </w:p>
          <w:p>
            <w:pPr>
              <w:pStyle w:val="10"/>
              <w:numPr>
                <w:ilvl w:val="0"/>
                <w:numId w:val="7"/>
              </w:numPr>
              <w:rPr>
                <w:rFonts w:ascii="宋体" w:hAnsi="宋体"/>
              </w:rPr>
            </w:pPr>
            <w:r>
              <w:rPr>
                <w:rFonts w:hint="eastAsia" w:ascii="宋体" w:hAnsi="宋体"/>
              </w:rPr>
              <w:t>维护动作完成后需要保证可以观看回放录像并显示人体姿态，优得1分；良得</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分；没有该功能得0分。</w:t>
            </w:r>
          </w:p>
          <w:p>
            <w:pPr>
              <w:pStyle w:val="10"/>
              <w:numPr>
                <w:ilvl w:val="0"/>
                <w:numId w:val="7"/>
              </w:numPr>
              <w:rPr>
                <w:rFonts w:ascii="宋体" w:hAnsi="宋体"/>
              </w:rPr>
            </w:pPr>
            <w:r>
              <w:rPr>
                <w:rFonts w:hint="eastAsia" w:ascii="宋体" w:hAnsi="宋体"/>
              </w:rPr>
              <w:t>非授权人员闯入，需要产生告警信息，并录像，需要支持录像回看, 优得</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分；良得</w:t>
            </w:r>
            <w:r>
              <w:rPr>
                <w:rFonts w:hint="eastAsia" w:ascii="Times New Roman" w:hAnsi="Times New Roman" w:cs="Times New Roman"/>
                <w:szCs w:val="21"/>
              </w:rPr>
              <w:t>0</w:t>
            </w:r>
            <w:r>
              <w:rPr>
                <w:rFonts w:ascii="Times New Roman" w:hAnsi="Times New Roman" w:cs="Times New Roman"/>
                <w:szCs w:val="21"/>
              </w:rPr>
              <w:t>.</w:t>
            </w:r>
            <w:r>
              <w:rPr>
                <w:rFonts w:hint="eastAsia" w:ascii="Times New Roman" w:hAnsi="Times New Roman" w:cs="Times New Roman"/>
                <w:szCs w:val="21"/>
              </w:rPr>
              <w:t>3</w:t>
            </w:r>
            <w:r>
              <w:rPr>
                <w:rFonts w:hint="eastAsia" w:ascii="宋体" w:hAnsi="宋体"/>
              </w:rPr>
              <w:t>分；没有该功能得0分。</w:t>
            </w:r>
          </w:p>
          <w:p>
            <w:pPr>
              <w:pStyle w:val="10"/>
              <w:numPr>
                <w:ilvl w:val="0"/>
                <w:numId w:val="7"/>
              </w:numPr>
              <w:rPr>
                <w:rFonts w:ascii="宋体" w:hAnsi="宋体"/>
              </w:rPr>
            </w:pPr>
            <w:r>
              <w:rPr>
                <w:rFonts w:hint="eastAsia" w:ascii="宋体" w:hAnsi="宋体"/>
              </w:rPr>
              <w:t>当企业巡视人员触动监测设备，需要产生报警信息并录像回看, 优得</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分；良得</w:t>
            </w:r>
            <w:r>
              <w:rPr>
                <w:rFonts w:hint="eastAsia" w:ascii="Times New Roman" w:hAnsi="Times New Roman" w:cs="Times New Roman"/>
                <w:szCs w:val="21"/>
              </w:rPr>
              <w:t>0</w:t>
            </w:r>
            <w:r>
              <w:rPr>
                <w:rFonts w:ascii="Times New Roman" w:hAnsi="Times New Roman" w:cs="Times New Roman"/>
                <w:szCs w:val="21"/>
              </w:rPr>
              <w:t>.</w:t>
            </w:r>
            <w:r>
              <w:rPr>
                <w:rFonts w:hint="eastAsia" w:ascii="Times New Roman" w:hAnsi="Times New Roman" w:cs="Times New Roman"/>
                <w:szCs w:val="21"/>
              </w:rPr>
              <w:t>3</w:t>
            </w:r>
            <w:r>
              <w:rPr>
                <w:rFonts w:hint="eastAsia" w:ascii="宋体" w:hAnsi="宋体"/>
              </w:rPr>
              <w:t>分；没有该功能得0分。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hint="eastAsia" w:ascii="Times New Roman" w:hAnsi="Times New Roman" w:cs="Times New Roman"/>
                <w:szCs w:val="21"/>
              </w:rPr>
              <w:t>项目实施团队（5分）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hint="eastAsia" w:ascii="Times New Roman" w:hAnsi="Times New Roman" w:cs="Times New Roman"/>
                <w:szCs w:val="21"/>
              </w:rPr>
              <w:t>投标方或关键设备</w:t>
            </w:r>
            <w:r>
              <w:rPr>
                <w:rFonts w:ascii="Times New Roman" w:hAnsi="Times New Roman" w:cs="Times New Roman"/>
                <w:szCs w:val="21"/>
              </w:rPr>
              <w:t>/</w:t>
            </w:r>
            <w:r>
              <w:rPr>
                <w:rFonts w:hint="eastAsia" w:ascii="Times New Roman" w:hAnsi="Times New Roman" w:cs="Times New Roman"/>
                <w:szCs w:val="21"/>
              </w:rPr>
              <w:t>系统生产商项目成员不少于8人，团队人员知识结构全面且团队人员满足以下人员配置：</w:t>
            </w:r>
          </w:p>
          <w:p>
            <w:pPr>
              <w:pStyle w:val="1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 xml:space="preserve"> </w:t>
            </w:r>
            <w:r>
              <w:rPr>
                <w:rFonts w:hint="eastAsia" w:ascii="Times New Roman" w:hAnsi="Times New Roman" w:cs="Times New Roman"/>
                <w:szCs w:val="21"/>
              </w:rPr>
              <w:t>项目团队负责人同时具备分析仪器高级职称和项目经理专业人员资格认证证书，得</w:t>
            </w:r>
            <w:r>
              <w:rPr>
                <w:rFonts w:ascii="Times New Roman" w:hAnsi="Times New Roman" w:cs="Times New Roman"/>
                <w:szCs w:val="21"/>
              </w:rPr>
              <w:t>2</w:t>
            </w:r>
            <w:r>
              <w:rPr>
                <w:rFonts w:hint="eastAsia" w:ascii="Times New Roman" w:hAnsi="Times New Roman" w:cs="Times New Roman"/>
                <w:szCs w:val="21"/>
              </w:rPr>
              <w:t>分，只具备其中之一得1分，无不得分；</w:t>
            </w:r>
          </w:p>
          <w:p>
            <w:pPr>
              <w:pStyle w:val="10"/>
              <w:rPr>
                <w:rFonts w:ascii="Times New Roman" w:hAnsi="Times New Roman" w:cs="Times New Roman"/>
                <w:szCs w:val="21"/>
              </w:rPr>
            </w:pPr>
            <w:r>
              <w:rPr>
                <w:rFonts w:hint="eastAsia" w:ascii="Times New Roman" w:hAnsi="Times New Roman" w:cs="Times New Roman"/>
                <w:szCs w:val="21"/>
              </w:rPr>
              <w:t>2、项目团队成员具有仪器仪表高级职称的，有</w:t>
            </w:r>
            <w:r>
              <w:rPr>
                <w:rFonts w:ascii="Times New Roman" w:hAnsi="Times New Roman" w:cs="Times New Roman"/>
                <w:szCs w:val="21"/>
              </w:rPr>
              <w:t>6</w:t>
            </w:r>
            <w:r>
              <w:rPr>
                <w:rFonts w:hint="eastAsia" w:ascii="Times New Roman" w:hAnsi="Times New Roman" w:cs="Times New Roman"/>
                <w:szCs w:val="21"/>
              </w:rPr>
              <w:t>个及以上人员证书得1分，5-4个得0.5分，</w:t>
            </w:r>
            <w:r>
              <w:rPr>
                <w:rFonts w:ascii="Times New Roman" w:hAnsi="Times New Roman" w:cs="Times New Roman"/>
                <w:szCs w:val="21"/>
              </w:rPr>
              <w:t>3</w:t>
            </w:r>
            <w:r>
              <w:rPr>
                <w:rFonts w:hint="eastAsia" w:ascii="Times New Roman" w:hAnsi="Times New Roman" w:cs="Times New Roman"/>
                <w:szCs w:val="21"/>
              </w:rPr>
              <w:t>个及以下不得分；</w:t>
            </w:r>
          </w:p>
          <w:p>
            <w:pPr>
              <w:pStyle w:val="10"/>
              <w:rPr>
                <w:rFonts w:ascii="Times New Roman" w:hAnsi="Times New Roman" w:cs="Times New Roman"/>
                <w:szCs w:val="21"/>
              </w:rPr>
            </w:pPr>
            <w:r>
              <w:rPr>
                <w:rFonts w:hint="eastAsia" w:ascii="Times New Roman" w:hAnsi="Times New Roman" w:cs="Times New Roman"/>
                <w:szCs w:val="21"/>
              </w:rPr>
              <w:t>3、项目团队成员同时具有劳动安全工程工程师和安全评价师贰级及以上证书的，得</w:t>
            </w:r>
            <w:r>
              <w:rPr>
                <w:rFonts w:ascii="Times New Roman" w:hAnsi="Times New Roman" w:cs="Times New Roman"/>
                <w:szCs w:val="21"/>
              </w:rPr>
              <w:t>2</w:t>
            </w:r>
            <w:r>
              <w:rPr>
                <w:rFonts w:hint="eastAsia" w:ascii="Times New Roman" w:hAnsi="Times New Roman" w:cs="Times New Roman"/>
                <w:szCs w:val="21"/>
              </w:rPr>
              <w:t>分；只具备其中之一得1分，无不得分。</w:t>
            </w:r>
          </w:p>
          <w:p>
            <w:pPr>
              <w:pStyle w:val="10"/>
              <w:rPr>
                <w:rFonts w:ascii="Times New Roman" w:hAnsi="Times New Roman" w:cs="Times New Roman"/>
                <w:szCs w:val="21"/>
              </w:rPr>
            </w:pPr>
            <w:r>
              <w:rPr>
                <w:rFonts w:hint="eastAsia"/>
                <w:szCs w:val="21"/>
              </w:rPr>
              <w:t>需项目团队人员名单、职称证书复印件、劳动合同复印件、及由相关部门所提供的公司缴纳的</w:t>
            </w:r>
            <w:r>
              <w:rPr>
                <w:szCs w:val="21"/>
              </w:rPr>
              <w:t>6</w:t>
            </w:r>
            <w:r>
              <w:rPr>
                <w:rFonts w:hint="eastAsia"/>
                <w:szCs w:val="21"/>
              </w:rPr>
              <w:t>个月以上的社保证明文件，同时提供原件备查，否则不予认定得分。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hint="eastAsia" w:ascii="Times New Roman" w:hAnsi="Times New Roman" w:cs="Times New Roman"/>
                <w:szCs w:val="21"/>
              </w:rPr>
              <w:t>运维保障及服务（</w:t>
            </w:r>
            <w:r>
              <w:rPr>
                <w:rFonts w:hint="eastAsia" w:ascii="Times New Roman" w:hAnsi="Times New Roman" w:cs="Times New Roman"/>
                <w:szCs w:val="21"/>
                <w:lang w:val="en-US" w:eastAsia="zh-CN"/>
              </w:rPr>
              <w:t>3</w:t>
            </w:r>
            <w:r>
              <w:rPr>
                <w:rFonts w:hint="eastAsia" w:ascii="Times New Roman" w:hAnsi="Times New Roman" w:cs="Times New Roman"/>
                <w:szCs w:val="21"/>
              </w:rPr>
              <w:t>分）</w:t>
            </w:r>
          </w:p>
          <w:p>
            <w:pPr>
              <w:pStyle w:val="10"/>
              <w:rPr>
                <w:rFonts w:ascii="Times New Roman" w:hAnsi="Times New Roman" w:cs="Times New Roman"/>
                <w:szCs w:val="21"/>
              </w:rPr>
            </w:pP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hint="eastAsia" w:ascii="Times New Roman" w:hAnsi="Times New Roman" w:cs="Times New Roman"/>
                <w:szCs w:val="21"/>
              </w:rPr>
              <w:t>投标方或关键设备</w:t>
            </w:r>
            <w:r>
              <w:rPr>
                <w:rFonts w:ascii="Times New Roman" w:hAnsi="Times New Roman" w:cs="Times New Roman"/>
                <w:szCs w:val="21"/>
              </w:rPr>
              <w:t>/</w:t>
            </w:r>
            <w:r>
              <w:rPr>
                <w:rFonts w:hint="eastAsia" w:ascii="Times New Roman" w:hAnsi="Times New Roman" w:cs="Times New Roman"/>
                <w:szCs w:val="21"/>
              </w:rPr>
              <w:t>系统生产商应具有完善的运维保障体系，同时提供省级及以上环保认证部门颁发的自动监控（气）服务能力认证一级证书和中国电子信息行业联合会颁发的信息系统集成及服务资质运行维护分项一级证书且在有效期的，得</w:t>
            </w:r>
            <w:r>
              <w:rPr>
                <w:rFonts w:hint="eastAsia" w:ascii="Times New Roman" w:hAnsi="Times New Roman" w:cs="Times New Roman"/>
                <w:szCs w:val="21"/>
                <w:lang w:val="en-US" w:eastAsia="zh-CN"/>
              </w:rPr>
              <w:t>3</w:t>
            </w:r>
            <w:r>
              <w:rPr>
                <w:rFonts w:hint="eastAsia" w:ascii="Times New Roman" w:hAnsi="Times New Roman" w:cs="Times New Roman"/>
                <w:szCs w:val="21"/>
              </w:rPr>
              <w:t>分；提供其中一项得1分；未提供的不得分。（提供证书复印件并加盖公章，未提供不得分）。</w:t>
            </w:r>
          </w:p>
        </w:tc>
      </w:tr>
    </w:tbl>
    <w:p>
      <w:pPr>
        <w:numPr>
          <w:ilvl w:val="0"/>
          <w:numId w:val="0"/>
        </w:numPr>
        <w:ind w:leftChars="0"/>
        <w:rPr>
          <w:rFonts w:hint="eastAsia"/>
          <w:sz w:val="32"/>
          <w:szCs w:val="32"/>
          <w:lang w:val="en-US" w:eastAsia="zh-CN"/>
        </w:rPr>
      </w:pPr>
      <w:r>
        <w:rPr>
          <w:rFonts w:hint="eastAsia"/>
          <w:sz w:val="32"/>
          <w:szCs w:val="32"/>
          <w:lang w:val="en-US" w:eastAsia="zh-CN"/>
        </w:rPr>
        <w:t>修改后</w:t>
      </w:r>
    </w:p>
    <w:p>
      <w:pPr>
        <w:spacing w:line="360" w:lineRule="auto"/>
        <w:rPr>
          <w:rFonts w:ascii="宋体" w:hAnsi="宋体" w:cs="宋体"/>
          <w:b/>
          <w:kern w:val="0"/>
          <w:sz w:val="24"/>
          <w:szCs w:val="24"/>
        </w:rPr>
      </w:pPr>
      <w:r>
        <w:rPr>
          <w:rFonts w:hint="eastAsia" w:ascii="宋体" w:hAnsi="宋体" w:cs="宋体"/>
          <w:b/>
          <w:kern w:val="0"/>
          <w:sz w:val="24"/>
          <w:szCs w:val="24"/>
        </w:rPr>
        <w:t>表二详细评审表：</w:t>
      </w:r>
    </w:p>
    <w:tbl>
      <w:tblPr>
        <w:tblStyle w:val="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945"/>
        <w:gridCol w:w="7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2542" w:type="dxa"/>
            <w:gridSpan w:val="2"/>
            <w:tcBorders>
              <w:top w:val="single" w:color="auto" w:sz="4" w:space="0"/>
              <w:left w:val="single" w:color="auto" w:sz="4" w:space="0"/>
              <w:bottom w:val="single" w:color="auto" w:sz="4" w:space="0"/>
              <w:right w:val="single" w:color="auto" w:sz="4" w:space="0"/>
            </w:tcBorders>
          </w:tcPr>
          <w:p>
            <w:pPr>
              <w:pStyle w:val="10"/>
              <w:rPr>
                <w:rFonts w:ascii="Times New Roman" w:hAnsi="Times New Roman" w:cs="Times New Roman"/>
                <w:b/>
                <w:bCs/>
              </w:rPr>
            </w:pPr>
            <w:r>
              <w:rPr>
                <w:rFonts w:ascii="Times New Roman" w:hAnsi="Times New Roman" w:cs="Times New Roman"/>
                <w:b/>
                <w:bCs/>
              </w:rPr>
              <w:t>评审因素</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b/>
                <w:bCs/>
              </w:rPr>
            </w:pPr>
            <w:r>
              <w:rPr>
                <w:rFonts w:ascii="Times New Roman" w:hAnsi="Times New Roman" w:cs="Times New Roman"/>
                <w:b/>
                <w:bC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2542" w:type="dxa"/>
            <w:gridSpan w:val="2"/>
            <w:tcBorders>
              <w:top w:val="single" w:color="auto" w:sz="4" w:space="0"/>
              <w:left w:val="single" w:color="auto" w:sz="4" w:space="0"/>
              <w:bottom w:val="single" w:color="auto" w:sz="4" w:space="0"/>
              <w:right w:val="single" w:color="auto" w:sz="4" w:space="0"/>
            </w:tcBorders>
          </w:tcPr>
          <w:p>
            <w:pPr>
              <w:pStyle w:val="10"/>
              <w:rPr>
                <w:rFonts w:ascii="Times New Roman" w:hAnsi="Times New Roman" w:cs="Times New Roman"/>
                <w:szCs w:val="21"/>
              </w:rPr>
            </w:pPr>
            <w:r>
              <w:rPr>
                <w:rFonts w:ascii="Times New Roman" w:hAnsi="Times New Roman" w:cs="Times New Roman"/>
                <w:szCs w:val="21"/>
              </w:rPr>
              <w:t>分值构成</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1．报价得分</w:t>
            </w:r>
            <w:r>
              <w:rPr>
                <w:rFonts w:ascii="Times New Roman" w:hAnsi="Times New Roman" w:cs="Times New Roman"/>
                <w:szCs w:val="21"/>
                <w:u w:val="single"/>
              </w:rPr>
              <w:t>30</w:t>
            </w:r>
            <w:r>
              <w:rPr>
                <w:rFonts w:ascii="Times New Roman" w:hAnsi="Times New Roman" w:cs="Times New Roman"/>
                <w:szCs w:val="21"/>
              </w:rPr>
              <w:t xml:space="preserve">分 </w:t>
            </w:r>
          </w:p>
          <w:p>
            <w:pPr>
              <w:pStyle w:val="10"/>
              <w:rPr>
                <w:rFonts w:ascii="Times New Roman" w:hAnsi="Times New Roman" w:cs="Times New Roman"/>
                <w:szCs w:val="21"/>
              </w:rPr>
            </w:pPr>
            <w:r>
              <w:rPr>
                <w:rFonts w:ascii="Times New Roman" w:hAnsi="Times New Roman" w:cs="Times New Roman"/>
                <w:szCs w:val="21"/>
              </w:rPr>
              <w:t>2．资质部分</w:t>
            </w:r>
            <w:r>
              <w:rPr>
                <w:rFonts w:hint="eastAsia" w:ascii="Times New Roman" w:hAnsi="Times New Roman" w:cs="Times New Roman"/>
                <w:szCs w:val="21"/>
                <w:u w:val="single"/>
              </w:rPr>
              <w:t>20</w:t>
            </w:r>
            <w:r>
              <w:rPr>
                <w:rFonts w:ascii="Times New Roman" w:hAnsi="Times New Roman" w:cs="Times New Roman"/>
                <w:szCs w:val="21"/>
              </w:rPr>
              <w:t>分</w:t>
            </w:r>
          </w:p>
          <w:p>
            <w:pPr>
              <w:pStyle w:val="10"/>
              <w:rPr>
                <w:rFonts w:ascii="Times New Roman" w:hAnsi="Times New Roman" w:cs="Times New Roman"/>
                <w:szCs w:val="21"/>
              </w:rPr>
            </w:pPr>
            <w:r>
              <w:rPr>
                <w:rFonts w:ascii="Times New Roman" w:hAnsi="Times New Roman" w:cs="Times New Roman"/>
                <w:szCs w:val="21"/>
              </w:rPr>
              <w:t>3．技术部分</w:t>
            </w:r>
            <w:r>
              <w:rPr>
                <w:rFonts w:hint="eastAsia" w:ascii="Times New Roman" w:hAnsi="Times New Roman" w:cs="Times New Roman"/>
                <w:szCs w:val="21"/>
                <w:u w:val="single"/>
              </w:rPr>
              <w:t>50</w:t>
            </w:r>
            <w:r>
              <w:rPr>
                <w:rFonts w:ascii="Times New Roman" w:hAnsi="Times New Roman"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投标报价</w:t>
            </w:r>
          </w:p>
        </w:tc>
        <w:tc>
          <w:tcPr>
            <w:tcW w:w="1945"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评标基准价确定方法</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满足招标文件要求通过初步评审的且投标报价最低的为评标基准价。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投标报价得分</w:t>
            </w:r>
          </w:p>
          <w:p>
            <w:pPr>
              <w:pStyle w:val="10"/>
              <w:rPr>
                <w:rFonts w:ascii="Times New Roman" w:hAnsi="Times New Roman" w:cs="Times New Roman"/>
                <w:szCs w:val="21"/>
              </w:rPr>
            </w:pPr>
            <w:r>
              <w:rPr>
                <w:rFonts w:ascii="Times New Roman" w:hAnsi="Times New Roman" w:cs="Times New Roman"/>
                <w:szCs w:val="21"/>
              </w:rPr>
              <w:t>（30分）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97" w:type="dxa"/>
            <w:vMerge w:val="restart"/>
            <w:tcBorders>
              <w:top w:val="single" w:color="auto" w:sz="4" w:space="0"/>
              <w:left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资质部分</w:t>
            </w:r>
          </w:p>
        </w:tc>
        <w:tc>
          <w:tcPr>
            <w:tcW w:w="1945"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企业专业能力</w:t>
            </w:r>
          </w:p>
          <w:p>
            <w:pPr>
              <w:pStyle w:val="10"/>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3</w:t>
            </w:r>
            <w:r>
              <w:rPr>
                <w:rFonts w:ascii="Times New Roman" w:hAnsi="Times New Roman" w:cs="Times New Roman"/>
                <w:szCs w:val="21"/>
              </w:rPr>
              <w:t>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hint="eastAsia" w:ascii="Times New Roman" w:hAnsi="Times New Roman" w:cs="Times New Roman"/>
                <w:szCs w:val="21"/>
              </w:rPr>
              <w:t>投标方或</w:t>
            </w:r>
            <w:r>
              <w:rPr>
                <w:rFonts w:hint="eastAsia" w:ascii="Times New Roman" w:hAnsi="Times New Roman" w:cs="Times New Roman"/>
                <w:szCs w:val="21"/>
                <w:lang w:eastAsia="zh-CN"/>
              </w:rPr>
              <w:t>核心设备</w:t>
            </w:r>
            <w:r>
              <w:rPr>
                <w:rFonts w:hint="eastAsia" w:ascii="Times New Roman" w:hAnsi="Times New Roman" w:cs="Times New Roman"/>
                <w:szCs w:val="21"/>
              </w:rPr>
              <w:t>/系统生产商</w:t>
            </w:r>
            <w:r>
              <w:rPr>
                <w:rFonts w:ascii="Times New Roman" w:hAnsi="Times New Roman" w:cs="Times New Roman"/>
                <w:szCs w:val="21"/>
              </w:rPr>
              <w:t>获得环保行政主管部门</w:t>
            </w:r>
            <w:r>
              <w:rPr>
                <w:rFonts w:hint="eastAsia" w:ascii="Times New Roman" w:hAnsi="Times New Roman" w:cs="Times New Roman"/>
                <w:szCs w:val="21"/>
                <w:lang w:eastAsia="zh-CN"/>
              </w:rPr>
              <w:t>认证</w:t>
            </w:r>
            <w:r>
              <w:rPr>
                <w:rFonts w:ascii="Times New Roman" w:hAnsi="Times New Roman" w:cs="Times New Roman"/>
                <w:szCs w:val="21"/>
              </w:rPr>
              <w:t>，</w:t>
            </w:r>
            <w:r>
              <w:rPr>
                <w:rFonts w:hint="eastAsia" w:ascii="Times New Roman" w:hAnsi="Times New Roman" w:cs="Times New Roman"/>
                <w:szCs w:val="21"/>
              </w:rPr>
              <w:t>具有且提供：</w:t>
            </w:r>
            <w:r>
              <w:rPr>
                <w:rFonts w:hint="eastAsia" w:ascii="Times New Roman" w:hAnsi="Times New Roman" w:cs="Times New Roman"/>
                <w:color w:val="FF0000"/>
                <w:szCs w:val="21"/>
                <w:lang w:val="en-US" w:eastAsia="zh-CN"/>
              </w:rPr>
              <w:t>1.</w:t>
            </w:r>
            <w:r>
              <w:rPr>
                <w:rFonts w:hint="eastAsia" w:ascii="Times New Roman" w:hAnsi="Times New Roman" w:cs="Times New Roman"/>
                <w:color w:val="FF0000"/>
                <w:szCs w:val="21"/>
                <w:lang w:eastAsia="zh-CN"/>
              </w:rPr>
              <w:t>具备承担国家环境保护工程技术中心建设的企业得</w:t>
            </w:r>
            <w:r>
              <w:rPr>
                <w:rFonts w:hint="eastAsia" w:ascii="Times New Roman" w:hAnsi="Times New Roman" w:cs="Times New Roman"/>
                <w:color w:val="FF0000"/>
                <w:szCs w:val="21"/>
              </w:rPr>
              <w:t>3</w:t>
            </w:r>
            <w:r>
              <w:rPr>
                <w:rFonts w:ascii="Times New Roman" w:hAnsi="Times New Roman" w:cs="Times New Roman"/>
                <w:color w:val="FF0000"/>
                <w:szCs w:val="21"/>
              </w:rPr>
              <w:t>分；</w:t>
            </w:r>
            <w:r>
              <w:rPr>
                <w:rFonts w:hint="eastAsia" w:ascii="Times New Roman" w:hAnsi="Times New Roman" w:cs="Times New Roman"/>
                <w:color w:val="FF0000"/>
                <w:szCs w:val="21"/>
                <w:shd w:val="clear"/>
              </w:rPr>
              <w:t>2.</w:t>
            </w:r>
            <w:r>
              <w:rPr>
                <w:rFonts w:hint="eastAsia" w:ascii="Times New Roman" w:hAnsi="Times New Roman" w:cs="Times New Roman"/>
                <w:color w:val="FF0000"/>
                <w:szCs w:val="21"/>
                <w:shd w:val="clear"/>
                <w:lang w:eastAsia="zh-CN"/>
              </w:rPr>
              <w:t>具备承担</w:t>
            </w:r>
            <w:r>
              <w:rPr>
                <w:rFonts w:ascii="Times New Roman" w:hAnsi="Times New Roman" w:cs="Times New Roman"/>
                <w:color w:val="FF0000"/>
                <w:szCs w:val="21"/>
                <w:shd w:val="clear"/>
              </w:rPr>
              <w:t>省级</w:t>
            </w:r>
            <w:r>
              <w:rPr>
                <w:rFonts w:hint="eastAsia" w:ascii="Times New Roman" w:hAnsi="Times New Roman" w:cs="Times New Roman"/>
                <w:color w:val="FF0000"/>
                <w:szCs w:val="21"/>
                <w:shd w:val="clear"/>
                <w:lang w:eastAsia="zh-CN"/>
              </w:rPr>
              <w:t>工程技术研究中心建设的企业</w:t>
            </w:r>
            <w:r>
              <w:rPr>
                <w:rFonts w:hint="eastAsia" w:ascii="Times New Roman" w:hAnsi="Times New Roman" w:cs="Times New Roman"/>
                <w:color w:val="FF0000"/>
                <w:szCs w:val="21"/>
                <w:shd w:val="clear"/>
              </w:rPr>
              <w:t>1</w:t>
            </w:r>
            <w:r>
              <w:rPr>
                <w:rFonts w:ascii="Times New Roman" w:hAnsi="Times New Roman" w:cs="Times New Roman"/>
                <w:color w:val="FF0000"/>
                <w:szCs w:val="21"/>
                <w:shd w:val="clear"/>
              </w:rPr>
              <w:t>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597" w:type="dxa"/>
            <w:vMerge w:val="continue"/>
            <w:tcBorders>
              <w:top w:val="single" w:color="auto" w:sz="4" w:space="0"/>
              <w:left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10"/>
              <w:rPr>
                <w:rFonts w:ascii="黑体" w:hAnsi="黑体"/>
                <w:color w:val="000000" w:themeColor="text1"/>
                <w:sz w:val="24"/>
                <w:szCs w:val="24"/>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企业业绩案例（8分）</w:t>
            </w:r>
          </w:p>
          <w:p>
            <w:pPr>
              <w:pStyle w:val="10"/>
              <w:rPr>
                <w:rFonts w:ascii="黑体" w:hAnsi="黑体"/>
                <w:color w:val="000000" w:themeColor="text1"/>
                <w:sz w:val="24"/>
                <w:szCs w:val="24"/>
                <w14:textFill>
                  <w14:solidFill>
                    <w14:schemeClr w14:val="tx1"/>
                  </w14:solidFill>
                </w14:textFill>
              </w:rPr>
            </w:pP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FF0000"/>
                <w:szCs w:val="21"/>
                <w:shd w:val="clear"/>
              </w:rPr>
              <w:t>投标方或</w:t>
            </w:r>
            <w:r>
              <w:rPr>
                <w:rFonts w:hint="eastAsia" w:ascii="Times New Roman" w:hAnsi="Times New Roman" w:cs="Times New Roman"/>
                <w:color w:val="FF0000"/>
                <w:szCs w:val="21"/>
                <w:shd w:val="clear"/>
                <w:lang w:eastAsia="zh-CN"/>
              </w:rPr>
              <w:t>核心设备</w:t>
            </w:r>
            <w:r>
              <w:rPr>
                <w:rFonts w:hint="eastAsia" w:ascii="Times New Roman" w:hAnsi="Times New Roman" w:cs="Times New Roman"/>
                <w:color w:val="FF0000"/>
                <w:szCs w:val="21"/>
                <w:shd w:val="clear"/>
              </w:rPr>
              <w:t>/系统生产商提供2017年1月1日至今工业园区综合类</w:t>
            </w:r>
            <w:r>
              <w:rPr>
                <w:rFonts w:hint="eastAsia" w:ascii="Times New Roman" w:hAnsi="Times New Roman" w:cs="Times New Roman"/>
                <w:color w:val="FF0000"/>
                <w:szCs w:val="21"/>
                <w:shd w:val="clear"/>
                <w:lang w:eastAsia="zh-CN"/>
              </w:rPr>
              <w:t>（须包含安全、环保、能耗）</w:t>
            </w:r>
            <w:r>
              <w:rPr>
                <w:rFonts w:hint="eastAsia" w:ascii="Times New Roman" w:hAnsi="Times New Roman" w:cs="Times New Roman"/>
                <w:color w:val="FF0000"/>
                <w:szCs w:val="21"/>
                <w:shd w:val="clear"/>
              </w:rPr>
              <w:t>监测项目的非转包分包合同，每提供1个合同</w:t>
            </w:r>
            <w:r>
              <w:rPr>
                <w:rFonts w:hint="eastAsia" w:ascii="Times New Roman" w:hAnsi="Times New Roman" w:cs="Times New Roman"/>
                <w:color w:val="FF0000"/>
                <w:szCs w:val="21"/>
                <w:shd w:val="clear"/>
                <w:lang w:eastAsia="zh-CN"/>
              </w:rPr>
              <w:t>得</w:t>
            </w:r>
            <w:r>
              <w:rPr>
                <w:rFonts w:hint="eastAsia" w:ascii="Times New Roman" w:hAnsi="Times New Roman" w:cs="Times New Roman"/>
                <w:color w:val="FF0000"/>
                <w:szCs w:val="21"/>
                <w:shd w:val="clear"/>
                <w:lang w:val="en-US" w:eastAsia="zh-CN"/>
              </w:rPr>
              <w:t>1分，</w:t>
            </w:r>
            <w:r>
              <w:rPr>
                <w:rFonts w:hint="eastAsia" w:ascii="Times New Roman" w:hAnsi="Times New Roman" w:cs="Times New Roman"/>
                <w:color w:val="FF0000"/>
                <w:szCs w:val="21"/>
                <w:shd w:val="clear"/>
              </w:rPr>
              <w:t>提供完整合同复印件和对应的中标通知书复印件（或相关证明中标通知书的材料）加盖公章，材料不齐不得分；最多得8分。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企业研发能力</w:t>
            </w:r>
          </w:p>
          <w:p>
            <w:pPr>
              <w:pStyle w:val="10"/>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hint="eastAsia" w:ascii="Times New Roman" w:hAnsi="Times New Roman" w:cs="Times New Roman"/>
                <w:szCs w:val="21"/>
              </w:rPr>
              <w:t>投标方或</w:t>
            </w:r>
            <w:r>
              <w:rPr>
                <w:rFonts w:hint="eastAsia" w:ascii="Times New Roman" w:hAnsi="Times New Roman" w:cs="Times New Roman"/>
                <w:szCs w:val="21"/>
                <w:lang w:eastAsia="zh-CN"/>
              </w:rPr>
              <w:t>核心设备</w:t>
            </w:r>
            <w:r>
              <w:rPr>
                <w:rFonts w:hint="eastAsia" w:ascii="Times New Roman" w:hAnsi="Times New Roman" w:cs="Times New Roman"/>
                <w:szCs w:val="21"/>
              </w:rPr>
              <w:t>/系统生产商</w:t>
            </w:r>
            <w:r>
              <w:rPr>
                <w:rFonts w:ascii="Times New Roman" w:hAnsi="Times New Roman" w:cs="Times New Roman"/>
                <w:szCs w:val="21"/>
              </w:rPr>
              <w:t>具备较强的技术研发能力，得到国家行政管理相关部门认</w:t>
            </w:r>
            <w:r>
              <w:rPr>
                <w:rFonts w:hint="eastAsia" w:ascii="Times New Roman" w:hAnsi="Times New Roman" w:cs="Times New Roman"/>
                <w:szCs w:val="21"/>
                <w:lang w:eastAsia="zh-CN"/>
              </w:rPr>
              <w:t>证。</w:t>
            </w:r>
            <w:r>
              <w:rPr>
                <w:rFonts w:hint="eastAsia" w:ascii="Times New Roman" w:hAnsi="Times New Roman" w:cs="Times New Roman"/>
                <w:szCs w:val="21"/>
                <w:lang w:val="en-US" w:eastAsia="zh-CN"/>
              </w:rPr>
              <w:t>1.</w:t>
            </w:r>
            <w:r>
              <w:rPr>
                <w:rFonts w:hint="eastAsia" w:ascii="Times New Roman" w:hAnsi="Times New Roman" w:cs="Times New Roman"/>
                <w:szCs w:val="21"/>
              </w:rPr>
              <w:t>具有且提供</w:t>
            </w:r>
            <w:r>
              <w:rPr>
                <w:rFonts w:ascii="Times New Roman" w:hAnsi="Times New Roman" w:cs="Times New Roman"/>
                <w:szCs w:val="21"/>
              </w:rPr>
              <w:t>国家级企业技术中心的</w:t>
            </w:r>
            <w:r>
              <w:rPr>
                <w:rFonts w:hint="eastAsia" w:ascii="Times New Roman" w:hAnsi="Times New Roman" w:cs="Times New Roman"/>
                <w:szCs w:val="21"/>
                <w:lang w:eastAsia="zh-CN"/>
              </w:rPr>
              <w:t>认证证书</w:t>
            </w:r>
            <w:r>
              <w:rPr>
                <w:rFonts w:ascii="Times New Roman" w:hAnsi="Times New Roman" w:cs="Times New Roman"/>
                <w:szCs w:val="21"/>
              </w:rPr>
              <w:t>得</w:t>
            </w:r>
            <w:r>
              <w:rPr>
                <w:rFonts w:hint="eastAsia" w:ascii="Times New Roman" w:hAnsi="Times New Roman" w:cs="Times New Roman"/>
                <w:szCs w:val="21"/>
              </w:rPr>
              <w:t>2</w:t>
            </w:r>
            <w:r>
              <w:rPr>
                <w:rFonts w:ascii="Times New Roman" w:hAnsi="Times New Roman" w:cs="Times New Roman"/>
                <w:szCs w:val="21"/>
              </w:rPr>
              <w:t>分</w:t>
            </w:r>
            <w:r>
              <w:rPr>
                <w:rFonts w:hint="eastAsia" w:ascii="Times New Roman" w:hAnsi="Times New Roman" w:cs="Times New Roman"/>
                <w:szCs w:val="21"/>
                <w:lang w:val="en-US" w:eastAsia="zh-CN"/>
              </w:rPr>
              <w:t>2.</w:t>
            </w:r>
            <w:r>
              <w:rPr>
                <w:rFonts w:hint="eastAsia" w:ascii="Times New Roman" w:hAnsi="Times New Roman" w:cs="Times New Roman"/>
                <w:szCs w:val="21"/>
              </w:rPr>
              <w:t>具有且提供</w:t>
            </w:r>
            <w:r>
              <w:rPr>
                <w:rFonts w:ascii="Times New Roman" w:hAnsi="Times New Roman" w:cs="Times New Roman"/>
                <w:szCs w:val="21"/>
              </w:rPr>
              <w:t>省级企业技术中心</w:t>
            </w:r>
            <w:r>
              <w:rPr>
                <w:rFonts w:hint="eastAsia" w:ascii="Times New Roman" w:hAnsi="Times New Roman" w:cs="Times New Roman"/>
                <w:szCs w:val="21"/>
                <w:lang w:eastAsia="zh-CN"/>
              </w:rPr>
              <w:t>认证证书</w:t>
            </w:r>
            <w:r>
              <w:rPr>
                <w:rFonts w:ascii="Times New Roman" w:hAnsi="Times New Roman" w:cs="Times New Roman"/>
                <w:szCs w:val="21"/>
              </w:rPr>
              <w:t>的得</w:t>
            </w:r>
            <w:r>
              <w:rPr>
                <w:rFonts w:hint="eastAsia" w:ascii="Times New Roman" w:hAnsi="Times New Roman" w:cs="Times New Roman"/>
                <w:szCs w:val="21"/>
              </w:rPr>
              <w:t>1</w:t>
            </w:r>
            <w:r>
              <w:rPr>
                <w:rFonts w:ascii="Times New Roman" w:hAnsi="Times New Roman" w:cs="Times New Roman"/>
                <w:szCs w:val="21"/>
              </w:rPr>
              <w:t>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企业软件能力</w:t>
            </w:r>
          </w:p>
          <w:p>
            <w:pPr>
              <w:pStyle w:val="10"/>
              <w:rPr>
                <w:rFonts w:ascii="Times New Roman" w:hAnsi="Times New Roman" w:cs="Times New Roman"/>
                <w:szCs w:val="21"/>
              </w:rPr>
            </w:pPr>
            <w:r>
              <w:rPr>
                <w:rFonts w:ascii="Times New Roman" w:hAnsi="Times New Roman" w:cs="Times New Roman"/>
                <w:szCs w:val="21"/>
              </w:rPr>
              <w:t>（4分）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hint="eastAsia" w:ascii="Times New Roman" w:hAnsi="Times New Roman" w:cs="Times New Roman"/>
                <w:szCs w:val="21"/>
              </w:rPr>
              <w:t>投标方或</w:t>
            </w:r>
            <w:r>
              <w:rPr>
                <w:rFonts w:hint="eastAsia" w:ascii="Times New Roman" w:hAnsi="Times New Roman" w:cs="Times New Roman"/>
                <w:szCs w:val="21"/>
                <w:lang w:eastAsia="zh-CN"/>
              </w:rPr>
              <w:t>核心设备</w:t>
            </w:r>
            <w:r>
              <w:rPr>
                <w:rFonts w:hint="eastAsia" w:ascii="Times New Roman" w:hAnsi="Times New Roman" w:cs="Times New Roman"/>
                <w:szCs w:val="21"/>
              </w:rPr>
              <w:t>/系统生产商</w:t>
            </w:r>
            <w:r>
              <w:rPr>
                <w:rFonts w:ascii="Times New Roman" w:hAnsi="Times New Roman" w:cs="Times New Roman"/>
                <w:szCs w:val="21"/>
              </w:rPr>
              <w:t>具有较高的软件研发能力，完成软件过程及能力成熟度评估，</w:t>
            </w:r>
            <w:r>
              <w:rPr>
                <w:rFonts w:hint="eastAsia" w:ascii="Times New Roman" w:hAnsi="Times New Roman" w:cs="Times New Roman"/>
                <w:szCs w:val="21"/>
              </w:rPr>
              <w:t>投标方或</w:t>
            </w:r>
            <w:r>
              <w:rPr>
                <w:rFonts w:hint="eastAsia" w:ascii="Times New Roman" w:hAnsi="Times New Roman" w:cs="Times New Roman"/>
                <w:szCs w:val="21"/>
                <w:lang w:eastAsia="zh-CN"/>
              </w:rPr>
              <w:t>核心设备</w:t>
            </w:r>
            <w:r>
              <w:rPr>
                <w:rFonts w:hint="eastAsia" w:ascii="Times New Roman" w:hAnsi="Times New Roman" w:cs="Times New Roman"/>
                <w:szCs w:val="21"/>
              </w:rPr>
              <w:t>/系统生产商具有且提供：</w:t>
            </w:r>
            <w:r>
              <w:rPr>
                <w:rFonts w:ascii="Times New Roman" w:hAnsi="Times New Roman" w:cs="Times New Roman"/>
                <w:szCs w:val="21"/>
              </w:rPr>
              <w:t>CMMI5级证书得4分</w:t>
            </w:r>
            <w:r>
              <w:rPr>
                <w:rFonts w:hint="eastAsia" w:ascii="Times New Roman" w:hAnsi="Times New Roman" w:cs="Times New Roman"/>
                <w:szCs w:val="21"/>
              </w:rPr>
              <w:t>；</w:t>
            </w:r>
            <w:r>
              <w:rPr>
                <w:rFonts w:ascii="Times New Roman" w:hAnsi="Times New Roman" w:cs="Times New Roman"/>
                <w:szCs w:val="21"/>
              </w:rPr>
              <w:t>CMMI4级证书得2分</w:t>
            </w:r>
            <w:r>
              <w:rPr>
                <w:rFonts w:hint="eastAsia" w:ascii="Times New Roman" w:hAnsi="Times New Roman" w:cs="Times New Roman"/>
                <w:szCs w:val="21"/>
              </w:rPr>
              <w:t>；</w:t>
            </w:r>
            <w:r>
              <w:rPr>
                <w:rFonts w:ascii="Times New Roman" w:hAnsi="Times New Roman" w:cs="Times New Roman"/>
                <w:szCs w:val="21"/>
              </w:rPr>
              <w:t>CMMI3级证书得1分</w:t>
            </w:r>
            <w:r>
              <w:rPr>
                <w:rFonts w:hint="eastAsia" w:ascii="Times New Roman" w:hAnsi="Times New Roman" w:cs="Times New Roman"/>
                <w:szCs w:val="21"/>
              </w:rPr>
              <w:t>;</w:t>
            </w:r>
            <w:r>
              <w:rPr>
                <w:rFonts w:ascii="Times New Roman" w:hAnsi="Times New Roman" w:cs="Times New Roman"/>
                <w:szCs w:val="21"/>
              </w:rPr>
              <w:t>其他不得分</w:t>
            </w:r>
            <w:r>
              <w:rPr>
                <w:rFonts w:hint="eastAsia"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vAlign w:val="center"/>
          </w:tcPr>
          <w:p>
            <w:pPr>
              <w:rPr>
                <w:rFonts w:eastAsia="Arial"/>
                <w:kern w:val="0"/>
                <w:sz w:val="21"/>
                <w:szCs w:val="21"/>
              </w:rPr>
            </w:pPr>
            <w:r>
              <w:rPr>
                <w:rFonts w:hint="eastAsia" w:eastAsia="Arial"/>
                <w:kern w:val="0"/>
                <w:sz w:val="21"/>
                <w:szCs w:val="21"/>
              </w:rPr>
              <w:t>企业体系认证</w:t>
            </w:r>
          </w:p>
          <w:p>
            <w:pPr>
              <w:pStyle w:val="10"/>
              <w:rPr>
                <w:rFonts w:ascii="Times New Roman" w:hAnsi="Times New Roman" w:eastAsia="Arial" w:cs="Times New Roman"/>
                <w:szCs w:val="21"/>
              </w:rPr>
            </w:pPr>
            <w:r>
              <w:rPr>
                <w:rFonts w:hint="eastAsia" w:ascii="Times New Roman" w:hAnsi="Times New Roman" w:eastAsia="Arial" w:cs="Times New Roman"/>
                <w:szCs w:val="21"/>
              </w:rPr>
              <w:t>（</w:t>
            </w:r>
            <w:r>
              <w:rPr>
                <w:rFonts w:hint="eastAsia" w:ascii="Times New Roman" w:hAnsi="Times New Roman" w:cs="Times New Roman"/>
                <w:szCs w:val="21"/>
              </w:rPr>
              <w:t>3</w:t>
            </w:r>
            <w:r>
              <w:rPr>
                <w:rFonts w:hint="eastAsia" w:ascii="Times New Roman" w:hAnsi="Times New Roman" w:eastAsia="Arial" w:cs="Times New Roman"/>
                <w:szCs w:val="21"/>
              </w:rPr>
              <w:t>分）</w:t>
            </w:r>
          </w:p>
          <w:p>
            <w:pPr>
              <w:pStyle w:val="10"/>
              <w:rPr>
                <w:rFonts w:ascii="Times New Roman" w:hAnsi="Times New Roman" w:eastAsia="Arial" w:cs="Times New Roman"/>
                <w:szCs w:val="21"/>
              </w:rPr>
            </w:pP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hint="eastAsia" w:ascii="Times New Roman" w:hAnsi="Times New Roman" w:cs="Times New Roman"/>
                <w:szCs w:val="21"/>
              </w:rPr>
              <w:t>投标方或</w:t>
            </w:r>
            <w:r>
              <w:rPr>
                <w:rFonts w:hint="eastAsia" w:ascii="Times New Roman" w:hAnsi="Times New Roman" w:cs="Times New Roman"/>
                <w:szCs w:val="21"/>
                <w:lang w:eastAsia="zh-CN"/>
              </w:rPr>
              <w:t>核心设备</w:t>
            </w:r>
            <w:r>
              <w:rPr>
                <w:rFonts w:hint="eastAsia" w:ascii="Times New Roman" w:hAnsi="Times New Roman" w:cs="Times New Roman"/>
                <w:szCs w:val="21"/>
              </w:rPr>
              <w:t>/系统生产商具有且</w:t>
            </w:r>
            <w:r>
              <w:rPr>
                <w:rFonts w:hint="eastAsia" w:ascii="宋体" w:hAnsi="宋体"/>
                <w:szCs w:val="21"/>
              </w:rPr>
              <w:t>提供</w:t>
            </w:r>
            <w:r>
              <w:rPr>
                <w:rFonts w:hint="eastAsia" w:ascii="Times New Roman" w:hAnsi="Times New Roman" w:eastAsia="Arial" w:cs="Times New Roman"/>
                <w:szCs w:val="21"/>
              </w:rPr>
              <w:t>OHSAS18001职业健康安全管理体系认证证书、ISO9001质量管理体系认证证书、ISO27001信息安全管理体系认证证书、ISO10012测量管理体系认证证书、ISO20000信息技术服务管理体系认证证书、ISO14001环境管理体系认证证书</w:t>
            </w:r>
            <w:r>
              <w:rPr>
                <w:rFonts w:hint="eastAsia" w:ascii="等线" w:hAnsi="等线" w:eastAsia="等线"/>
                <w:szCs w:val="21"/>
              </w:rPr>
              <w:t>6</w:t>
            </w:r>
            <w:r>
              <w:rPr>
                <w:rFonts w:hint="eastAsia" w:ascii="宋体" w:hAnsi="宋体"/>
                <w:szCs w:val="21"/>
              </w:rPr>
              <w:t>项认证证书得3分</w:t>
            </w:r>
            <w:r>
              <w:rPr>
                <w:rFonts w:hint="eastAsia" w:ascii="Times New Roman" w:hAnsi="Times New Roman" w:eastAsia="Arial" w:cs="Times New Roman"/>
                <w:szCs w:val="21"/>
              </w:rPr>
              <w:t>。</w:t>
            </w:r>
            <w:r>
              <w:rPr>
                <w:rFonts w:hint="eastAsia" w:ascii="Times New Roman" w:hAnsi="Times New Roman" w:cs="Times New Roman"/>
                <w:szCs w:val="21"/>
              </w:rPr>
              <w:t>每少提供一项，扣1分，扣完为止。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restart"/>
            <w:tcBorders>
              <w:top w:val="single" w:color="auto" w:sz="4" w:space="0"/>
              <w:left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技术部分</w:t>
            </w:r>
          </w:p>
        </w:tc>
        <w:tc>
          <w:tcPr>
            <w:tcW w:w="1945" w:type="dxa"/>
            <w:tcBorders>
              <w:top w:val="single" w:color="auto" w:sz="4" w:space="0"/>
              <w:left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技术方案评价</w:t>
            </w:r>
            <w:r>
              <w:rPr>
                <w:rFonts w:ascii="Times New Roman" w:hAnsi="Times New Roman" w:cs="Times New Roman"/>
                <w:sz w:val="22"/>
              </w:rPr>
              <w:t>（1</w:t>
            </w:r>
            <w:r>
              <w:rPr>
                <w:rFonts w:hint="eastAsia" w:ascii="Times New Roman" w:hAnsi="Times New Roman" w:cs="Times New Roman"/>
                <w:sz w:val="22"/>
                <w:lang w:val="en-US" w:eastAsia="zh-CN"/>
              </w:rPr>
              <w:t>2</w:t>
            </w:r>
            <w:r>
              <w:rPr>
                <w:rFonts w:ascii="Times New Roman" w:hAnsi="Times New Roman" w:cs="Times New Roman"/>
                <w:sz w:val="22"/>
              </w:rPr>
              <w:t>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（1）总体设计合理性评价：投标人对业主现状及需求描述详实，建设思路清晰、可行性强，技术路线成熟可靠。（0～</w:t>
            </w:r>
            <w:r>
              <w:rPr>
                <w:rFonts w:hint="eastAsia" w:ascii="Times New Roman" w:hAnsi="Times New Roman" w:cs="Times New Roman"/>
                <w:szCs w:val="21"/>
                <w:lang w:val="en-US" w:eastAsia="zh-CN"/>
              </w:rPr>
              <w:t>6</w:t>
            </w:r>
            <w:r>
              <w:rPr>
                <w:rFonts w:ascii="Times New Roman" w:hAnsi="Times New Roman" w:cs="Times New Roman"/>
                <w:szCs w:val="21"/>
              </w:rPr>
              <w:t>分）</w:t>
            </w:r>
          </w:p>
          <w:p>
            <w:pPr>
              <w:pStyle w:val="10"/>
              <w:rPr>
                <w:rFonts w:ascii="Times New Roman" w:hAnsi="Times New Roman" w:cs="Times New Roman"/>
                <w:szCs w:val="21"/>
              </w:rPr>
            </w:pPr>
            <w:r>
              <w:rPr>
                <w:rFonts w:ascii="Times New Roman" w:hAnsi="Times New Roman" w:cs="Times New Roman"/>
                <w:szCs w:val="21"/>
              </w:rPr>
              <w:t>优：</w:t>
            </w:r>
            <w:r>
              <w:rPr>
                <w:rFonts w:hint="eastAsia" w:ascii="Times New Roman" w:hAnsi="Times New Roman" w:cs="Times New Roman"/>
                <w:szCs w:val="21"/>
              </w:rPr>
              <w:t>4~</w:t>
            </w:r>
            <w:r>
              <w:rPr>
                <w:rFonts w:hint="eastAsia" w:ascii="Times New Roman" w:hAnsi="Times New Roman" w:cs="Times New Roman"/>
                <w:szCs w:val="21"/>
                <w:lang w:val="en-US" w:eastAsia="zh-CN"/>
              </w:rPr>
              <w:t>6</w:t>
            </w:r>
            <w:r>
              <w:rPr>
                <w:rFonts w:ascii="Times New Roman" w:hAnsi="Times New Roman" w:cs="Times New Roman"/>
                <w:szCs w:val="21"/>
              </w:rPr>
              <w:t>分，良：2</w:t>
            </w:r>
            <w:r>
              <w:rPr>
                <w:rFonts w:hint="eastAsia" w:ascii="Times New Roman" w:hAnsi="Times New Roman" w:cs="Times New Roman"/>
                <w:szCs w:val="21"/>
              </w:rPr>
              <w:t>~</w:t>
            </w:r>
            <w:r>
              <w:rPr>
                <w:rFonts w:ascii="Times New Roman" w:hAnsi="Times New Roman" w:cs="Times New Roman"/>
                <w:szCs w:val="21"/>
              </w:rPr>
              <w:t>3分，一般：1分</w:t>
            </w:r>
            <w:r>
              <w:rPr>
                <w:rFonts w:hint="eastAsia" w:ascii="Times New Roman" w:hAnsi="Times New Roman" w:cs="Times New Roman"/>
                <w:szCs w:val="21"/>
              </w:rPr>
              <w:t xml:space="preserve"> </w:t>
            </w:r>
          </w:p>
          <w:p>
            <w:pPr>
              <w:pStyle w:val="10"/>
              <w:rPr>
                <w:rFonts w:ascii="Times New Roman" w:hAnsi="Times New Roman" w:cs="Times New Roman"/>
                <w:szCs w:val="21"/>
              </w:rPr>
            </w:pPr>
            <w:r>
              <w:rPr>
                <w:rFonts w:ascii="Times New Roman" w:hAnsi="Times New Roman" w:cs="Times New Roman"/>
                <w:szCs w:val="21"/>
              </w:rPr>
              <w:t>（2）业务架构合理性评价：</w:t>
            </w:r>
            <w:r>
              <w:rPr>
                <w:rFonts w:hint="eastAsia" w:ascii="Times New Roman" w:hAnsi="Times New Roman" w:cs="Times New Roman"/>
                <w:szCs w:val="21"/>
              </w:rPr>
              <w:t>投标人对</w:t>
            </w:r>
            <w:r>
              <w:rPr>
                <w:rFonts w:ascii="Times New Roman" w:hAnsi="Times New Roman" w:cs="Times New Roman"/>
                <w:szCs w:val="21"/>
              </w:rPr>
              <w:t>总体技术框架选择合理，并具备良好的扩展性，方案设计规划合理，建设内容详实。（0～</w:t>
            </w:r>
            <w:r>
              <w:rPr>
                <w:rFonts w:hint="eastAsia" w:ascii="Times New Roman" w:hAnsi="Times New Roman" w:cs="Times New Roman"/>
                <w:szCs w:val="21"/>
                <w:lang w:val="en-US" w:eastAsia="zh-CN"/>
              </w:rPr>
              <w:t>6</w:t>
            </w:r>
            <w:r>
              <w:rPr>
                <w:rFonts w:ascii="Times New Roman" w:hAnsi="Times New Roman" w:cs="Times New Roman"/>
                <w:szCs w:val="21"/>
              </w:rPr>
              <w:t>分）</w:t>
            </w:r>
          </w:p>
          <w:p>
            <w:pPr>
              <w:pStyle w:val="10"/>
              <w:rPr>
                <w:rFonts w:ascii="Times New Roman" w:hAnsi="Times New Roman" w:cs="Times New Roman"/>
                <w:szCs w:val="21"/>
              </w:rPr>
            </w:pPr>
            <w:r>
              <w:rPr>
                <w:rFonts w:ascii="Times New Roman" w:hAnsi="Times New Roman" w:cs="Times New Roman"/>
                <w:szCs w:val="21"/>
              </w:rPr>
              <w:t>优：</w:t>
            </w:r>
            <w:r>
              <w:rPr>
                <w:rFonts w:hint="eastAsia" w:ascii="Times New Roman" w:hAnsi="Times New Roman" w:cs="Times New Roman"/>
                <w:szCs w:val="21"/>
              </w:rPr>
              <w:t>4~</w:t>
            </w:r>
            <w:r>
              <w:rPr>
                <w:rFonts w:hint="eastAsia" w:ascii="Times New Roman" w:hAnsi="Times New Roman" w:cs="Times New Roman"/>
                <w:szCs w:val="21"/>
                <w:lang w:val="en-US" w:eastAsia="zh-CN"/>
              </w:rPr>
              <w:t>6</w:t>
            </w:r>
            <w:r>
              <w:rPr>
                <w:rFonts w:ascii="Times New Roman" w:hAnsi="Times New Roman" w:cs="Times New Roman"/>
                <w:szCs w:val="21"/>
              </w:rPr>
              <w:t>分，良：2</w:t>
            </w:r>
            <w:r>
              <w:rPr>
                <w:rFonts w:hint="eastAsia" w:ascii="Times New Roman" w:hAnsi="Times New Roman" w:cs="Times New Roman"/>
                <w:szCs w:val="21"/>
              </w:rPr>
              <w:t>~</w:t>
            </w:r>
            <w:r>
              <w:rPr>
                <w:rFonts w:ascii="Times New Roman" w:hAnsi="Times New Roman" w:cs="Times New Roman"/>
                <w:szCs w:val="21"/>
              </w:rPr>
              <w:t>3分，一般：1分，</w:t>
            </w:r>
            <w:r>
              <w:rPr>
                <w:rFonts w:hint="eastAsia" w:ascii="Times New Roman" w:hAnsi="Times New Roman"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top w:val="single" w:color="auto" w:sz="4" w:space="0"/>
              <w:left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软件自主知识产权（</w:t>
            </w:r>
            <w:r>
              <w:rPr>
                <w:rFonts w:hint="eastAsia" w:ascii="Times New Roman" w:hAnsi="Times New Roman" w:cs="Times New Roman"/>
                <w:szCs w:val="21"/>
              </w:rPr>
              <w:t>5</w:t>
            </w:r>
            <w:r>
              <w:rPr>
                <w:rFonts w:ascii="Times New Roman" w:hAnsi="Times New Roman" w:cs="Times New Roman"/>
                <w:szCs w:val="21"/>
              </w:rPr>
              <w:t>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hint="eastAsia" w:ascii="Times New Roman" w:hAnsi="Times New Roman" w:cs="Times New Roman"/>
                <w:szCs w:val="21"/>
              </w:rPr>
              <w:t>一、投标方或</w:t>
            </w:r>
            <w:r>
              <w:rPr>
                <w:rFonts w:hint="eastAsia" w:ascii="Times New Roman" w:hAnsi="Times New Roman" w:cs="Times New Roman"/>
                <w:szCs w:val="21"/>
                <w:lang w:eastAsia="zh-CN"/>
              </w:rPr>
              <w:t>核心设备</w:t>
            </w:r>
            <w:r>
              <w:rPr>
                <w:rFonts w:hint="eastAsia" w:ascii="Times New Roman" w:hAnsi="Times New Roman" w:cs="Times New Roman"/>
                <w:szCs w:val="21"/>
              </w:rPr>
              <w:t>/系统生产商具有且提供以下</w:t>
            </w:r>
            <w:r>
              <w:rPr>
                <w:rFonts w:ascii="Times New Roman" w:hAnsi="Times New Roman" w:cs="Times New Roman"/>
                <w:szCs w:val="21"/>
              </w:rPr>
              <w:t>软件著作权登记证书</w:t>
            </w:r>
            <w:r>
              <w:rPr>
                <w:rFonts w:hint="eastAsia" w:ascii="Times New Roman" w:hAnsi="Times New Roman" w:cs="Times New Roman"/>
                <w:szCs w:val="21"/>
              </w:rPr>
              <w:t>：</w:t>
            </w:r>
          </w:p>
          <w:p>
            <w:pPr>
              <w:pStyle w:val="10"/>
              <w:rPr>
                <w:rFonts w:hint="eastAsia" w:ascii="Times New Roman" w:hAnsi="Times New Roman" w:eastAsia="宋体" w:cs="Times New Roman"/>
                <w:color w:val="FF0000"/>
                <w:szCs w:val="21"/>
                <w:lang w:eastAsia="zh-CN"/>
              </w:rPr>
            </w:pPr>
            <w:r>
              <w:rPr>
                <w:rFonts w:hint="eastAsia" w:ascii="Times New Roman" w:hAnsi="Times New Roman" w:cs="Times New Roman"/>
                <w:szCs w:val="21"/>
              </w:rPr>
              <w:t>1、大气污染溯源</w:t>
            </w:r>
            <w:r>
              <w:rPr>
                <w:rFonts w:ascii="Times New Roman" w:hAnsi="Times New Roman" w:cs="Times New Roman"/>
                <w:szCs w:val="21"/>
              </w:rPr>
              <w:t>系统</w:t>
            </w:r>
            <w:r>
              <w:rPr>
                <w:rFonts w:hint="eastAsia" w:ascii="Times New Roman" w:hAnsi="Times New Roman" w:cs="Times New Roman"/>
                <w:szCs w:val="21"/>
              </w:rPr>
              <w:t>；2、分级预警管控</w:t>
            </w:r>
            <w:r>
              <w:rPr>
                <w:rFonts w:ascii="Times New Roman" w:hAnsi="Times New Roman" w:cs="Times New Roman"/>
                <w:szCs w:val="21"/>
              </w:rPr>
              <w:t>系统</w:t>
            </w:r>
            <w:r>
              <w:rPr>
                <w:rFonts w:hint="eastAsia" w:ascii="Times New Roman" w:hAnsi="Times New Roman" w:cs="Times New Roman"/>
                <w:szCs w:val="21"/>
              </w:rPr>
              <w:t>；3、</w:t>
            </w:r>
            <w:r>
              <w:rPr>
                <w:rFonts w:ascii="Times New Roman" w:hAnsi="Times New Roman" w:cs="Times New Roman"/>
                <w:szCs w:val="21"/>
              </w:rPr>
              <w:t>重大危险源在线监控及事故预警系统</w:t>
            </w:r>
            <w:r>
              <w:rPr>
                <w:rFonts w:hint="eastAsia" w:ascii="Times New Roman" w:hAnsi="Times New Roman" w:cs="Times New Roman"/>
                <w:szCs w:val="21"/>
              </w:rPr>
              <w:t>；4、</w:t>
            </w:r>
            <w:r>
              <w:rPr>
                <w:rFonts w:ascii="Times New Roman" w:hAnsi="Times New Roman" w:cs="Times New Roman"/>
                <w:szCs w:val="21"/>
              </w:rPr>
              <w:t>安全生产风险作业管理系统</w:t>
            </w:r>
            <w:r>
              <w:rPr>
                <w:rFonts w:hint="eastAsia" w:ascii="Times New Roman" w:hAnsi="Times New Roman" w:cs="Times New Roman"/>
                <w:szCs w:val="21"/>
              </w:rPr>
              <w:t>；5、</w:t>
            </w:r>
            <w:r>
              <w:rPr>
                <w:rFonts w:ascii="Times New Roman" w:hAnsi="Times New Roman" w:cs="Times New Roman"/>
                <w:szCs w:val="21"/>
              </w:rPr>
              <w:t>能源管理平台软件</w:t>
            </w:r>
            <w:r>
              <w:rPr>
                <w:rFonts w:hint="eastAsia" w:ascii="Times New Roman" w:hAnsi="Times New Roman" w:cs="Times New Roman"/>
                <w:szCs w:val="21"/>
              </w:rPr>
              <w:t>；6、</w:t>
            </w:r>
            <w:r>
              <w:rPr>
                <w:rFonts w:ascii="Times New Roman" w:hAnsi="Times New Roman" w:cs="Times New Roman"/>
                <w:szCs w:val="21"/>
              </w:rPr>
              <w:t>人机联控平台软件</w:t>
            </w:r>
            <w:r>
              <w:rPr>
                <w:rFonts w:hint="eastAsia" w:ascii="Times New Roman" w:hAnsi="Times New Roman" w:cs="Times New Roman"/>
                <w:szCs w:val="21"/>
              </w:rPr>
              <w:t>；7、车辆车载终端系统； 8、道路车辆监管平台软件； 9、经济运行监测平台软件； 10、能耗采集网关系统；</w:t>
            </w:r>
            <w:r>
              <w:rPr>
                <w:rFonts w:hint="eastAsia" w:ascii="Times New Roman" w:hAnsi="Times New Roman" w:cs="Times New Roman"/>
                <w:color w:val="FF0000"/>
                <w:szCs w:val="21"/>
                <w:lang w:eastAsia="zh-CN"/>
              </w:rPr>
              <w:t>（以上软件著作权登记证书要求投标人所提供的系统功能必须满足招标文件要求，但是具体名称不需要完全一致。）</w:t>
            </w:r>
          </w:p>
          <w:p>
            <w:pPr>
              <w:pStyle w:val="10"/>
              <w:rPr>
                <w:rFonts w:ascii="Times New Roman" w:hAnsi="Times New Roman" w:cs="Times New Roman"/>
                <w:szCs w:val="21"/>
              </w:rPr>
            </w:pPr>
            <w:r>
              <w:rPr>
                <w:rFonts w:hint="eastAsia" w:ascii="Times New Roman" w:hAnsi="Times New Roman" w:cs="Times New Roman"/>
                <w:szCs w:val="21"/>
              </w:rPr>
              <w:t>二、提供</w:t>
            </w:r>
            <w:r>
              <w:rPr>
                <w:rFonts w:ascii="Times New Roman" w:hAnsi="Times New Roman" w:cs="Times New Roman"/>
                <w:szCs w:val="21"/>
              </w:rPr>
              <w:t>大气污染溯源系统</w:t>
            </w:r>
            <w:r>
              <w:rPr>
                <w:rFonts w:hint="eastAsia" w:ascii="Times New Roman" w:hAnsi="Times New Roman" w:cs="Times New Roman"/>
                <w:szCs w:val="21"/>
              </w:rPr>
              <w:t>、</w:t>
            </w:r>
            <w:r>
              <w:rPr>
                <w:rFonts w:ascii="Times New Roman" w:hAnsi="Times New Roman" w:cs="Times New Roman"/>
                <w:szCs w:val="21"/>
              </w:rPr>
              <w:t>分级预警管控系统软件平台由第三方检测机构出具的检验检测报告</w:t>
            </w:r>
            <w:r>
              <w:rPr>
                <w:rFonts w:hint="eastAsia" w:ascii="Times New Roman" w:hAnsi="Times New Roman" w:cs="Times New Roman"/>
                <w:szCs w:val="21"/>
              </w:rPr>
              <w:t>（提供检验检测报告原件扫描件并加盖投标单位公章，提供出具此检验检测报告的第三方检测机构须具备</w:t>
            </w:r>
            <w:r>
              <w:rPr>
                <w:rFonts w:ascii="Times New Roman" w:hAnsi="Times New Roman" w:cs="Times New Roman"/>
                <w:szCs w:val="21"/>
              </w:rPr>
              <w:t>CNAS</w:t>
            </w:r>
            <w:r>
              <w:rPr>
                <w:rFonts w:hint="eastAsia" w:ascii="Times New Roman" w:hAnsi="Times New Roman" w:cs="Times New Roman"/>
                <w:szCs w:val="21"/>
              </w:rPr>
              <w:t>和</w:t>
            </w:r>
            <w:r>
              <w:rPr>
                <w:rFonts w:ascii="Times New Roman" w:hAnsi="Times New Roman" w:cs="Times New Roman"/>
                <w:szCs w:val="21"/>
              </w:rPr>
              <w:t>CMA</w:t>
            </w:r>
            <w:r>
              <w:rPr>
                <w:rFonts w:hint="eastAsia" w:ascii="Times New Roman" w:hAnsi="Times New Roman" w:cs="Times New Roman"/>
                <w:szCs w:val="21"/>
              </w:rPr>
              <w:t>资质，须提供第三方检测机构资质证书并加盖第三方检测机构公章的扫描件）</w:t>
            </w:r>
          </w:p>
          <w:p>
            <w:pPr>
              <w:pStyle w:val="10"/>
              <w:ind w:firstLine="420" w:firstLineChars="200"/>
              <w:rPr>
                <w:rFonts w:ascii="Times New Roman" w:hAnsi="Times New Roman" w:cs="Times New Roman"/>
                <w:szCs w:val="21"/>
              </w:rPr>
            </w:pPr>
            <w:r>
              <w:rPr>
                <w:rFonts w:hint="eastAsia" w:ascii="Times New Roman" w:hAnsi="Times New Roman" w:cs="Times New Roman"/>
                <w:szCs w:val="21"/>
              </w:rPr>
              <w:t>同时满足一和二的条件得5分，只满足其中任何一项时，得2分，无不得分。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right w:val="single" w:color="auto" w:sz="4" w:space="0"/>
            </w:tcBorders>
            <w:shd w:val="clear" w:color="auto" w:fill="auto"/>
            <w:vAlign w:val="center"/>
          </w:tcPr>
          <w:p>
            <w:pPr>
              <w:pStyle w:val="10"/>
              <w:ind w:left="210" w:hanging="210" w:hangingChars="100"/>
              <w:rPr>
                <w:rFonts w:ascii="Times New Roman" w:hAnsi="Times New Roman" w:cs="Times New Roman"/>
                <w:szCs w:val="21"/>
              </w:rPr>
            </w:pPr>
            <w:r>
              <w:rPr>
                <w:rFonts w:hint="eastAsia" w:ascii="Times New Roman" w:hAnsi="Times New Roman" w:cs="Times New Roman"/>
                <w:szCs w:val="21"/>
              </w:rPr>
              <w:t>技术参数</w:t>
            </w:r>
            <w:r>
              <w:rPr>
                <w:rFonts w:ascii="Times New Roman" w:hAnsi="Times New Roman" w:cs="Times New Roman"/>
                <w:szCs w:val="21"/>
              </w:rPr>
              <w:t>（</w:t>
            </w:r>
            <w:r>
              <w:rPr>
                <w:rFonts w:hint="eastAsia" w:ascii="Times New Roman" w:hAnsi="Times New Roman" w:cs="Times New Roman"/>
                <w:szCs w:val="21"/>
              </w:rPr>
              <w:t>15</w:t>
            </w:r>
            <w:r>
              <w:rPr>
                <w:rFonts w:ascii="Times New Roman" w:hAnsi="Times New Roman" w:cs="Times New Roman"/>
                <w:szCs w:val="21"/>
              </w:rPr>
              <w:t>分）</w:t>
            </w:r>
          </w:p>
        </w:tc>
        <w:tc>
          <w:tcPr>
            <w:tcW w:w="708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tabs>
                <w:tab w:val="left" w:pos="312"/>
              </w:tabs>
              <w:spacing w:line="276" w:lineRule="auto"/>
              <w:rPr>
                <w:rFonts w:hint="eastAsia" w:eastAsia="宋体"/>
                <w:color w:val="FF0000"/>
                <w:sz w:val="21"/>
                <w:szCs w:val="21"/>
                <w:lang w:val="en-US" w:eastAsia="zh-CN"/>
              </w:rPr>
            </w:pPr>
            <w:r>
              <w:rPr>
                <w:rFonts w:hint="eastAsia"/>
                <w:color w:val="FF0000"/>
                <w:sz w:val="21"/>
                <w:szCs w:val="21"/>
              </w:rPr>
              <w:t>1.</w:t>
            </w:r>
            <w:r>
              <w:rPr>
                <w:rFonts w:hint="eastAsia"/>
                <w:color w:val="FF0000"/>
                <w:sz w:val="21"/>
                <w:szCs w:val="21"/>
                <w:lang w:eastAsia="zh-CN"/>
              </w:rPr>
              <w:t>所有产品技术参数指标，完全满足招标文件要求的得基础分</w:t>
            </w:r>
            <w:r>
              <w:rPr>
                <w:rFonts w:hint="eastAsia"/>
                <w:color w:val="FF0000"/>
                <w:sz w:val="21"/>
                <w:szCs w:val="21"/>
                <w:lang w:val="en-US" w:eastAsia="zh-CN"/>
              </w:rPr>
              <w:t>10分。</w:t>
            </w:r>
          </w:p>
          <w:p>
            <w:pPr>
              <w:pStyle w:val="10"/>
              <w:shd w:val="clear"/>
              <w:rPr>
                <w:rFonts w:hint="eastAsia"/>
                <w:sz w:val="21"/>
                <w:szCs w:val="21"/>
                <w:lang w:val="en-US" w:eastAsia="zh-CN"/>
              </w:rPr>
            </w:pPr>
            <w:r>
              <w:rPr>
                <w:rFonts w:hint="eastAsia" w:hAnsi="宋体"/>
                <w:color w:val="FF0000"/>
                <w:szCs w:val="21"/>
              </w:rPr>
              <w:t>2.</w:t>
            </w:r>
            <w:r>
              <w:rPr>
                <w:rFonts w:hint="eastAsia"/>
                <w:color w:val="FF0000"/>
                <w:sz w:val="21"/>
                <w:szCs w:val="21"/>
                <w:lang w:eastAsia="zh-CN"/>
              </w:rPr>
              <w:t>所有产品技术参数指标每一项实质性优于，加</w:t>
            </w:r>
            <w:r>
              <w:rPr>
                <w:rFonts w:hint="eastAsia"/>
                <w:color w:val="FF0000"/>
                <w:sz w:val="21"/>
                <w:szCs w:val="21"/>
                <w:lang w:val="en-US" w:eastAsia="zh-CN"/>
              </w:rPr>
              <w:t>0.5分。并提供相应的佐证材料，否则不得分。最高加至15分。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ascii="Times New Roman" w:hAnsi="Times New Roman" w:cs="Times New Roman"/>
                <w:szCs w:val="21"/>
              </w:rPr>
              <w:t>系统演示综合评价</w:t>
            </w:r>
            <w:r>
              <w:rPr>
                <w:rFonts w:ascii="Times New Roman" w:hAnsi="Times New Roman" w:cs="Times New Roman"/>
                <w:sz w:val="22"/>
              </w:rPr>
              <w:t>（</w:t>
            </w:r>
            <w:r>
              <w:rPr>
                <w:rFonts w:hint="eastAsia" w:ascii="Times New Roman" w:hAnsi="Times New Roman" w:cs="Times New Roman"/>
                <w:sz w:val="22"/>
              </w:rPr>
              <w:t>10</w:t>
            </w:r>
            <w:r>
              <w:rPr>
                <w:rFonts w:ascii="Times New Roman" w:hAnsi="Times New Roman" w:cs="Times New Roman"/>
                <w:sz w:val="22"/>
              </w:rPr>
              <w:t>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宋体" w:hAnsi="宋体"/>
              </w:rPr>
            </w:pPr>
            <w:r>
              <w:rPr>
                <w:rFonts w:ascii="Times New Roman" w:hAnsi="Times New Roman" w:cs="Times New Roman"/>
                <w:szCs w:val="21"/>
              </w:rPr>
              <w:t>根据投标方</w:t>
            </w:r>
            <w:r>
              <w:rPr>
                <w:rFonts w:hint="eastAsia" w:ascii="宋体" w:hAnsi="宋体"/>
              </w:rPr>
              <w:t>对系统方案演示效果进行综合评审，全部演示完成并优秀得10分，每缺少一项扣对应的分数，扣完为止。系统演示每家限时20分钟，必须提供真实软件系统演示，静态网页、录像、PPT等演示总分得0-1分。</w:t>
            </w:r>
          </w:p>
          <w:p>
            <w:pPr>
              <w:pStyle w:val="10"/>
              <w:rPr>
                <w:rFonts w:ascii="宋体" w:hAnsi="宋体"/>
              </w:rPr>
            </w:pPr>
            <w:r>
              <w:rPr>
                <w:rFonts w:hint="eastAsia" w:ascii="宋体" w:hAnsi="宋体"/>
              </w:rPr>
              <w:t>1、按照系统招标要求演示环境污染溯源系统和能耗在线监测分析系统；</w:t>
            </w:r>
            <w:r>
              <w:rPr>
                <w:rFonts w:ascii="Times New Roman" w:hAnsi="Times New Roman" w:cs="Times New Roman"/>
                <w:szCs w:val="21"/>
              </w:rPr>
              <w:t>（0～</w:t>
            </w:r>
            <w:r>
              <w:rPr>
                <w:rFonts w:hint="eastAsia" w:ascii="Times New Roman" w:hAnsi="Times New Roman" w:cs="Times New Roman"/>
                <w:szCs w:val="21"/>
              </w:rPr>
              <w:t>2</w:t>
            </w:r>
            <w:r>
              <w:rPr>
                <w:rFonts w:ascii="Times New Roman" w:hAnsi="Times New Roman" w:cs="Times New Roman"/>
                <w:szCs w:val="21"/>
              </w:rPr>
              <w:t>分）</w:t>
            </w:r>
          </w:p>
          <w:p>
            <w:pPr>
              <w:pStyle w:val="10"/>
              <w:rPr>
                <w:rFonts w:ascii="宋体" w:hAnsi="宋体"/>
              </w:rPr>
            </w:pPr>
            <w:r>
              <w:rPr>
                <w:rFonts w:hint="eastAsia" w:ascii="宋体" w:hAnsi="宋体"/>
              </w:rPr>
              <w:t>优：2分，良：</w:t>
            </w:r>
            <w:r>
              <w:rPr>
                <w:rFonts w:hint="eastAsia" w:ascii="Times New Roman" w:hAnsi="Times New Roman" w:cs="Times New Roman"/>
                <w:szCs w:val="21"/>
              </w:rPr>
              <w:t>1</w:t>
            </w:r>
            <w:r>
              <w:rPr>
                <w:rFonts w:hint="eastAsia" w:ascii="宋体" w:hAnsi="宋体"/>
              </w:rPr>
              <w:t>分，差：</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w:t>
            </w:r>
          </w:p>
          <w:p>
            <w:pPr>
              <w:pStyle w:val="10"/>
              <w:rPr>
                <w:rFonts w:ascii="宋体" w:hAnsi="宋体"/>
              </w:rPr>
            </w:pPr>
            <w:r>
              <w:rPr>
                <w:rFonts w:hint="eastAsia" w:ascii="宋体" w:hAnsi="宋体"/>
              </w:rPr>
              <w:t>2、按照系统招标要求演示智慧园区核心技术人工智能平台系统：</w:t>
            </w:r>
          </w:p>
          <w:p>
            <w:pPr>
              <w:pStyle w:val="10"/>
              <w:rPr>
                <w:rFonts w:ascii="宋体" w:hAnsi="宋体"/>
              </w:rPr>
            </w:pPr>
            <w:r>
              <w:rPr>
                <w:rFonts w:hint="eastAsia" w:ascii="宋体" w:hAnsi="宋体"/>
              </w:rPr>
              <w:t>2.1实时监测。</w:t>
            </w:r>
            <w:r>
              <w:rPr>
                <w:rFonts w:ascii="Times New Roman" w:hAnsi="Times New Roman" w:cs="Times New Roman"/>
                <w:szCs w:val="21"/>
              </w:rPr>
              <w:t>（0～</w:t>
            </w:r>
            <w:r>
              <w:rPr>
                <w:rFonts w:hint="eastAsia" w:ascii="Times New Roman" w:hAnsi="Times New Roman" w:cs="Times New Roman"/>
                <w:szCs w:val="21"/>
              </w:rPr>
              <w:t>3</w:t>
            </w:r>
            <w:r>
              <w:rPr>
                <w:rFonts w:ascii="Times New Roman" w:hAnsi="Times New Roman" w:cs="Times New Roman"/>
                <w:szCs w:val="21"/>
              </w:rPr>
              <w:t>分）</w:t>
            </w:r>
          </w:p>
          <w:p>
            <w:pPr>
              <w:pStyle w:val="10"/>
              <w:rPr>
                <w:rFonts w:ascii="宋体" w:hAnsi="宋体"/>
              </w:rPr>
            </w:pPr>
            <w:r>
              <w:rPr>
                <w:rFonts w:hint="eastAsia" w:ascii="宋体" w:hAnsi="宋体"/>
              </w:rPr>
              <w:t>对站房内设备的监测数据和状态参数进行实时监测；对站房内人脸和姿态识别，对进入监测范围内的人进行实时人脸和人体姿态识别。</w:t>
            </w:r>
          </w:p>
          <w:p>
            <w:pPr>
              <w:pStyle w:val="10"/>
              <w:numPr>
                <w:ilvl w:val="0"/>
                <w:numId w:val="7"/>
              </w:numPr>
              <w:rPr>
                <w:rFonts w:ascii="宋体" w:hAnsi="宋体"/>
              </w:rPr>
            </w:pPr>
            <w:r>
              <w:rPr>
                <w:rFonts w:hint="eastAsia" w:ascii="宋体" w:hAnsi="宋体"/>
              </w:rPr>
              <w:t>能够实时显示监测数据和状态参数，优得1分；良得</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分；没有该功能得0分。</w:t>
            </w:r>
          </w:p>
          <w:p>
            <w:pPr>
              <w:pStyle w:val="10"/>
              <w:numPr>
                <w:ilvl w:val="0"/>
                <w:numId w:val="7"/>
              </w:numPr>
              <w:rPr>
                <w:rFonts w:ascii="宋体" w:hAnsi="宋体"/>
              </w:rPr>
            </w:pPr>
            <w:r>
              <w:rPr>
                <w:rFonts w:hint="eastAsia" w:ascii="宋体" w:hAnsi="宋体"/>
              </w:rPr>
              <w:t>判断是否为授权人员，需要显示人员详细信息，优得1分；良得</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分；没有该功能得0分。</w:t>
            </w:r>
          </w:p>
          <w:p>
            <w:pPr>
              <w:pStyle w:val="10"/>
              <w:numPr>
                <w:ilvl w:val="0"/>
                <w:numId w:val="7"/>
              </w:numPr>
              <w:rPr>
                <w:rFonts w:ascii="宋体" w:hAnsi="宋体"/>
              </w:rPr>
            </w:pPr>
            <w:r>
              <w:rPr>
                <w:rFonts w:hint="eastAsia" w:ascii="宋体" w:hAnsi="宋体"/>
              </w:rPr>
              <w:t>能够实时显示人体姿态信息，优得1分；良得</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分；没有该功能得0分。</w:t>
            </w:r>
          </w:p>
          <w:p>
            <w:pPr>
              <w:pStyle w:val="10"/>
              <w:rPr>
                <w:rFonts w:ascii="宋体" w:hAnsi="宋体"/>
              </w:rPr>
            </w:pPr>
            <w:r>
              <w:rPr>
                <w:rFonts w:hint="eastAsia" w:ascii="宋体" w:hAnsi="宋体"/>
              </w:rPr>
              <w:t>2.2日常维护流程智能监管，维护人员进行完整流程的维护动作，需要通过机器识别现场人员动作是否规范，判断是否存在漏做或不规范的操作。</w:t>
            </w:r>
            <w:r>
              <w:rPr>
                <w:rFonts w:ascii="Times New Roman" w:hAnsi="Times New Roman" w:cs="Times New Roman"/>
                <w:szCs w:val="21"/>
              </w:rPr>
              <w:t>（0～</w:t>
            </w:r>
            <w:r>
              <w:rPr>
                <w:rFonts w:hint="eastAsia" w:ascii="Times New Roman" w:hAnsi="Times New Roman" w:cs="Times New Roman"/>
                <w:szCs w:val="21"/>
              </w:rPr>
              <w:t>3</w:t>
            </w:r>
            <w:r>
              <w:rPr>
                <w:rFonts w:ascii="Times New Roman" w:hAnsi="Times New Roman" w:cs="Times New Roman"/>
                <w:szCs w:val="21"/>
              </w:rPr>
              <w:t>分）</w:t>
            </w:r>
          </w:p>
          <w:p>
            <w:pPr>
              <w:pStyle w:val="10"/>
              <w:numPr>
                <w:ilvl w:val="0"/>
                <w:numId w:val="7"/>
              </w:numPr>
              <w:rPr>
                <w:rFonts w:ascii="宋体" w:hAnsi="宋体"/>
              </w:rPr>
            </w:pPr>
            <w:r>
              <w:rPr>
                <w:rFonts w:hint="eastAsia" w:ascii="宋体" w:hAnsi="宋体"/>
              </w:rPr>
              <w:t>能够识别正常维护动作，优得1分；良得</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分；没有该功能得0分。</w:t>
            </w:r>
          </w:p>
          <w:p>
            <w:pPr>
              <w:pStyle w:val="10"/>
              <w:numPr>
                <w:ilvl w:val="0"/>
                <w:numId w:val="7"/>
              </w:numPr>
              <w:rPr>
                <w:rFonts w:ascii="宋体" w:hAnsi="宋体"/>
              </w:rPr>
            </w:pPr>
            <w:r>
              <w:rPr>
                <w:rFonts w:hint="eastAsia" w:ascii="宋体" w:hAnsi="宋体"/>
              </w:rPr>
              <w:t>能够识别到漏做运维工作，优得1分；良得</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分；没有该功能得0分。</w:t>
            </w:r>
          </w:p>
          <w:p>
            <w:pPr>
              <w:pStyle w:val="10"/>
              <w:numPr>
                <w:ilvl w:val="0"/>
                <w:numId w:val="7"/>
              </w:numPr>
              <w:rPr>
                <w:rFonts w:ascii="宋体" w:hAnsi="宋体"/>
              </w:rPr>
            </w:pPr>
            <w:r>
              <w:rPr>
                <w:rFonts w:hint="eastAsia" w:ascii="宋体" w:hAnsi="宋体"/>
              </w:rPr>
              <w:t>能够识别到不规范的运维操作，优得1分；良得</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分；没有该功能得0分。</w:t>
            </w:r>
          </w:p>
          <w:p>
            <w:pPr>
              <w:pStyle w:val="10"/>
              <w:rPr>
                <w:rFonts w:ascii="宋体" w:hAnsi="宋体"/>
              </w:rPr>
            </w:pPr>
            <w:r>
              <w:rPr>
                <w:rFonts w:hint="eastAsia" w:ascii="宋体" w:hAnsi="宋体"/>
              </w:rPr>
              <w:t>2.3现场溯源与告警。</w:t>
            </w:r>
            <w:r>
              <w:rPr>
                <w:rFonts w:ascii="Times New Roman" w:hAnsi="Times New Roman" w:cs="Times New Roman"/>
                <w:szCs w:val="21"/>
              </w:rPr>
              <w:t>（0～</w:t>
            </w:r>
            <w:r>
              <w:rPr>
                <w:rFonts w:hint="eastAsia" w:ascii="Times New Roman" w:hAnsi="Times New Roman" w:cs="Times New Roman"/>
                <w:szCs w:val="21"/>
              </w:rPr>
              <w:t>2</w:t>
            </w:r>
            <w:r>
              <w:rPr>
                <w:rFonts w:ascii="Times New Roman" w:hAnsi="Times New Roman" w:cs="Times New Roman"/>
                <w:szCs w:val="21"/>
              </w:rPr>
              <w:t>分）</w:t>
            </w:r>
          </w:p>
          <w:p>
            <w:pPr>
              <w:pStyle w:val="10"/>
              <w:numPr>
                <w:ilvl w:val="0"/>
                <w:numId w:val="7"/>
              </w:numPr>
              <w:rPr>
                <w:rFonts w:ascii="宋体" w:hAnsi="宋体"/>
              </w:rPr>
            </w:pPr>
            <w:r>
              <w:rPr>
                <w:rFonts w:hint="eastAsia" w:ascii="宋体" w:hAnsi="宋体"/>
              </w:rPr>
              <w:t>维护动作完成后需要保证可以观看回放录像并显示人体姿态，优得1分；良得</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分；没有该功能得0分。</w:t>
            </w:r>
          </w:p>
          <w:p>
            <w:pPr>
              <w:pStyle w:val="10"/>
              <w:numPr>
                <w:ilvl w:val="0"/>
                <w:numId w:val="7"/>
              </w:numPr>
              <w:rPr>
                <w:rFonts w:ascii="宋体" w:hAnsi="宋体"/>
              </w:rPr>
            </w:pPr>
            <w:r>
              <w:rPr>
                <w:rFonts w:hint="eastAsia" w:ascii="宋体" w:hAnsi="宋体"/>
              </w:rPr>
              <w:t>非授权人员闯入，需要产生告警信息，并录像，需要支持录像回看, 优得</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分；良得</w:t>
            </w:r>
            <w:r>
              <w:rPr>
                <w:rFonts w:hint="eastAsia" w:ascii="Times New Roman" w:hAnsi="Times New Roman" w:cs="Times New Roman"/>
                <w:szCs w:val="21"/>
              </w:rPr>
              <w:t>0</w:t>
            </w:r>
            <w:r>
              <w:rPr>
                <w:rFonts w:ascii="Times New Roman" w:hAnsi="Times New Roman" w:cs="Times New Roman"/>
                <w:szCs w:val="21"/>
              </w:rPr>
              <w:t>.</w:t>
            </w:r>
            <w:r>
              <w:rPr>
                <w:rFonts w:hint="eastAsia" w:ascii="Times New Roman" w:hAnsi="Times New Roman" w:cs="Times New Roman"/>
                <w:szCs w:val="21"/>
              </w:rPr>
              <w:t>3</w:t>
            </w:r>
            <w:r>
              <w:rPr>
                <w:rFonts w:hint="eastAsia" w:ascii="宋体" w:hAnsi="宋体"/>
              </w:rPr>
              <w:t>分；没有该功能得0分。</w:t>
            </w:r>
          </w:p>
          <w:p>
            <w:pPr>
              <w:pStyle w:val="10"/>
              <w:numPr>
                <w:ilvl w:val="0"/>
                <w:numId w:val="7"/>
              </w:numPr>
              <w:rPr>
                <w:rFonts w:ascii="宋体" w:hAnsi="宋体"/>
              </w:rPr>
            </w:pPr>
            <w:r>
              <w:rPr>
                <w:rFonts w:hint="eastAsia" w:ascii="宋体" w:hAnsi="宋体"/>
              </w:rPr>
              <w:t>当企业巡视人员触动监测设备，需要产生报警信息并录像回看, 优得</w:t>
            </w:r>
            <w:r>
              <w:rPr>
                <w:rFonts w:hint="eastAsia" w:ascii="Times New Roman" w:hAnsi="Times New Roman" w:cs="Times New Roman"/>
                <w:szCs w:val="21"/>
              </w:rPr>
              <w:t>0</w:t>
            </w:r>
            <w:r>
              <w:rPr>
                <w:rFonts w:ascii="Times New Roman" w:hAnsi="Times New Roman" w:cs="Times New Roman"/>
                <w:szCs w:val="21"/>
              </w:rPr>
              <w:t>.5</w:t>
            </w:r>
            <w:r>
              <w:rPr>
                <w:rFonts w:hint="eastAsia" w:ascii="宋体" w:hAnsi="宋体"/>
              </w:rPr>
              <w:t>分；良得</w:t>
            </w:r>
            <w:r>
              <w:rPr>
                <w:rFonts w:hint="eastAsia" w:ascii="Times New Roman" w:hAnsi="Times New Roman" w:cs="Times New Roman"/>
                <w:szCs w:val="21"/>
              </w:rPr>
              <w:t>0</w:t>
            </w:r>
            <w:r>
              <w:rPr>
                <w:rFonts w:ascii="Times New Roman" w:hAnsi="Times New Roman" w:cs="Times New Roman"/>
                <w:szCs w:val="21"/>
              </w:rPr>
              <w:t>.</w:t>
            </w:r>
            <w:r>
              <w:rPr>
                <w:rFonts w:hint="eastAsia" w:ascii="Times New Roman" w:hAnsi="Times New Roman" w:cs="Times New Roman"/>
                <w:szCs w:val="21"/>
              </w:rPr>
              <w:t>3</w:t>
            </w:r>
            <w:r>
              <w:rPr>
                <w:rFonts w:hint="eastAsia" w:ascii="宋体" w:hAnsi="宋体"/>
              </w:rPr>
              <w:t>分；没有该功能得0分。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hint="eastAsia" w:ascii="Times New Roman" w:hAnsi="Times New Roman" w:cs="Times New Roman"/>
                <w:szCs w:val="21"/>
              </w:rPr>
              <w:t>项目实施团队（5分）</w:t>
            </w: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hint="eastAsia" w:ascii="Times New Roman" w:hAnsi="Times New Roman" w:cs="Times New Roman"/>
                <w:szCs w:val="21"/>
              </w:rPr>
              <w:t>投标方或</w:t>
            </w:r>
            <w:r>
              <w:rPr>
                <w:rFonts w:hint="eastAsia" w:ascii="Times New Roman" w:hAnsi="Times New Roman" w:cs="Times New Roman"/>
                <w:szCs w:val="21"/>
                <w:lang w:eastAsia="zh-CN"/>
              </w:rPr>
              <w:t>核心设备</w:t>
            </w:r>
            <w:r>
              <w:rPr>
                <w:rFonts w:ascii="Times New Roman" w:hAnsi="Times New Roman" w:cs="Times New Roman"/>
                <w:szCs w:val="21"/>
              </w:rPr>
              <w:t>/</w:t>
            </w:r>
            <w:r>
              <w:rPr>
                <w:rFonts w:hint="eastAsia" w:ascii="Times New Roman" w:hAnsi="Times New Roman" w:cs="Times New Roman"/>
                <w:szCs w:val="21"/>
              </w:rPr>
              <w:t>系统生产商项目成员不少于8人，团队人员知识结构全面且团队人员满足以下人员配置：</w:t>
            </w:r>
          </w:p>
          <w:p>
            <w:pPr>
              <w:pStyle w:val="1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 xml:space="preserve"> </w:t>
            </w:r>
            <w:r>
              <w:rPr>
                <w:rFonts w:hint="eastAsia" w:ascii="Times New Roman" w:hAnsi="Times New Roman" w:cs="Times New Roman"/>
                <w:szCs w:val="21"/>
              </w:rPr>
              <w:t>项目团队负责人同时具备分析仪器高级职称和项目经理专业人员资格认证证书，得</w:t>
            </w:r>
            <w:r>
              <w:rPr>
                <w:rFonts w:ascii="Times New Roman" w:hAnsi="Times New Roman" w:cs="Times New Roman"/>
                <w:szCs w:val="21"/>
              </w:rPr>
              <w:t>2</w:t>
            </w:r>
            <w:r>
              <w:rPr>
                <w:rFonts w:hint="eastAsia" w:ascii="Times New Roman" w:hAnsi="Times New Roman" w:cs="Times New Roman"/>
                <w:szCs w:val="21"/>
              </w:rPr>
              <w:t>分，只具备其中之一得1分，无不得分；</w:t>
            </w:r>
          </w:p>
          <w:p>
            <w:pPr>
              <w:pStyle w:val="10"/>
              <w:rPr>
                <w:rFonts w:ascii="Times New Roman" w:hAnsi="Times New Roman" w:cs="Times New Roman"/>
                <w:szCs w:val="21"/>
              </w:rPr>
            </w:pPr>
            <w:r>
              <w:rPr>
                <w:rFonts w:hint="eastAsia" w:ascii="Times New Roman" w:hAnsi="Times New Roman" w:cs="Times New Roman"/>
                <w:szCs w:val="21"/>
              </w:rPr>
              <w:t>2、项目团队成员具有仪器仪表高级职称的，有</w:t>
            </w:r>
            <w:r>
              <w:rPr>
                <w:rFonts w:ascii="Times New Roman" w:hAnsi="Times New Roman" w:cs="Times New Roman"/>
                <w:szCs w:val="21"/>
              </w:rPr>
              <w:t>6</w:t>
            </w:r>
            <w:r>
              <w:rPr>
                <w:rFonts w:hint="eastAsia" w:ascii="Times New Roman" w:hAnsi="Times New Roman" w:cs="Times New Roman"/>
                <w:szCs w:val="21"/>
              </w:rPr>
              <w:t>个及以上人员证书得1分，5-4个得0.5分，</w:t>
            </w:r>
            <w:r>
              <w:rPr>
                <w:rFonts w:ascii="Times New Roman" w:hAnsi="Times New Roman" w:cs="Times New Roman"/>
                <w:szCs w:val="21"/>
              </w:rPr>
              <w:t>3</w:t>
            </w:r>
            <w:r>
              <w:rPr>
                <w:rFonts w:hint="eastAsia" w:ascii="Times New Roman" w:hAnsi="Times New Roman" w:cs="Times New Roman"/>
                <w:szCs w:val="21"/>
              </w:rPr>
              <w:t>个及以下不得分；</w:t>
            </w:r>
          </w:p>
          <w:p>
            <w:pPr>
              <w:pStyle w:val="10"/>
              <w:rPr>
                <w:rFonts w:ascii="Times New Roman" w:hAnsi="Times New Roman" w:cs="Times New Roman"/>
                <w:szCs w:val="21"/>
              </w:rPr>
            </w:pPr>
            <w:r>
              <w:rPr>
                <w:rFonts w:hint="eastAsia" w:ascii="Times New Roman" w:hAnsi="Times New Roman" w:cs="Times New Roman"/>
                <w:szCs w:val="21"/>
              </w:rPr>
              <w:t>3、项目团队成员同时具有劳动安全工程工程师和安全评价师贰级及以上证书的，得</w:t>
            </w:r>
            <w:r>
              <w:rPr>
                <w:rFonts w:ascii="Times New Roman" w:hAnsi="Times New Roman" w:cs="Times New Roman"/>
                <w:szCs w:val="21"/>
              </w:rPr>
              <w:t>2</w:t>
            </w:r>
            <w:r>
              <w:rPr>
                <w:rFonts w:hint="eastAsia" w:ascii="Times New Roman" w:hAnsi="Times New Roman" w:cs="Times New Roman"/>
                <w:szCs w:val="21"/>
              </w:rPr>
              <w:t>分；只具备其中之一得1分，无不得分。</w:t>
            </w:r>
          </w:p>
          <w:p>
            <w:pPr>
              <w:pStyle w:val="10"/>
              <w:rPr>
                <w:rFonts w:ascii="Times New Roman" w:hAnsi="Times New Roman" w:cs="Times New Roman"/>
                <w:szCs w:val="21"/>
              </w:rPr>
            </w:pPr>
            <w:r>
              <w:rPr>
                <w:rFonts w:hint="eastAsia"/>
                <w:szCs w:val="21"/>
              </w:rPr>
              <w:t>需项目团队人员名单、职称证书复印件、劳动合同复印件、及由相关部门所提供的公司缴纳的</w:t>
            </w:r>
            <w:r>
              <w:rPr>
                <w:szCs w:val="21"/>
              </w:rPr>
              <w:t>6</w:t>
            </w:r>
            <w:r>
              <w:rPr>
                <w:rFonts w:hint="eastAsia"/>
                <w:szCs w:val="21"/>
              </w:rPr>
              <w:t>个月以上的社保证明文件，</w:t>
            </w:r>
            <w:bookmarkStart w:id="1" w:name="_GoBack"/>
            <w:bookmarkEnd w:id="1"/>
            <w:r>
              <w:rPr>
                <w:rFonts w:hint="eastAsia"/>
                <w:szCs w:val="21"/>
              </w:rPr>
              <w:t>否则不予认定得分。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597" w:type="dxa"/>
            <w:vMerge w:val="continue"/>
            <w:tcBorders>
              <w:left w:val="single" w:color="auto" w:sz="4" w:space="0"/>
              <w:right w:val="single" w:color="auto" w:sz="4" w:space="0"/>
            </w:tcBorders>
            <w:vAlign w:val="center"/>
          </w:tcPr>
          <w:p>
            <w:pPr>
              <w:pStyle w:val="10"/>
              <w:rPr>
                <w:rFonts w:ascii="Times New Roman" w:hAnsi="Times New Roman" w:cs="Times New Roman"/>
                <w:szCs w:val="21"/>
              </w:rPr>
            </w:pPr>
          </w:p>
        </w:tc>
        <w:tc>
          <w:tcPr>
            <w:tcW w:w="1945"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hint="eastAsia" w:ascii="Times New Roman" w:hAnsi="Times New Roman" w:cs="Times New Roman"/>
                <w:szCs w:val="21"/>
              </w:rPr>
              <w:t>运维保障及服务（</w:t>
            </w:r>
            <w:r>
              <w:rPr>
                <w:rFonts w:hint="eastAsia" w:ascii="Times New Roman" w:hAnsi="Times New Roman" w:cs="Times New Roman"/>
                <w:szCs w:val="21"/>
                <w:lang w:val="en-US" w:eastAsia="zh-CN"/>
              </w:rPr>
              <w:t>3</w:t>
            </w:r>
            <w:r>
              <w:rPr>
                <w:rFonts w:hint="eastAsia" w:ascii="Times New Roman" w:hAnsi="Times New Roman" w:cs="Times New Roman"/>
                <w:szCs w:val="21"/>
              </w:rPr>
              <w:t>分）</w:t>
            </w:r>
          </w:p>
          <w:p>
            <w:pPr>
              <w:pStyle w:val="10"/>
              <w:rPr>
                <w:rFonts w:ascii="Times New Roman" w:hAnsi="Times New Roman" w:cs="Times New Roman"/>
                <w:szCs w:val="21"/>
              </w:rPr>
            </w:pPr>
          </w:p>
        </w:tc>
        <w:tc>
          <w:tcPr>
            <w:tcW w:w="7086" w:type="dxa"/>
            <w:tcBorders>
              <w:top w:val="single" w:color="auto" w:sz="4" w:space="0"/>
              <w:left w:val="single" w:color="auto" w:sz="4" w:space="0"/>
              <w:bottom w:val="single" w:color="auto" w:sz="4" w:space="0"/>
              <w:right w:val="single" w:color="auto" w:sz="4" w:space="0"/>
            </w:tcBorders>
            <w:vAlign w:val="center"/>
          </w:tcPr>
          <w:p>
            <w:pPr>
              <w:pStyle w:val="10"/>
              <w:rPr>
                <w:rFonts w:ascii="Times New Roman" w:hAnsi="Times New Roman" w:cs="Times New Roman"/>
                <w:szCs w:val="21"/>
              </w:rPr>
            </w:pPr>
            <w:r>
              <w:rPr>
                <w:rFonts w:hint="eastAsia" w:ascii="Times New Roman" w:hAnsi="Times New Roman" w:cs="Times New Roman"/>
                <w:color w:val="FF0000"/>
                <w:szCs w:val="21"/>
              </w:rPr>
              <w:t>投标方或</w:t>
            </w:r>
            <w:r>
              <w:rPr>
                <w:rFonts w:hint="eastAsia" w:ascii="Times New Roman" w:hAnsi="Times New Roman" w:cs="Times New Roman"/>
                <w:color w:val="FF0000"/>
                <w:szCs w:val="21"/>
                <w:lang w:eastAsia="zh-CN"/>
              </w:rPr>
              <w:t>核心设备</w:t>
            </w:r>
            <w:r>
              <w:rPr>
                <w:rFonts w:ascii="Times New Roman" w:hAnsi="Times New Roman" w:cs="Times New Roman"/>
                <w:color w:val="FF0000"/>
                <w:szCs w:val="21"/>
              </w:rPr>
              <w:t>/</w:t>
            </w:r>
            <w:r>
              <w:rPr>
                <w:rFonts w:hint="eastAsia" w:ascii="Times New Roman" w:hAnsi="Times New Roman" w:cs="Times New Roman"/>
                <w:color w:val="FF0000"/>
                <w:szCs w:val="21"/>
              </w:rPr>
              <w:t>系统生产商应具有完善的运维保障体系，同时</w:t>
            </w:r>
            <w:r>
              <w:rPr>
                <w:rFonts w:hint="eastAsia" w:ascii="Times New Roman" w:hAnsi="Times New Roman" w:cs="Times New Roman"/>
                <w:color w:val="FF0000"/>
                <w:szCs w:val="21"/>
                <w:lang w:eastAsia="zh-CN"/>
              </w:rPr>
              <w:t>提供</w:t>
            </w:r>
            <w:r>
              <w:rPr>
                <w:rFonts w:hint="eastAsia" w:ascii="Times New Roman" w:hAnsi="Times New Roman" w:cs="Times New Roman"/>
                <w:color w:val="FF0000"/>
                <w:szCs w:val="21"/>
              </w:rPr>
              <w:t>省级及以上环保认证部门颁发的自动监控</w:t>
            </w:r>
            <w:r>
              <w:rPr>
                <w:rFonts w:hint="eastAsia" w:ascii="Times New Roman" w:hAnsi="Times New Roman" w:cs="Times New Roman"/>
                <w:color w:val="FF0000"/>
                <w:szCs w:val="21"/>
                <w:lang w:eastAsia="zh-CN"/>
              </w:rPr>
              <w:t>系统</w:t>
            </w:r>
            <w:r>
              <w:rPr>
                <w:rFonts w:hint="eastAsia" w:ascii="Times New Roman" w:hAnsi="Times New Roman" w:cs="Times New Roman"/>
                <w:color w:val="FF0000"/>
                <w:szCs w:val="21"/>
              </w:rPr>
              <w:t>（气）</w:t>
            </w:r>
            <w:r>
              <w:rPr>
                <w:rFonts w:hint="eastAsia" w:ascii="Times New Roman" w:hAnsi="Times New Roman" w:cs="Times New Roman"/>
                <w:color w:val="FF0000"/>
                <w:szCs w:val="21"/>
                <w:lang w:eastAsia="zh-CN"/>
              </w:rPr>
              <w:t>运行</w:t>
            </w:r>
            <w:r>
              <w:rPr>
                <w:rFonts w:hint="eastAsia" w:ascii="Times New Roman" w:hAnsi="Times New Roman" w:cs="Times New Roman"/>
                <w:color w:val="FF0000"/>
                <w:szCs w:val="21"/>
              </w:rPr>
              <w:t>服务能力认证证书，</w:t>
            </w:r>
            <w:r>
              <w:rPr>
                <w:rFonts w:hint="eastAsia" w:ascii="Times New Roman" w:hAnsi="Times New Roman" w:cs="Times New Roman"/>
                <w:color w:val="FF0000"/>
                <w:szCs w:val="21"/>
                <w:lang w:eastAsia="zh-CN"/>
              </w:rPr>
              <w:t>一级证书</w:t>
            </w:r>
            <w:r>
              <w:rPr>
                <w:rFonts w:hint="eastAsia" w:ascii="Times New Roman" w:hAnsi="Times New Roman" w:cs="Times New Roman"/>
                <w:color w:val="FF0000"/>
                <w:szCs w:val="21"/>
              </w:rPr>
              <w:t>得</w:t>
            </w:r>
            <w:r>
              <w:rPr>
                <w:rFonts w:hint="eastAsia" w:ascii="Times New Roman" w:hAnsi="Times New Roman" w:cs="Times New Roman"/>
                <w:color w:val="FF0000"/>
                <w:szCs w:val="21"/>
                <w:lang w:val="en-US" w:eastAsia="zh-CN"/>
              </w:rPr>
              <w:t>3</w:t>
            </w:r>
            <w:r>
              <w:rPr>
                <w:rFonts w:hint="eastAsia" w:ascii="Times New Roman" w:hAnsi="Times New Roman" w:cs="Times New Roman"/>
                <w:color w:val="FF0000"/>
                <w:szCs w:val="21"/>
              </w:rPr>
              <w:t>分；</w:t>
            </w:r>
            <w:r>
              <w:rPr>
                <w:rFonts w:hint="eastAsia" w:ascii="Times New Roman" w:hAnsi="Times New Roman" w:cs="Times New Roman"/>
                <w:color w:val="FF0000"/>
                <w:szCs w:val="21"/>
                <w:lang w:eastAsia="zh-CN"/>
              </w:rPr>
              <w:t>二级证书得</w:t>
            </w:r>
            <w:r>
              <w:rPr>
                <w:rFonts w:hint="eastAsia" w:ascii="Times New Roman" w:hAnsi="Times New Roman" w:cs="Times New Roman"/>
                <w:color w:val="FF0000"/>
                <w:szCs w:val="21"/>
                <w:lang w:val="en-US" w:eastAsia="zh-CN"/>
              </w:rPr>
              <w:t>1分，其他不得分。</w:t>
            </w:r>
            <w:r>
              <w:rPr>
                <w:rFonts w:hint="eastAsia" w:ascii="Times New Roman" w:hAnsi="Times New Roman" w:cs="Times New Roman"/>
                <w:color w:val="FF0000"/>
                <w:szCs w:val="21"/>
              </w:rPr>
              <w:t>（提供证书复印件并加盖公章，未提供不得分）。</w:t>
            </w:r>
          </w:p>
        </w:tc>
      </w:tr>
    </w:tbl>
    <w:p>
      <w:pPr>
        <w:numPr>
          <w:ilvl w:val="0"/>
          <w:numId w:val="0"/>
        </w:numPr>
        <w:ind w:leftChars="0"/>
        <w:rPr>
          <w:rFonts w:hint="eastAsia"/>
          <w:sz w:val="32"/>
          <w:szCs w:val="32"/>
          <w:lang w:val="en-US" w:eastAsia="zh-CN"/>
        </w:rPr>
      </w:pPr>
    </w:p>
    <w:sectPr>
      <w:pgSz w:w="11906" w:h="16838"/>
      <w:pgMar w:top="737" w:right="1247" w:bottom="73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70AFF5"/>
    <w:multiLevelType w:val="singleLevel"/>
    <w:tmpl w:val="9470AFF5"/>
    <w:lvl w:ilvl="0" w:tentative="0">
      <w:start w:val="1"/>
      <w:numFmt w:val="chineseCounting"/>
      <w:suff w:val="nothing"/>
      <w:lvlText w:val="%1、"/>
      <w:lvlJc w:val="left"/>
      <w:rPr>
        <w:rFonts w:hint="eastAsia"/>
      </w:rPr>
    </w:lvl>
  </w:abstractNum>
  <w:abstractNum w:abstractNumId="1">
    <w:nsid w:val="DC13B264"/>
    <w:multiLevelType w:val="singleLevel"/>
    <w:tmpl w:val="DC13B264"/>
    <w:lvl w:ilvl="0" w:tentative="0">
      <w:start w:val="12"/>
      <w:numFmt w:val="chineseCounting"/>
      <w:suff w:val="nothing"/>
      <w:lvlText w:val="%1、"/>
      <w:lvlJc w:val="left"/>
      <w:rPr>
        <w:rFonts w:hint="eastAsia"/>
      </w:rPr>
    </w:lvl>
  </w:abstractNum>
  <w:abstractNum w:abstractNumId="2">
    <w:nsid w:val="31D91616"/>
    <w:multiLevelType w:val="multilevel"/>
    <w:tmpl w:val="31D91616"/>
    <w:lvl w:ilvl="0" w:tentative="0">
      <w:start w:val="1"/>
      <w:numFmt w:val="decimal"/>
      <w:lvlText w:val="%1、"/>
      <w:lvlJc w:val="left"/>
      <w:pPr>
        <w:ind w:left="1202" w:hanging="720"/>
      </w:pPr>
      <w:rPr>
        <w:rFonts w:hint="default"/>
        <w:sz w:val="28"/>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3">
    <w:nsid w:val="33173D35"/>
    <w:multiLevelType w:val="multilevel"/>
    <w:tmpl w:val="33173D35"/>
    <w:lvl w:ilvl="0" w:tentative="0">
      <w:start w:val="4"/>
      <w:numFmt w:val="chineseCounting"/>
      <w:suff w:val="nothing"/>
      <w:lvlText w:val="第%1章 "/>
      <w:lvlJc w:val="left"/>
      <w:pPr>
        <w:tabs>
          <w:tab w:val="left" w:pos="420"/>
        </w:tabs>
        <w:ind w:left="425" w:hanging="425"/>
      </w:pPr>
      <w:rPr>
        <w:rFonts w:hint="eastAsia" w:ascii="宋体" w:hAnsi="宋体" w:eastAsia="宋体"/>
      </w:rPr>
    </w:lvl>
    <w:lvl w:ilvl="1" w:tentative="0">
      <w:start w:val="1"/>
      <w:numFmt w:val="decimal"/>
      <w:pStyle w:val="2"/>
      <w:isLgl/>
      <w:lvlText w:val="%1.%2."/>
      <w:lvlJc w:val="left"/>
      <w:pPr>
        <w:tabs>
          <w:tab w:val="left" w:pos="420"/>
        </w:tabs>
        <w:ind w:left="567" w:hanging="567"/>
      </w:pPr>
      <w:rPr>
        <w:rFonts w:hint="eastAsia" w:ascii="宋体" w:hAnsi="宋体" w:eastAsia="宋体"/>
      </w:rPr>
    </w:lvl>
    <w:lvl w:ilvl="2" w:tentative="0">
      <w:start w:val="1"/>
      <w:numFmt w:val="decimal"/>
      <w:pStyle w:val="3"/>
      <w:isLgl/>
      <w:lvlText w:val="%1.%2.%3."/>
      <w:lvlJc w:val="left"/>
      <w:pPr>
        <w:ind w:left="709" w:hanging="709"/>
      </w:pPr>
      <w:rPr>
        <w:rFonts w:hint="eastAsia" w:ascii="宋体" w:hAnsi="宋体" w:eastAsia="宋体"/>
      </w:rPr>
    </w:lvl>
    <w:lvl w:ilvl="3" w:tentative="0">
      <w:start w:val="1"/>
      <w:numFmt w:val="decimal"/>
      <w:pStyle w:val="4"/>
      <w:isLgl/>
      <w:lvlText w:val="%1.%2.%3.%4."/>
      <w:lvlJc w:val="left"/>
      <w:pPr>
        <w:ind w:left="850" w:hanging="850"/>
      </w:pPr>
      <w:rPr>
        <w:rFonts w:hint="eastAsia" w:ascii="宋体" w:hAnsi="宋体" w:eastAsia="宋体"/>
      </w:rPr>
    </w:lvl>
    <w:lvl w:ilvl="4" w:tentative="0">
      <w:start w:val="1"/>
      <w:numFmt w:val="decimal"/>
      <w:pStyle w:val="5"/>
      <w:isLgl/>
      <w:lvlText w:val="%1.%2.%3.%4.%5."/>
      <w:lvlJc w:val="left"/>
      <w:pPr>
        <w:ind w:left="991" w:hanging="991"/>
      </w:pPr>
      <w:rPr>
        <w:rFonts w:hint="eastAsia" w:ascii="宋体" w:hAnsi="宋体" w:eastAsia="宋体"/>
      </w:rPr>
    </w:lvl>
    <w:lvl w:ilvl="5" w:tentative="0">
      <w:start w:val="1"/>
      <w:numFmt w:val="decimal"/>
      <w:pStyle w:val="6"/>
      <w:isLgl/>
      <w:lvlText w:val="%1.%2.%3.%4.%5.%6."/>
      <w:lvlJc w:val="left"/>
      <w:pPr>
        <w:ind w:left="1276" w:hanging="1134"/>
      </w:pPr>
      <w:rPr>
        <w:rFonts w:hint="eastAsia" w:ascii="宋体" w:hAnsi="宋体" w:eastAsia="宋体"/>
      </w:rPr>
    </w:lvl>
    <w:lvl w:ilvl="6" w:tentative="0">
      <w:start w:val="1"/>
      <w:numFmt w:val="decimal"/>
      <w:isLgl/>
      <w:lvlText w:val="%1.%2.%3.%4.%5.%6.%7."/>
      <w:lvlJc w:val="left"/>
      <w:pPr>
        <w:ind w:left="1275" w:hanging="1275"/>
      </w:pPr>
      <w:rPr>
        <w:rFonts w:hint="eastAsia" w:ascii="宋体" w:hAnsi="宋体" w:eastAsia="宋体"/>
      </w:rPr>
    </w:lvl>
    <w:lvl w:ilvl="7" w:tentative="0">
      <w:start w:val="1"/>
      <w:numFmt w:val="decimal"/>
      <w:isLgl/>
      <w:lvlText w:val="%1.%2.%3.%4.%5.%6.%7.%8."/>
      <w:lvlJc w:val="left"/>
      <w:pPr>
        <w:ind w:left="1418" w:hanging="1418"/>
      </w:pPr>
      <w:rPr>
        <w:rFonts w:hint="eastAsia" w:ascii="宋体" w:hAnsi="宋体" w:eastAsia="宋体"/>
      </w:rPr>
    </w:lvl>
    <w:lvl w:ilvl="8" w:tentative="0">
      <w:start w:val="1"/>
      <w:numFmt w:val="decimal"/>
      <w:isLgl/>
      <w:lvlText w:val="%1.%2.%3.%4.%5.%6.%7.%8.%9."/>
      <w:lvlJc w:val="left"/>
      <w:pPr>
        <w:ind w:left="1558" w:hanging="1558"/>
      </w:pPr>
      <w:rPr>
        <w:rFonts w:hint="eastAsia" w:ascii="宋体" w:hAnsi="宋体" w:eastAsia="宋体"/>
      </w:rPr>
    </w:lvl>
  </w:abstractNum>
  <w:abstractNum w:abstractNumId="4">
    <w:nsid w:val="4337552E"/>
    <w:multiLevelType w:val="singleLevel"/>
    <w:tmpl w:val="4337552E"/>
    <w:lvl w:ilvl="0" w:tentative="0">
      <w:start w:val="1"/>
      <w:numFmt w:val="lowerLetter"/>
      <w:lvlText w:val="%1."/>
      <w:lvlJc w:val="left"/>
      <w:pPr>
        <w:ind w:left="425" w:hanging="425"/>
      </w:pPr>
      <w:rPr>
        <w:rFonts w:hint="default"/>
      </w:rPr>
    </w:lvl>
  </w:abstractNum>
  <w:abstractNum w:abstractNumId="5">
    <w:nsid w:val="73BA3B51"/>
    <w:multiLevelType w:val="singleLevel"/>
    <w:tmpl w:val="73BA3B51"/>
    <w:lvl w:ilvl="0" w:tentative="0">
      <w:start w:val="1"/>
      <w:numFmt w:val="decimal"/>
      <w:lvlText w:val="%1."/>
      <w:lvlJc w:val="left"/>
      <w:pPr>
        <w:tabs>
          <w:tab w:val="left" w:pos="312"/>
        </w:tabs>
      </w:pPr>
    </w:lvl>
  </w:abstractNum>
  <w:abstractNum w:abstractNumId="6">
    <w:nsid w:val="7555DB22"/>
    <w:multiLevelType w:val="singleLevel"/>
    <w:tmpl w:val="7555DB22"/>
    <w:lvl w:ilvl="0" w:tentative="0">
      <w:start w:val="9"/>
      <w:numFmt w:val="chineseCounting"/>
      <w:suff w:val="nothing"/>
      <w:lvlText w:val="%1、"/>
      <w:lvlJc w:val="left"/>
      <w:rPr>
        <w:rFonts w:hint="eastAsia"/>
      </w:r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07707"/>
    <w:rsid w:val="071D3DF8"/>
    <w:rsid w:val="0F0E3F13"/>
    <w:rsid w:val="14007707"/>
    <w:rsid w:val="28700941"/>
    <w:rsid w:val="2A5E2687"/>
    <w:rsid w:val="476144EB"/>
    <w:rsid w:val="49ED0C60"/>
    <w:rsid w:val="4C1E1EEC"/>
    <w:rsid w:val="7E662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9"/>
    <w:pPr>
      <w:keepNext/>
      <w:keepLines/>
      <w:numPr>
        <w:ilvl w:val="1"/>
        <w:numId w:val="1"/>
      </w:numPr>
      <w:spacing w:line="412" w:lineRule="auto"/>
      <w:outlineLvl w:val="1"/>
    </w:pPr>
    <w:rPr>
      <w:rFonts w:ascii="黑体" w:hAnsi="黑体" w:eastAsia="黑体"/>
      <w:b/>
      <w:sz w:val="32"/>
    </w:rPr>
  </w:style>
  <w:style w:type="paragraph" w:styleId="3">
    <w:name w:val="heading 3"/>
    <w:basedOn w:val="1"/>
    <w:next w:val="1"/>
    <w:qFormat/>
    <w:uiPriority w:val="99"/>
    <w:pPr>
      <w:keepNext/>
      <w:keepLines/>
      <w:numPr>
        <w:ilvl w:val="2"/>
        <w:numId w:val="1"/>
      </w:numPr>
      <w:spacing w:before="160" w:after="160"/>
      <w:jc w:val="left"/>
      <w:outlineLvl w:val="2"/>
    </w:pPr>
    <w:rPr>
      <w:rFonts w:ascii="宋体" w:hAnsi="宋体"/>
      <w:b/>
      <w:bCs/>
      <w:sz w:val="32"/>
      <w:szCs w:val="30"/>
    </w:rPr>
  </w:style>
  <w:style w:type="paragraph" w:styleId="4">
    <w:name w:val="heading 4"/>
    <w:basedOn w:val="1"/>
    <w:next w:val="1"/>
    <w:qFormat/>
    <w:uiPriority w:val="99"/>
    <w:pPr>
      <w:keepNext/>
      <w:keepLines/>
      <w:numPr>
        <w:ilvl w:val="3"/>
        <w:numId w:val="1"/>
      </w:numPr>
      <w:tabs>
        <w:tab w:val="left" w:pos="420"/>
      </w:tabs>
      <w:spacing w:before="200" w:after="200"/>
      <w:outlineLvl w:val="3"/>
    </w:pPr>
    <w:rPr>
      <w:rFonts w:ascii="宋体" w:hAnsi="宋体"/>
      <w:b/>
      <w:bCs/>
      <w:szCs w:val="28"/>
    </w:rPr>
  </w:style>
  <w:style w:type="paragraph" w:styleId="5">
    <w:name w:val="heading 5"/>
    <w:basedOn w:val="4"/>
    <w:next w:val="1"/>
    <w:qFormat/>
    <w:uiPriority w:val="99"/>
    <w:pPr>
      <w:numPr>
        <w:ilvl w:val="4"/>
      </w:numPr>
      <w:tabs>
        <w:tab w:val="left" w:pos="1008"/>
        <w:tab w:val="left" w:pos="1674"/>
        <w:tab w:val="left" w:pos="2649"/>
        <w:tab w:val="clear" w:pos="420"/>
      </w:tabs>
      <w:suppressAutoHyphens/>
      <w:spacing w:before="280" w:after="290" w:line="372" w:lineRule="auto"/>
      <w:outlineLvl w:val="4"/>
    </w:pPr>
    <w:rPr>
      <w:kern w:val="21"/>
      <w:lang w:eastAsia="ar-SA"/>
    </w:rPr>
  </w:style>
  <w:style w:type="paragraph" w:styleId="6">
    <w:name w:val="heading 6"/>
    <w:basedOn w:val="5"/>
    <w:next w:val="1"/>
    <w:qFormat/>
    <w:uiPriority w:val="99"/>
    <w:pPr>
      <w:numPr>
        <w:ilvl w:val="5"/>
      </w:numPr>
      <w:tabs>
        <w:tab w:val="left" w:pos="1152"/>
        <w:tab w:val="clear" w:pos="1008"/>
        <w:tab w:val="clear" w:pos="2649"/>
      </w:tabs>
      <w:spacing w:before="240" w:after="64" w:line="317" w:lineRule="auto"/>
      <w:outlineLvl w:val="5"/>
    </w:pPr>
    <w:rPr>
      <w:rFonts w:ascii="Arial" w:hAnsi="Arial"/>
      <w:sz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10">
    <w:name w:val="表"/>
    <w:basedOn w:val="1"/>
    <w:qFormat/>
    <w:uiPriority w:val="0"/>
    <w:pPr>
      <w:adjustRightInd w:val="0"/>
      <w:snapToGrid w:val="0"/>
      <w:spacing w:line="312" w:lineRule="auto"/>
    </w:pPr>
    <w:rPr>
      <w:rFonts w:ascii="Calibri" w:hAnsi="Calibri" w:cs="宋体"/>
      <w:kern w:val="0"/>
      <w:sz w:val="21"/>
      <w:szCs w:val="22"/>
    </w:rPr>
  </w:style>
  <w:style w:type="paragraph" w:styleId="11">
    <w:name w:val="List Paragraph"/>
    <w:basedOn w:val="1"/>
    <w:qFormat/>
    <w:uiPriority w:val="34"/>
    <w:pPr>
      <w:ind w:firstLine="420" w:firstLineChars="200"/>
    </w:pPr>
  </w:style>
  <w:style w:type="paragraph" w:customStyle="1" w:styleId="12">
    <w:name w:val="表格"/>
    <w:basedOn w:val="1"/>
    <w:qFormat/>
    <w:uiPriority w:val="0"/>
    <w:rPr>
      <w:sz w:val="21"/>
      <w:szCs w:val="21"/>
    </w:rPr>
  </w:style>
  <w:style w:type="character" w:customStyle="1" w:styleId="13">
    <w:name w:val="15"/>
    <w:basedOn w:val="9"/>
    <w:qFormat/>
    <w:uiPriority w:val="0"/>
    <w:rPr>
      <w:rFonts w:hint="eastAsia" w:ascii="宋体" w:hAnsi="宋体" w:eastAsia="宋体"/>
      <w:color w:val="00000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2020-04-13T16:38:00Z</dcterms:created>
  <dc:creator>hj</dc:creator>
  <cp:lastModifiedBy>lenovo4</cp:lastModifiedBy>
  <dcterms:modified xsi:type="dcterms:W3CDTF">2020-04-14T08:52:22Z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