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仿宋"/>
          <w:b/>
          <w:bCs/>
          <w:sz w:val="30"/>
          <w:szCs w:val="30"/>
        </w:rPr>
      </w:pPr>
    </w:p>
    <w:p>
      <w:pPr>
        <w:spacing w:line="560" w:lineRule="exact"/>
        <w:jc w:val="center"/>
        <w:rPr>
          <w:rFonts w:ascii="仿宋" w:hAnsi="仿宋" w:eastAsia="仿宋" w:cs="仿宋"/>
          <w:b/>
          <w:bCs/>
          <w:sz w:val="30"/>
          <w:szCs w:val="30"/>
        </w:rPr>
      </w:pPr>
    </w:p>
    <w:p>
      <w:pPr>
        <w:spacing w:line="560" w:lineRule="exact"/>
        <w:jc w:val="center"/>
        <w:rPr>
          <w:rFonts w:ascii="仿宋" w:hAnsi="仿宋" w:eastAsia="仿宋" w:cs="仿宋"/>
          <w:b/>
          <w:bCs/>
          <w:sz w:val="30"/>
          <w:szCs w:val="30"/>
        </w:rPr>
      </w:pPr>
    </w:p>
    <w:p>
      <w:pPr>
        <w:spacing w:line="360" w:lineRule="auto"/>
        <w:jc w:val="center"/>
        <w:rPr>
          <w:rFonts w:ascii="仿宋" w:hAnsi="仿宋" w:eastAsia="仿宋" w:cs="仿宋"/>
          <w:b/>
          <w:bCs/>
          <w:sz w:val="52"/>
          <w:szCs w:val="52"/>
        </w:rPr>
      </w:pPr>
      <w:r>
        <w:rPr>
          <w:rFonts w:hint="eastAsia" w:ascii="仿宋" w:hAnsi="仿宋" w:eastAsia="仿宋" w:cs="仿宋"/>
          <w:b/>
          <w:bCs/>
          <w:sz w:val="52"/>
          <w:szCs w:val="52"/>
        </w:rPr>
        <w:t>鄂尔多斯市</w:t>
      </w:r>
      <w:r>
        <w:rPr>
          <w:rFonts w:hint="eastAsia" w:ascii="仿宋" w:hAnsi="仿宋" w:eastAsia="仿宋" w:cs="仿宋"/>
          <w:b/>
          <w:bCs/>
          <w:sz w:val="52"/>
          <w:szCs w:val="52"/>
          <w:lang w:val="en-US" w:eastAsia="zh-CN"/>
        </w:rPr>
        <w:t>189</w:t>
      </w:r>
      <w:r>
        <w:rPr>
          <w:rFonts w:hint="eastAsia" w:ascii="仿宋" w:hAnsi="仿宋" w:eastAsia="仿宋" w:cs="仿宋"/>
          <w:b/>
          <w:bCs/>
          <w:sz w:val="52"/>
          <w:szCs w:val="52"/>
        </w:rPr>
        <w:t>号边角资源</w:t>
      </w:r>
    </w:p>
    <w:p>
      <w:pPr>
        <w:spacing w:line="360" w:lineRule="auto"/>
        <w:jc w:val="center"/>
        <w:rPr>
          <w:rFonts w:ascii="仿宋" w:hAnsi="仿宋" w:eastAsia="仿宋" w:cs="仿宋"/>
          <w:sz w:val="52"/>
          <w:szCs w:val="52"/>
        </w:rPr>
      </w:pPr>
      <w:r>
        <w:rPr>
          <w:rFonts w:hint="eastAsia" w:ascii="仿宋" w:hAnsi="仿宋" w:eastAsia="仿宋" w:cs="仿宋"/>
          <w:b/>
          <w:bCs/>
          <w:sz w:val="52"/>
          <w:szCs w:val="52"/>
        </w:rPr>
        <w:t>区块简介</w:t>
      </w:r>
    </w:p>
    <w:p>
      <w:pPr>
        <w:spacing w:line="360" w:lineRule="auto"/>
        <w:jc w:val="left"/>
        <w:rPr>
          <w:rFonts w:ascii="仿宋" w:hAnsi="仿宋" w:eastAsia="仿宋" w:cs="仿宋"/>
          <w:sz w:val="30"/>
          <w:szCs w:val="30"/>
        </w:rPr>
      </w:pPr>
      <w:r>
        <w:rPr>
          <w:rFonts w:ascii="仿宋" w:hAnsi="仿宋" w:eastAsia="仿宋" w:cs="仿宋"/>
          <w:sz w:val="30"/>
          <w:szCs w:val="30"/>
        </w:rPr>
        <w:t xml:space="preserve">         </w:t>
      </w:r>
    </w:p>
    <w:p>
      <w:pPr>
        <w:spacing w:line="360" w:lineRule="auto"/>
        <w:rPr>
          <w:rFonts w:ascii="仿宋" w:hAnsi="仿宋" w:eastAsia="仿宋" w:cs="仿宋"/>
          <w:sz w:val="30"/>
          <w:szCs w:val="30"/>
        </w:rPr>
      </w:pPr>
      <w:r>
        <w:rPr>
          <w:rFonts w:ascii="仿宋" w:hAnsi="仿宋" w:eastAsia="仿宋" w:cs="仿宋"/>
          <w:sz w:val="30"/>
          <w:szCs w:val="30"/>
        </w:rPr>
        <w:t xml:space="preserve">      </w:t>
      </w:r>
    </w:p>
    <w:p>
      <w:pPr>
        <w:spacing w:line="360" w:lineRule="auto"/>
        <w:rPr>
          <w:rFonts w:ascii="仿宋" w:hAnsi="仿宋" w:eastAsia="仿宋" w:cs="仿宋"/>
          <w:sz w:val="30"/>
          <w:szCs w:val="30"/>
        </w:rPr>
      </w:pPr>
    </w:p>
    <w:p>
      <w:pPr>
        <w:spacing w:line="360" w:lineRule="auto"/>
        <w:rPr>
          <w:rFonts w:ascii="仿宋" w:hAnsi="仿宋" w:eastAsia="仿宋" w:cs="仿宋"/>
          <w:sz w:val="30"/>
          <w:szCs w:val="30"/>
        </w:rPr>
      </w:pPr>
    </w:p>
    <w:p>
      <w:pPr>
        <w:adjustRightInd w:val="0"/>
        <w:snapToGrid w:val="0"/>
        <w:spacing w:line="560" w:lineRule="exact"/>
        <w:ind w:firstLine="600" w:firstLineChars="200"/>
        <w:rPr>
          <w:rFonts w:ascii="仿宋" w:hAnsi="仿宋" w:eastAsia="仿宋" w:cs="仿宋"/>
          <w:sz w:val="30"/>
          <w:szCs w:val="30"/>
        </w:rPr>
      </w:pPr>
    </w:p>
    <w:p>
      <w:pPr>
        <w:spacing w:line="360" w:lineRule="auto"/>
        <w:rPr>
          <w:rFonts w:ascii="仿宋" w:hAnsi="仿宋" w:eastAsia="仿宋" w:cs="仿宋"/>
          <w:sz w:val="30"/>
          <w:szCs w:val="30"/>
        </w:rPr>
      </w:pPr>
    </w:p>
    <w:p>
      <w:pPr>
        <w:spacing w:line="360" w:lineRule="auto"/>
        <w:rPr>
          <w:rFonts w:ascii="仿宋" w:hAnsi="仿宋" w:eastAsia="仿宋" w:cs="仿宋"/>
          <w:sz w:val="30"/>
          <w:szCs w:val="30"/>
        </w:rPr>
      </w:pPr>
    </w:p>
    <w:p>
      <w:pPr>
        <w:spacing w:line="360" w:lineRule="auto"/>
        <w:rPr>
          <w:rFonts w:ascii="仿宋" w:hAnsi="仿宋" w:eastAsia="仿宋" w:cs="仿宋"/>
          <w:sz w:val="30"/>
          <w:szCs w:val="30"/>
        </w:rPr>
      </w:pPr>
    </w:p>
    <w:p>
      <w:pPr>
        <w:spacing w:line="360" w:lineRule="auto"/>
        <w:rPr>
          <w:rFonts w:ascii="仿宋" w:hAnsi="仿宋" w:eastAsia="仿宋" w:cs="仿宋"/>
          <w:sz w:val="30"/>
          <w:szCs w:val="30"/>
        </w:rPr>
      </w:pPr>
    </w:p>
    <w:p>
      <w:pPr>
        <w:spacing w:line="360" w:lineRule="auto"/>
        <w:rPr>
          <w:rFonts w:ascii="仿宋" w:hAnsi="仿宋" w:eastAsia="仿宋" w:cs="仿宋"/>
          <w:sz w:val="30"/>
          <w:szCs w:val="30"/>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鄂尔多斯市自然资源局</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r>
        <w:rPr>
          <w:rFonts w:ascii="仿宋" w:hAnsi="仿宋" w:eastAsia="仿宋" w:cs="仿宋"/>
          <w:sz w:val="32"/>
          <w:szCs w:val="32"/>
        </w:rPr>
        <w:t xml:space="preserve">                </w:t>
      </w:r>
      <w:r>
        <w:rPr>
          <w:rFonts w:ascii="仿宋" w:hAnsi="仿宋" w:eastAsia="仿宋" w:cs="仿宋"/>
          <w:b/>
          <w:bCs/>
          <w:sz w:val="32"/>
          <w:szCs w:val="32"/>
        </w:rPr>
        <w:t xml:space="preserve">  202</w:t>
      </w:r>
      <w:r>
        <w:rPr>
          <w:rFonts w:hint="eastAsia" w:ascii="仿宋" w:hAnsi="仿宋" w:eastAsia="仿宋" w:cs="仿宋"/>
          <w:b/>
          <w:bCs/>
          <w:sz w:val="32"/>
          <w:szCs w:val="32"/>
        </w:rPr>
        <w:t>1年</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月</w:t>
      </w:r>
      <w:r>
        <w:rPr>
          <w:rFonts w:ascii="仿宋" w:hAnsi="仿宋" w:eastAsia="仿宋" w:cs="仿宋"/>
          <w:b/>
          <w:bCs/>
          <w:sz w:val="32"/>
          <w:szCs w:val="32"/>
        </w:rPr>
        <w:t>1</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日</w:t>
      </w:r>
    </w:p>
    <w:p>
      <w:pPr>
        <w:spacing w:line="360" w:lineRule="auto"/>
        <w:rPr>
          <w:rFonts w:ascii="仿宋" w:hAnsi="仿宋" w:eastAsia="仿宋" w:cs="仿宋"/>
          <w:sz w:val="30"/>
          <w:szCs w:val="30"/>
        </w:rPr>
      </w:pPr>
    </w:p>
    <w:p>
      <w:pPr>
        <w:spacing w:line="360" w:lineRule="auto"/>
        <w:rPr>
          <w:rFonts w:ascii="仿宋" w:hAnsi="仿宋" w:eastAsia="仿宋" w:cs="仿宋"/>
          <w:b/>
          <w:bCs/>
          <w:spacing w:val="-4"/>
          <w:sz w:val="30"/>
          <w:szCs w:val="30"/>
        </w:rPr>
      </w:pPr>
    </w:p>
    <w:p>
      <w:pPr>
        <w:spacing w:line="360" w:lineRule="auto"/>
        <w:rPr>
          <w:rFonts w:ascii="仿宋" w:hAnsi="仿宋" w:eastAsia="仿宋" w:cs="仿宋"/>
          <w:b/>
          <w:bCs/>
          <w:spacing w:val="-4"/>
          <w:sz w:val="30"/>
          <w:szCs w:val="30"/>
        </w:rPr>
      </w:pPr>
    </w:p>
    <w:p>
      <w:pPr>
        <w:spacing w:line="600" w:lineRule="auto"/>
        <w:ind w:left="-420" w:leftChars="-200" w:right="-874" w:rightChars="-416"/>
        <w:jc w:val="center"/>
        <w:rPr>
          <w:rFonts w:ascii="仿宋" w:hAnsi="仿宋" w:eastAsia="仿宋" w:cs="仿宋"/>
          <w:b/>
          <w:sz w:val="30"/>
          <w:szCs w:val="30"/>
        </w:rPr>
      </w:pPr>
    </w:p>
    <w:p>
      <w:pPr>
        <w:spacing w:line="560" w:lineRule="exact"/>
        <w:jc w:val="center"/>
        <w:rPr>
          <w:rFonts w:hint="eastAsia" w:ascii="仿宋" w:hAnsi="仿宋" w:eastAsia="仿宋" w:cs="仿宋"/>
          <w:b/>
          <w:sz w:val="44"/>
          <w:szCs w:val="44"/>
        </w:rPr>
      </w:pPr>
      <w:r>
        <w:rPr>
          <w:rFonts w:hint="eastAsia" w:ascii="仿宋" w:hAnsi="仿宋" w:eastAsia="仿宋" w:cs="仿宋"/>
          <w:b/>
          <w:sz w:val="44"/>
          <w:szCs w:val="44"/>
        </w:rPr>
        <w:t>内蒙古自治区东胜煤田三界沟煤矿西侧</w:t>
      </w:r>
    </w:p>
    <w:p>
      <w:pPr>
        <w:spacing w:line="560" w:lineRule="exact"/>
        <w:jc w:val="center"/>
        <w:rPr>
          <w:rFonts w:hint="eastAsia" w:ascii="仿宋" w:hAnsi="仿宋" w:eastAsia="仿宋" w:cs="仿宋"/>
          <w:b/>
          <w:sz w:val="44"/>
          <w:szCs w:val="44"/>
        </w:rPr>
      </w:pPr>
      <w:r>
        <w:rPr>
          <w:rFonts w:hint="eastAsia" w:ascii="仿宋" w:hAnsi="仿宋" w:eastAsia="仿宋" w:cs="仿宋"/>
          <w:b/>
          <w:sz w:val="44"/>
          <w:szCs w:val="44"/>
        </w:rPr>
        <w:t>186号区块区块简介</w:t>
      </w:r>
    </w:p>
    <w:p>
      <w:pPr>
        <w:spacing w:line="560" w:lineRule="exact"/>
        <w:rPr>
          <w:rFonts w:hint="eastAsia" w:ascii="仿宋" w:hAnsi="仿宋" w:eastAsia="仿宋" w:cs="仿宋"/>
          <w:sz w:val="30"/>
          <w:szCs w:val="30"/>
        </w:rPr>
      </w:pPr>
    </w:p>
    <w:p>
      <w:pPr>
        <w:spacing w:line="560" w:lineRule="exact"/>
        <w:rPr>
          <w:rFonts w:ascii="仿宋" w:hAnsi="仿宋" w:eastAsia="仿宋" w:cs="仿宋"/>
          <w:b/>
          <w:bCs/>
          <w:sz w:val="30"/>
          <w:szCs w:val="30"/>
        </w:rPr>
      </w:pPr>
      <w:r>
        <w:rPr>
          <w:rFonts w:ascii="仿宋" w:hAnsi="仿宋" w:eastAsia="仿宋" w:cs="仿宋"/>
          <w:sz w:val="30"/>
          <w:szCs w:val="30"/>
        </w:rPr>
        <w:t xml:space="preserve"> </w:t>
      </w:r>
      <w:r>
        <w:rPr>
          <w:rFonts w:hint="eastAsia" w:ascii="仿宋" w:hAnsi="仿宋" w:eastAsia="仿宋" w:cs="仿宋"/>
          <w:b/>
          <w:bCs/>
          <w:sz w:val="30"/>
          <w:szCs w:val="30"/>
        </w:rPr>
        <w:t>一、位置与交通</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186号区块</w:t>
      </w:r>
      <w:r>
        <w:rPr>
          <w:rFonts w:hint="eastAsia" w:ascii="仿宋" w:hAnsi="仿宋" w:eastAsia="仿宋" w:cs="仿宋"/>
          <w:sz w:val="30"/>
          <w:szCs w:val="30"/>
        </w:rPr>
        <w:t>位于鄂尔多斯市伊金霍洛旗阿勒腾席热镇东南（方位角 130°）直距63km处，行政区划属伊金霍洛旗纳林陶亥镇， 2000国家大地地理坐标:</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东经110°23′01″～110°24′45″；</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北纬 39°19′09″～ 39°20′52″；</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186号区块</w:t>
      </w:r>
      <w:r>
        <w:rPr>
          <w:rFonts w:hint="eastAsia" w:ascii="仿宋" w:hAnsi="仿宋" w:eastAsia="仿宋" w:cs="仿宋"/>
          <w:sz w:val="30"/>
          <w:szCs w:val="30"/>
        </w:rPr>
        <w:t>西侧约2km处有南北向通行的S214省道（即包府公路），其间有柏油公路相通，沿S214省道向北约60km可抵达鄂尔多斯市的东胜区、向南约20km可抵达陕西省榆林市府谷县的大柳塔镇。核实区西南距包（头）～神（木）铁路大柳塔集装站约15km、西北距G18(荣乌)高速公路康巴什出入口53km</w:t>
      </w:r>
      <w:r>
        <w:rPr>
          <w:rFonts w:hint="eastAsia" w:ascii="仿宋" w:hAnsi="仿宋" w:eastAsia="仿宋" w:cs="仿宋"/>
          <w:sz w:val="30"/>
          <w:szCs w:val="30"/>
          <w:lang w:eastAsia="zh-CN"/>
        </w:rPr>
        <w:t>，</w:t>
      </w:r>
      <w:r>
        <w:rPr>
          <w:rFonts w:hint="eastAsia" w:ascii="仿宋" w:hAnsi="仿宋" w:eastAsia="仿宋" w:cs="仿宋"/>
          <w:sz w:val="30"/>
          <w:szCs w:val="30"/>
        </w:rPr>
        <w:t>交通方便。</w:t>
      </w:r>
    </w:p>
    <w:p>
      <w:pPr>
        <w:adjustRightInd w:val="0"/>
        <w:snapToGrid w:val="0"/>
        <w:spacing w:line="360" w:lineRule="auto"/>
        <w:ind w:firstLine="1958" w:firstLineChars="650"/>
        <w:rPr>
          <w:rFonts w:ascii="仿宋" w:hAnsi="仿宋" w:eastAsia="仿宋" w:cs="仿宋"/>
          <w:sz w:val="30"/>
          <w:szCs w:val="30"/>
        </w:rPr>
      </w:pPr>
      <w:r>
        <w:rPr>
          <w:rFonts w:hint="eastAsia" w:ascii="仿宋" w:hAnsi="仿宋" w:eastAsia="仿宋" w:cs="仿宋"/>
          <w:b/>
          <w:kern w:val="0"/>
          <w:sz w:val="30"/>
          <w:szCs w:val="30"/>
        </w:rPr>
        <w:t>表</w:t>
      </w:r>
      <w:r>
        <w:rPr>
          <w:rFonts w:ascii="仿宋" w:hAnsi="仿宋" w:eastAsia="仿宋" w:cs="仿宋"/>
          <w:b/>
          <w:kern w:val="0"/>
          <w:sz w:val="30"/>
          <w:szCs w:val="30"/>
        </w:rPr>
        <w:t xml:space="preserve">1-1  </w:t>
      </w:r>
      <w:r>
        <w:rPr>
          <w:rFonts w:hint="eastAsia" w:ascii="仿宋" w:hAnsi="仿宋" w:eastAsia="仿宋" w:cs="仿宋"/>
          <w:b/>
          <w:kern w:val="0"/>
          <w:sz w:val="30"/>
          <w:szCs w:val="30"/>
          <w:lang w:val="en-US" w:eastAsia="zh-CN"/>
        </w:rPr>
        <w:t>186</w:t>
      </w:r>
      <w:r>
        <w:rPr>
          <w:rFonts w:hint="eastAsia" w:ascii="仿宋" w:hAnsi="仿宋" w:eastAsia="仿宋" w:cs="仿宋"/>
          <w:b/>
          <w:kern w:val="0"/>
          <w:sz w:val="30"/>
          <w:szCs w:val="30"/>
        </w:rPr>
        <w:t>号区块拐点坐标</w:t>
      </w:r>
    </w:p>
    <w:tbl>
      <w:tblPr>
        <w:tblStyle w:val="27"/>
        <w:tblW w:w="8902" w:type="dxa"/>
        <w:tblInd w:w="-29" w:type="dxa"/>
        <w:tblLayout w:type="fixed"/>
        <w:tblCellMar>
          <w:top w:w="41" w:type="dxa"/>
          <w:left w:w="115" w:type="dxa"/>
          <w:bottom w:w="0" w:type="dxa"/>
          <w:right w:w="115" w:type="dxa"/>
        </w:tblCellMar>
      </w:tblPr>
      <w:tblGrid>
        <w:gridCol w:w="850"/>
        <w:gridCol w:w="2013"/>
        <w:gridCol w:w="2013"/>
        <w:gridCol w:w="2013"/>
        <w:gridCol w:w="2013"/>
      </w:tblGrid>
      <w:tr>
        <w:tblPrEx>
          <w:tblLayout w:type="fixed"/>
          <w:tblCellMar>
            <w:top w:w="41" w:type="dxa"/>
            <w:left w:w="115" w:type="dxa"/>
            <w:bottom w:w="0" w:type="dxa"/>
            <w:right w:w="115" w:type="dxa"/>
          </w:tblCellMar>
        </w:tblPrEx>
        <w:trPr>
          <w:trHeight w:val="312" w:hRule="atLeast"/>
        </w:trPr>
        <w:tc>
          <w:tcPr>
            <w:tcW w:w="850" w:type="dxa"/>
            <w:vMerge w:val="restart"/>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21"/>
              </w:rPr>
              <w:t>拐 点编 号</w:t>
            </w:r>
          </w:p>
        </w:tc>
        <w:tc>
          <w:tcPr>
            <w:tcW w:w="402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2000国家大地地理坐标</w:t>
            </w:r>
          </w:p>
        </w:tc>
        <w:tc>
          <w:tcPr>
            <w:tcW w:w="402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2000国家大地直角坐标（3°带）</w:t>
            </w:r>
          </w:p>
        </w:tc>
      </w:tr>
      <w:tr>
        <w:tblPrEx>
          <w:tblLayout w:type="fixed"/>
          <w:tblCellMar>
            <w:top w:w="41" w:type="dxa"/>
            <w:left w:w="115" w:type="dxa"/>
            <w:bottom w:w="0" w:type="dxa"/>
            <w:right w:w="115" w:type="dxa"/>
          </w:tblCellMar>
        </w:tblPrEx>
        <w:trPr>
          <w:trHeight w:val="312" w:hRule="atLeast"/>
        </w:trPr>
        <w:tc>
          <w:tcPr>
            <w:tcW w:w="850" w:type="dxa"/>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东 经</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21"/>
              </w:rPr>
              <w:t>北 纬</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21"/>
              </w:rPr>
              <w:t>X(</w:t>
            </w:r>
            <w:r>
              <w:rPr>
                <w:sz w:val="24"/>
              </w:rPr>
              <w:t>m</w:t>
            </w:r>
            <w:r>
              <w:rPr>
                <w:sz w:val="21"/>
              </w:rPr>
              <w:t>)</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Y(</w:t>
            </w:r>
            <w:r>
              <w:rPr>
                <w:sz w:val="24"/>
              </w:rPr>
              <w:t>m</w:t>
            </w:r>
            <w:r>
              <w:rPr>
                <w:sz w:val="21"/>
              </w:rPr>
              <w:t>)</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1</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110°23′01″</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39°19′09″</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4354098.6338</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37446853.4698</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2</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110°23′53″</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39°19′44″</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4355168.6480</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37448113.4852</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3</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110°23′54″</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39°20′27″</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4356488.6634</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37448153.4856</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110°24′45″</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39°20′17″</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4356198.6620</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37449343.4904</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5</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110°24′45″</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39°20′19″</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4356276.1423</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37449355.4905</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6</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110°23′30″</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39°20′52″</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4357305.2269</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37447574.6333</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7</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110°23′17″</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39°20′33″</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4356706.6644</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37447253.4819</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8</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110°23′05″</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39°19′54″</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4355523.6496</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37446948.4705</w:t>
            </w:r>
          </w:p>
        </w:tc>
      </w:tr>
      <w:tr>
        <w:tblPrEx>
          <w:tblLayout w:type="fixed"/>
          <w:tblCellMar>
            <w:top w:w="41" w:type="dxa"/>
            <w:left w:w="115" w:type="dxa"/>
            <w:bottom w:w="0" w:type="dxa"/>
            <w:right w:w="115" w:type="dxa"/>
          </w:tblCellMar>
        </w:tblPrEx>
        <w:trPr>
          <w:trHeight w:val="312" w:hRule="atLeast"/>
        </w:trPr>
        <w:tc>
          <w:tcPr>
            <w:tcW w:w="850" w:type="dxa"/>
            <w:vMerge w:val="restart"/>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21"/>
              </w:rPr>
              <w:t>拐 点编 号</w:t>
            </w:r>
          </w:p>
        </w:tc>
        <w:tc>
          <w:tcPr>
            <w:tcW w:w="402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1980年西安地理坐标</w:t>
            </w:r>
          </w:p>
        </w:tc>
        <w:tc>
          <w:tcPr>
            <w:tcW w:w="4026"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1980年西安直角坐标（3°带）</w:t>
            </w:r>
          </w:p>
        </w:tc>
      </w:tr>
      <w:tr>
        <w:tblPrEx>
          <w:tblLayout w:type="fixed"/>
          <w:tblCellMar>
            <w:top w:w="41" w:type="dxa"/>
            <w:left w:w="115" w:type="dxa"/>
            <w:bottom w:w="0" w:type="dxa"/>
            <w:right w:w="115" w:type="dxa"/>
          </w:tblCellMar>
        </w:tblPrEx>
        <w:trPr>
          <w:trHeight w:val="312" w:hRule="atLeast"/>
        </w:trPr>
        <w:tc>
          <w:tcPr>
            <w:tcW w:w="850" w:type="dxa"/>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东 经</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21"/>
              </w:rPr>
              <w:t>北 纬</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21"/>
              </w:rPr>
              <w:t>X(</w:t>
            </w:r>
            <w:r>
              <w:rPr>
                <w:sz w:val="24"/>
              </w:rPr>
              <w:t>m</w:t>
            </w:r>
            <w:r>
              <w:rPr>
                <w:sz w:val="21"/>
              </w:rPr>
              <w:t>)</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Y(</w:t>
            </w:r>
            <w:r>
              <w:rPr>
                <w:sz w:val="24"/>
              </w:rPr>
              <w:t>m</w:t>
            </w:r>
            <w:r>
              <w:rPr>
                <w:sz w:val="21"/>
              </w:rPr>
              <w:t>)</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1</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110°22′57″</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39°19′09″</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4354092.58</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center"/>
            </w:pPr>
            <w:r>
              <w:rPr>
                <w:sz w:val="21"/>
              </w:rPr>
              <w:t>37446738.52</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2</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110°23′48″</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39°19′44″</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4355162.59</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center"/>
            </w:pPr>
            <w:r>
              <w:rPr>
                <w:sz w:val="21"/>
              </w:rPr>
              <w:t>37447998.53</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3</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110°23′49″</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39°20′27″</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4356482.60</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center"/>
            </w:pPr>
            <w:r>
              <w:rPr>
                <w:sz w:val="21"/>
              </w:rPr>
              <w:t>37448038.53</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110°24′40″</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39°20′17″</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4356192.60</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center"/>
            </w:pPr>
            <w:r>
              <w:rPr>
                <w:sz w:val="21"/>
              </w:rPr>
              <w:t>37449228.53</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5</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110°24′40″</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39°20′19″</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4356270.08</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center"/>
            </w:pPr>
            <w:r>
              <w:rPr>
                <w:sz w:val="21"/>
              </w:rPr>
              <w:t>37449240.53</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6</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110°23′26″</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39°20′52″</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4357299.16</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center"/>
            </w:pPr>
            <w:r>
              <w:rPr>
                <w:sz w:val="21"/>
              </w:rPr>
              <w:t>37447459.68</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7</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110°23′13″</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39°20′33″</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4356700.60</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center"/>
            </w:pPr>
            <w:r>
              <w:rPr>
                <w:sz w:val="21"/>
              </w:rPr>
              <w:t>37447138.53</w:t>
            </w:r>
          </w:p>
        </w:tc>
      </w:tr>
      <w:tr>
        <w:tblPrEx>
          <w:tblLayout w:type="fixed"/>
          <w:tblCellMar>
            <w:top w:w="41" w:type="dxa"/>
            <w:left w:w="115" w:type="dxa"/>
            <w:bottom w:w="0" w:type="dxa"/>
            <w:right w:w="115"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8</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21"/>
              </w:rPr>
              <w:t>110°23′00″</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21"/>
              </w:rPr>
              <w:t>39°19′54″</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21"/>
              </w:rPr>
              <w:t>4355517.59</w:t>
            </w:r>
          </w:p>
        </w:tc>
        <w:tc>
          <w:tcPr>
            <w:tcW w:w="201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center"/>
            </w:pPr>
            <w:r>
              <w:rPr>
                <w:sz w:val="21"/>
              </w:rPr>
              <w:t>37446833.52</w:t>
            </w:r>
          </w:p>
        </w:tc>
      </w:tr>
      <w:tr>
        <w:tblPrEx>
          <w:tblLayout w:type="fixed"/>
          <w:tblCellMar>
            <w:top w:w="41" w:type="dxa"/>
            <w:left w:w="115" w:type="dxa"/>
            <w:bottom w:w="0" w:type="dxa"/>
            <w:right w:w="115" w:type="dxa"/>
          </w:tblCellMar>
        </w:tblPrEx>
        <w:trPr>
          <w:trHeight w:val="312" w:hRule="atLeast"/>
        </w:trPr>
        <w:tc>
          <w:tcPr>
            <w:tcW w:w="8902"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418" w:firstLine="0"/>
              <w:jc w:val="center"/>
            </w:pPr>
            <w:r>
              <w:rPr>
                <w:sz w:val="21"/>
              </w:rPr>
              <w:t>面积：2.86km</w:t>
            </w:r>
            <w:r>
              <w:rPr>
                <w:sz w:val="16"/>
                <w:vertAlign w:val="superscript"/>
              </w:rPr>
              <w:t>2</w:t>
            </w:r>
            <w:r>
              <w:rPr>
                <w:sz w:val="21"/>
              </w:rPr>
              <w:t>。</w:t>
            </w:r>
          </w:p>
        </w:tc>
      </w:tr>
    </w:tbl>
    <w:p>
      <w:pPr>
        <w:adjustRightInd w:val="0"/>
        <w:snapToGrid w:val="0"/>
        <w:spacing w:line="360" w:lineRule="auto"/>
        <w:ind w:firstLine="600" w:firstLineChars="200"/>
        <w:rPr>
          <w:rFonts w:ascii="仿宋" w:hAnsi="仿宋" w:eastAsia="仿宋" w:cs="仿宋"/>
          <w:sz w:val="30"/>
          <w:szCs w:val="30"/>
        </w:rPr>
        <w:sectPr>
          <w:pgSz w:w="11906" w:h="16838"/>
          <w:pgMar w:top="1418" w:right="1797" w:bottom="1418" w:left="1797" w:header="851" w:footer="992" w:gutter="0"/>
          <w:cols w:space="720" w:num="1"/>
          <w:docGrid w:linePitch="312" w:charSpace="0"/>
        </w:sectPr>
      </w:pPr>
    </w:p>
    <w:p>
      <w:pPr>
        <w:rPr>
          <w:rFonts w:ascii="仿宋" w:hAnsi="仿宋" w:eastAsia="仿宋" w:cs="仿宋"/>
          <w:b/>
          <w:bCs/>
          <w:sz w:val="30"/>
          <w:szCs w:val="30"/>
        </w:rPr>
      </w:pP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、以往地质工作概况</w:t>
      </w:r>
    </w:p>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（一）186号区块勘查工作</w:t>
      </w:r>
    </w:p>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1、以往勘查工作</w:t>
      </w:r>
    </w:p>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1994年11月内蒙古自治区煤田地质局117勘探队提交了《内蒙古自治区东胜煤田勃牛川普查地质报告》，1994年12月1日内蒙古自治区煤田地质局以“内煤地地发（1994）第173号”文批准，该报告共获得B+C+D级储量162844万吨，其中6号煤层批准的资源储量为658万吨，该报告是本报告编制的依据之一，也是资源储量变化对比依据之一，二者重叠面积0.044km2，本报告占用其资源量为零，因为该报告在重叠区内未估算资源量。本报告利用其2个钻孔。</w:t>
      </w:r>
    </w:p>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2006年1月内蒙古自治区煤田地质局151勘探队提交了《内蒙古自治区东胜煤田勃牛川普查区李家梁煤矿富华井煤炭资源储量核实报告》，2006年7月19日内蒙古自治区矿产资源储量评审中心以“内国土资储评字[2006]048号”文评审通过，2006年8月11日内蒙古自治区国土资源厅以“内国土资储备字[2006]197号”文备案，本报告利用其6个钻孔成果、1：1万地形地质图2.86km2、探槽见煤点4个、煤芯煤样8件、简选样2件、岩样6件、水样1件。该报告是本报告主要编制依据。</w:t>
      </w:r>
    </w:p>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2008年9月内蒙古自治区煤田地质局151勘探队提交了《内蒙古自治区东胜煤田富华煤矿煤炭资源储量核实报告》，2009年7月27日国土资源部矿产资源储量评审中心以“国土资矿评储字[2009]108号”文评审通过，2009年9月8日国土资源部以“国土资储备字[2009]240号” 文备案。2层计量煤层提交资源储量2144万吨，其中保有资源储量2077 万吨、消耗资源储量67 万吨。该报告为本次资源量变化对比依据之一，二者重叠面积2.762km2，本报告占用其资源储量699万吨，其中保有资源储量676万吨、消耗资源量23万吨。本报告编制利用其巷道见煤点4个。</w:t>
      </w:r>
    </w:p>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2015年11月由内蒙古煤炭建设工程（集团）总公司编制完成的《内蒙古自治区东胜煤田煤层气资源评价报告》，内蒙古自治区地质勘查基金管理中心以“内地勘基金评字[2015]MT-19号”文评审通过。本报告编制利用其煤层气评价相关成果资料。</w:t>
      </w:r>
    </w:p>
    <w:p>
      <w:pPr>
        <w:spacing w:line="560" w:lineRule="exact"/>
        <w:rPr>
          <w:rFonts w:ascii="仿宋" w:hAnsi="仿宋" w:eastAsia="仿宋" w:cs="仿宋"/>
          <w:b/>
          <w:bCs/>
          <w:sz w:val="30"/>
          <w:szCs w:val="30"/>
        </w:rPr>
      </w:pP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、煤层及煤质</w:t>
      </w:r>
    </w:p>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一、煤层</w:t>
      </w:r>
    </w:p>
    <w:p>
      <w:pPr>
        <w:adjustRightInd w:val="0"/>
        <w:snapToGrid w:val="0"/>
        <w:spacing w:line="360" w:lineRule="auto"/>
        <w:ind w:firstLine="600" w:firstLineChars="200"/>
      </w:pPr>
      <w:r>
        <w:rPr>
          <w:rFonts w:hint="eastAsia" w:ascii="仿宋" w:hAnsi="仿宋" w:eastAsia="仿宋" w:cs="仿宋"/>
          <w:sz w:val="30"/>
          <w:szCs w:val="30"/>
          <w:lang w:val="en-US" w:eastAsia="zh-CN"/>
        </w:rPr>
        <w:t>186号区块内延安组平均厚度116.05m，煤层总厚度平均值4.72m，含煤系数4%，可采煤层总厚度平均值3.76m，可采含煤系数3%。共含3、4、5、6、6下号编号煤层 5层，其中 3号为不可采计量煤层（不稳定）、6 号为全区可采的较稳定煤层，其它编号煤层为不可采、未计量煤层。煤层勘查类型为较稳定型。各计量煤层主要特征见下表。</w:t>
      </w:r>
    </w:p>
    <w:tbl>
      <w:tblPr>
        <w:tblStyle w:val="27"/>
        <w:tblW w:w="8888" w:type="dxa"/>
        <w:tblInd w:w="-22" w:type="dxa"/>
        <w:tblLayout w:type="fixed"/>
        <w:tblCellMar>
          <w:top w:w="34" w:type="dxa"/>
          <w:left w:w="19" w:type="dxa"/>
          <w:bottom w:w="0" w:type="dxa"/>
          <w:right w:w="5" w:type="dxa"/>
        </w:tblCellMar>
      </w:tblPr>
      <w:tblGrid>
        <w:gridCol w:w="631"/>
        <w:gridCol w:w="1203"/>
        <w:gridCol w:w="1175"/>
        <w:gridCol w:w="1175"/>
        <w:gridCol w:w="1229"/>
        <w:gridCol w:w="695"/>
        <w:gridCol w:w="695"/>
        <w:gridCol w:w="695"/>
        <w:gridCol w:w="695"/>
        <w:gridCol w:w="695"/>
      </w:tblGrid>
      <w:tr>
        <w:tblPrEx>
          <w:tblLayout w:type="fixed"/>
          <w:tblCellMar>
            <w:top w:w="34" w:type="dxa"/>
            <w:left w:w="19" w:type="dxa"/>
            <w:bottom w:w="0" w:type="dxa"/>
            <w:right w:w="5" w:type="dxa"/>
          </w:tblCellMar>
        </w:tblPrEx>
        <w:trPr>
          <w:trHeight w:val="799" w:hRule="atLeast"/>
        </w:trPr>
        <w:tc>
          <w:tcPr>
            <w:tcW w:w="631" w:type="dxa"/>
            <w:tcBorders>
              <w:top w:val="single" w:color="000000" w:sz="2" w:space="0"/>
              <w:left w:val="single" w:color="000000" w:sz="4" w:space="0"/>
              <w:bottom w:val="single" w:color="000000" w:sz="2" w:space="0"/>
              <w:right w:val="single" w:color="000000" w:sz="2" w:space="0"/>
            </w:tcBorders>
            <w:vAlign w:val="center"/>
          </w:tcPr>
          <w:p>
            <w:pPr>
              <w:spacing w:after="0" w:line="259" w:lineRule="auto"/>
              <w:ind w:left="0" w:firstLine="0"/>
              <w:jc w:val="center"/>
            </w:pPr>
            <w:r>
              <w:rPr>
                <w:sz w:val="18"/>
              </w:rPr>
              <w:t>煤层编号</w:t>
            </w:r>
          </w:p>
        </w:tc>
        <w:tc>
          <w:tcPr>
            <w:tcW w:w="1203" w:type="dxa"/>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222" w:firstLine="0"/>
            </w:pPr>
            <w:r>
              <w:rPr>
                <w:sz w:val="18"/>
              </w:rPr>
              <w:t>埋藏深度</w:t>
            </w:r>
          </w:p>
          <w:p>
            <w:pPr>
              <w:spacing w:after="0" w:line="259" w:lineRule="auto"/>
              <w:ind w:left="0" w:right="16" w:firstLine="0"/>
              <w:jc w:val="center"/>
            </w:pPr>
            <w:r>
              <w:rPr>
                <w:rFonts w:ascii="Times New Roman" w:hAnsi="Times New Roman" w:eastAsia="Times New Roman" w:cs="Times New Roman"/>
                <w:sz w:val="18"/>
              </w:rPr>
              <w:t>(m)</w:t>
            </w:r>
          </w:p>
        </w:tc>
        <w:tc>
          <w:tcPr>
            <w:tcW w:w="1175" w:type="dxa"/>
            <w:tcBorders>
              <w:top w:val="single" w:color="000000" w:sz="2" w:space="0"/>
              <w:left w:val="single" w:color="000000" w:sz="2" w:space="0"/>
              <w:bottom w:val="single" w:color="000000" w:sz="2" w:space="0"/>
              <w:right w:val="single" w:color="000000" w:sz="2" w:space="0"/>
            </w:tcBorders>
          </w:tcPr>
          <w:p>
            <w:pPr>
              <w:spacing w:after="0" w:line="259" w:lineRule="auto"/>
              <w:ind w:left="0" w:firstLine="0"/>
              <w:jc w:val="center"/>
            </w:pPr>
            <w:r>
              <w:rPr>
                <w:sz w:val="18"/>
              </w:rPr>
              <w:t>自然厚度</w:t>
            </w:r>
            <w:r>
              <w:rPr>
                <w:rFonts w:ascii="Times New Roman" w:hAnsi="Times New Roman" w:eastAsia="Times New Roman" w:cs="Times New Roman"/>
                <w:sz w:val="18"/>
              </w:rPr>
              <w:t xml:space="preserve">(m) </w:t>
            </w:r>
            <w:r>
              <w:rPr>
                <w:sz w:val="18"/>
                <w:u w:val="single" w:color="000000"/>
              </w:rPr>
              <w:t>最小～最大</w:t>
            </w:r>
            <w:r>
              <w:rPr>
                <w:sz w:val="18"/>
              </w:rPr>
              <w:t>平均（点数）</w:t>
            </w:r>
          </w:p>
        </w:tc>
        <w:tc>
          <w:tcPr>
            <w:tcW w:w="1175" w:type="dxa"/>
            <w:tcBorders>
              <w:top w:val="single" w:color="000000" w:sz="2" w:space="0"/>
              <w:left w:val="single" w:color="000000" w:sz="2" w:space="0"/>
              <w:bottom w:val="single" w:color="000000" w:sz="2" w:space="0"/>
              <w:right w:val="single" w:color="000000" w:sz="2" w:space="0"/>
            </w:tcBorders>
          </w:tcPr>
          <w:p>
            <w:pPr>
              <w:spacing w:after="0" w:line="259" w:lineRule="auto"/>
              <w:ind w:left="71" w:firstLine="7"/>
            </w:pPr>
            <w:r>
              <w:rPr>
                <w:sz w:val="18"/>
              </w:rPr>
              <w:t>可采厚度</w:t>
            </w:r>
            <w:r>
              <w:rPr>
                <w:rFonts w:ascii="Times New Roman" w:hAnsi="Times New Roman" w:eastAsia="Times New Roman" w:cs="Times New Roman"/>
                <w:sz w:val="18"/>
              </w:rPr>
              <w:t xml:space="preserve">(m) </w:t>
            </w:r>
            <w:r>
              <w:rPr>
                <w:sz w:val="18"/>
                <w:u w:val="single" w:color="000000"/>
              </w:rPr>
              <w:t>最小～最大</w:t>
            </w:r>
            <w:r>
              <w:rPr>
                <w:sz w:val="18"/>
              </w:rPr>
              <w:t>平均（点数）</w:t>
            </w:r>
          </w:p>
        </w:tc>
        <w:tc>
          <w:tcPr>
            <w:tcW w:w="1229" w:type="dxa"/>
            <w:tcBorders>
              <w:top w:val="single" w:color="000000" w:sz="2" w:space="0"/>
              <w:left w:val="single" w:color="000000" w:sz="2" w:space="0"/>
              <w:bottom w:val="single" w:color="000000" w:sz="2" w:space="0"/>
              <w:right w:val="single" w:color="000000" w:sz="2" w:space="0"/>
            </w:tcBorders>
          </w:tcPr>
          <w:p>
            <w:pPr>
              <w:spacing w:after="0" w:line="259" w:lineRule="auto"/>
              <w:ind w:left="101" w:firstLine="5"/>
            </w:pPr>
            <w:r>
              <w:rPr>
                <w:sz w:val="18"/>
              </w:rPr>
              <w:t>煤层间距</w:t>
            </w:r>
            <w:r>
              <w:rPr>
                <w:rFonts w:ascii="Times New Roman" w:hAnsi="Times New Roman" w:eastAsia="Times New Roman" w:cs="Times New Roman"/>
                <w:sz w:val="18"/>
              </w:rPr>
              <w:t xml:space="preserve">(m) </w:t>
            </w:r>
            <w:r>
              <w:rPr>
                <w:sz w:val="18"/>
                <w:u w:val="single" w:color="000000"/>
              </w:rPr>
              <w:t>最小～最大</w:t>
            </w:r>
            <w:r>
              <w:rPr>
                <w:sz w:val="18"/>
              </w:rPr>
              <w:t>平均（点数）</w:t>
            </w:r>
          </w:p>
        </w:tc>
        <w:tc>
          <w:tcPr>
            <w:tcW w:w="695" w:type="dxa"/>
            <w:tcBorders>
              <w:top w:val="single" w:color="000000" w:sz="2" w:space="0"/>
              <w:left w:val="single" w:color="000000" w:sz="2" w:space="0"/>
              <w:bottom w:val="single" w:color="000000" w:sz="2" w:space="0"/>
              <w:right w:val="single" w:color="000000" w:sz="2" w:space="0"/>
            </w:tcBorders>
          </w:tcPr>
          <w:p>
            <w:pPr>
              <w:spacing w:after="0" w:line="259" w:lineRule="auto"/>
              <w:ind w:left="0" w:firstLine="0"/>
              <w:jc w:val="center"/>
            </w:pPr>
            <w:r>
              <w:rPr>
                <w:sz w:val="18"/>
              </w:rPr>
              <w:t>夹矸层数/结构类 型</w:t>
            </w:r>
          </w:p>
        </w:tc>
        <w:tc>
          <w:tcPr>
            <w:tcW w:w="695" w:type="dxa"/>
            <w:tcBorders>
              <w:top w:val="single" w:color="000000" w:sz="2" w:space="0"/>
              <w:left w:val="single" w:color="000000" w:sz="2" w:space="0"/>
              <w:bottom w:val="single" w:color="000000" w:sz="2" w:space="0"/>
              <w:right w:val="single" w:color="000000" w:sz="2" w:space="0"/>
            </w:tcBorders>
          </w:tcPr>
          <w:p>
            <w:pPr>
              <w:spacing w:after="2" w:line="224" w:lineRule="auto"/>
              <w:ind w:left="0" w:firstLine="0"/>
              <w:jc w:val="center"/>
            </w:pPr>
            <w:r>
              <w:rPr>
                <w:sz w:val="18"/>
              </w:rPr>
              <w:t>面积可采系数</w:t>
            </w:r>
          </w:p>
          <w:p>
            <w:pPr>
              <w:spacing w:after="0" w:line="259" w:lineRule="auto"/>
              <w:ind w:left="104" w:firstLine="0"/>
              <w:jc w:val="both"/>
            </w:pPr>
            <w:r>
              <w:rPr>
                <w:sz w:val="18"/>
              </w:rPr>
              <w:t>（%）</w:t>
            </w:r>
          </w:p>
        </w:tc>
        <w:tc>
          <w:tcPr>
            <w:tcW w:w="695" w:type="dxa"/>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3" w:right="27" w:firstLine="0"/>
              <w:jc w:val="center"/>
            </w:pPr>
            <w:r>
              <w:rPr>
                <w:sz w:val="18"/>
              </w:rPr>
              <w:t>可 采程 度</w:t>
            </w:r>
          </w:p>
        </w:tc>
        <w:tc>
          <w:tcPr>
            <w:tcW w:w="695" w:type="dxa"/>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0" w:firstLine="0"/>
              <w:jc w:val="center"/>
            </w:pPr>
            <w:r>
              <w:rPr>
                <w:sz w:val="18"/>
              </w:rPr>
              <w:t>对比可靠程度</w:t>
            </w:r>
          </w:p>
        </w:tc>
        <w:tc>
          <w:tcPr>
            <w:tcW w:w="695" w:type="dxa"/>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2" w:right="28" w:firstLine="0"/>
              <w:jc w:val="center"/>
            </w:pPr>
            <w:r>
              <w:rPr>
                <w:sz w:val="18"/>
              </w:rPr>
              <w:t>稳 定程 度</w:t>
            </w:r>
          </w:p>
        </w:tc>
      </w:tr>
      <w:tr>
        <w:tblPrEx>
          <w:tblLayout w:type="fixed"/>
          <w:tblCellMar>
            <w:top w:w="34" w:type="dxa"/>
            <w:left w:w="19" w:type="dxa"/>
            <w:bottom w:w="0" w:type="dxa"/>
            <w:right w:w="5" w:type="dxa"/>
          </w:tblCellMar>
        </w:tblPrEx>
        <w:trPr>
          <w:trHeight w:val="345" w:hRule="atLeast"/>
        </w:trPr>
        <w:tc>
          <w:tcPr>
            <w:tcW w:w="631" w:type="dxa"/>
            <w:vMerge w:val="restart"/>
            <w:tcBorders>
              <w:top w:val="single" w:color="000000" w:sz="2" w:space="0"/>
              <w:left w:val="single" w:color="000000" w:sz="4" w:space="0"/>
              <w:bottom w:val="single" w:color="000000" w:sz="2" w:space="0"/>
              <w:right w:val="single" w:color="000000" w:sz="2" w:space="0"/>
            </w:tcBorders>
            <w:vAlign w:val="center"/>
          </w:tcPr>
          <w:p>
            <w:pPr>
              <w:spacing w:after="0" w:line="259" w:lineRule="auto"/>
              <w:ind w:left="0" w:right="11" w:firstLine="0"/>
              <w:jc w:val="center"/>
            </w:pPr>
            <w:r>
              <w:rPr>
                <w:sz w:val="21"/>
              </w:rPr>
              <w:t>3</w:t>
            </w:r>
          </w:p>
        </w:tc>
        <w:tc>
          <w:tcPr>
            <w:tcW w:w="1203"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78" w:firstLine="0"/>
            </w:pPr>
            <w:r>
              <w:rPr>
                <w:rFonts w:ascii="Times New Roman" w:hAnsi="Times New Roman" w:eastAsia="Times New Roman" w:cs="Times New Roman"/>
                <w:sz w:val="18"/>
                <w:u w:val="single" w:color="000000"/>
              </w:rPr>
              <w:t>29.60</w:t>
            </w:r>
            <w:r>
              <w:rPr>
                <w:sz w:val="18"/>
                <w:u w:val="single" w:color="000000"/>
              </w:rPr>
              <w:t>～</w:t>
            </w:r>
            <w:r>
              <w:rPr>
                <w:rFonts w:ascii="Times New Roman" w:hAnsi="Times New Roman" w:eastAsia="Times New Roman" w:cs="Times New Roman"/>
                <w:sz w:val="18"/>
                <w:u w:val="single" w:color="000000"/>
              </w:rPr>
              <w:t>61.25</w:t>
            </w:r>
          </w:p>
          <w:p>
            <w:pPr>
              <w:spacing w:after="0" w:line="259" w:lineRule="auto"/>
              <w:ind w:left="0" w:right="11" w:firstLine="0"/>
              <w:jc w:val="center"/>
            </w:pPr>
            <w:r>
              <w:rPr>
                <w:rFonts w:ascii="Times New Roman" w:hAnsi="Times New Roman" w:eastAsia="Times New Roman" w:cs="Times New Roman"/>
                <w:sz w:val="18"/>
              </w:rPr>
              <w:t>44.65(3)</w:t>
            </w:r>
          </w:p>
        </w:tc>
        <w:tc>
          <w:tcPr>
            <w:tcW w:w="1175"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54" w:firstLine="0"/>
            </w:pPr>
            <w:r>
              <w:rPr>
                <w:rFonts w:ascii="Times New Roman" w:hAnsi="Times New Roman" w:eastAsia="Times New Roman" w:cs="Times New Roman"/>
                <w:sz w:val="18"/>
                <w:u w:val="single" w:color="000000"/>
              </w:rPr>
              <w:t>1.95</w:t>
            </w:r>
            <w:r>
              <w:rPr>
                <w:sz w:val="18"/>
                <w:u w:val="single" w:color="000000"/>
              </w:rPr>
              <w:t>～</w:t>
            </w:r>
            <w:r>
              <w:rPr>
                <w:rFonts w:ascii="Times New Roman" w:hAnsi="Times New Roman" w:eastAsia="Times New Roman" w:cs="Times New Roman"/>
                <w:sz w:val="18"/>
                <w:u w:val="single" w:color="000000"/>
              </w:rPr>
              <w:t>2.05</w:t>
            </w:r>
          </w:p>
          <w:p>
            <w:pPr>
              <w:spacing w:after="0" w:line="259" w:lineRule="auto"/>
              <w:ind w:left="0" w:right="10" w:firstLine="0"/>
              <w:jc w:val="center"/>
            </w:pPr>
            <w:r>
              <w:rPr>
                <w:rFonts w:ascii="Times New Roman" w:hAnsi="Times New Roman" w:eastAsia="Times New Roman" w:cs="Times New Roman"/>
                <w:sz w:val="18"/>
              </w:rPr>
              <w:t>1.99(3)</w:t>
            </w:r>
          </w:p>
        </w:tc>
        <w:tc>
          <w:tcPr>
            <w:tcW w:w="1175"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55" w:firstLine="0"/>
            </w:pPr>
            <w:r>
              <w:rPr>
                <w:rFonts w:ascii="Times New Roman" w:hAnsi="Times New Roman" w:eastAsia="Times New Roman" w:cs="Times New Roman"/>
                <w:sz w:val="18"/>
                <w:u w:val="single" w:color="000000"/>
              </w:rPr>
              <w:t>1.95</w:t>
            </w:r>
            <w:r>
              <w:rPr>
                <w:sz w:val="18"/>
                <w:u w:val="single" w:color="000000"/>
              </w:rPr>
              <w:t>～</w:t>
            </w:r>
            <w:r>
              <w:rPr>
                <w:rFonts w:ascii="Times New Roman" w:hAnsi="Times New Roman" w:eastAsia="Times New Roman" w:cs="Times New Roman"/>
                <w:sz w:val="18"/>
                <w:u w:val="single" w:color="000000"/>
              </w:rPr>
              <w:t>2.05</w:t>
            </w:r>
          </w:p>
          <w:p>
            <w:pPr>
              <w:spacing w:after="0" w:line="259" w:lineRule="auto"/>
              <w:ind w:left="0" w:right="13" w:firstLine="0"/>
              <w:jc w:val="center"/>
            </w:pPr>
            <w:r>
              <w:rPr>
                <w:rFonts w:ascii="Times New Roman" w:hAnsi="Times New Roman" w:eastAsia="Times New Roman" w:cs="Times New Roman"/>
                <w:sz w:val="18"/>
              </w:rPr>
              <w:t>1.99(3)</w:t>
            </w:r>
          </w:p>
        </w:tc>
        <w:tc>
          <w:tcPr>
            <w:tcW w:w="1229" w:type="dxa"/>
            <w:tcBorders>
              <w:top w:val="single" w:color="000000" w:sz="2" w:space="0"/>
              <w:left w:val="single" w:color="000000" w:sz="2" w:space="0"/>
              <w:bottom w:val="single" w:color="000000" w:sz="2" w:space="0"/>
              <w:right w:val="single" w:color="000000" w:sz="2" w:space="0"/>
            </w:tcBorders>
          </w:tcPr>
          <w:p>
            <w:pPr>
              <w:spacing w:after="160" w:line="259" w:lineRule="auto"/>
              <w:ind w:left="0" w:firstLine="0"/>
            </w:pPr>
          </w:p>
        </w:tc>
        <w:tc>
          <w:tcPr>
            <w:tcW w:w="695"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59" w:right="74" w:firstLine="0"/>
              <w:jc w:val="center"/>
            </w:pPr>
            <w:r>
              <w:rPr>
                <w:rFonts w:ascii="Times New Roman" w:hAnsi="Times New Roman" w:eastAsia="Times New Roman" w:cs="Times New Roman"/>
                <w:sz w:val="18"/>
                <w:u w:val="single" w:color="000000"/>
              </w:rPr>
              <w:t>0</w:t>
            </w:r>
            <w:r>
              <w:rPr>
                <w:sz w:val="18"/>
                <w:u w:val="single" w:color="000000"/>
              </w:rPr>
              <w:t>～</w:t>
            </w:r>
            <w:r>
              <w:rPr>
                <w:rFonts w:ascii="Times New Roman" w:hAnsi="Times New Roman" w:eastAsia="Times New Roman" w:cs="Times New Roman"/>
                <w:sz w:val="18"/>
                <w:u w:val="single" w:color="000000"/>
              </w:rPr>
              <w:t xml:space="preserve">0 </w:t>
            </w:r>
            <w:r>
              <w:rPr>
                <w:sz w:val="18"/>
              </w:rPr>
              <w:t>简 单</w:t>
            </w:r>
          </w:p>
        </w:tc>
        <w:tc>
          <w:tcPr>
            <w:tcW w:w="695"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0" w:right="13" w:firstLine="0"/>
              <w:jc w:val="center"/>
            </w:pPr>
            <w:r>
              <w:rPr>
                <w:rFonts w:ascii="Times New Roman" w:hAnsi="Times New Roman" w:eastAsia="Times New Roman" w:cs="Times New Roman"/>
                <w:sz w:val="18"/>
              </w:rPr>
              <w:t>12</w:t>
            </w:r>
          </w:p>
        </w:tc>
        <w:tc>
          <w:tcPr>
            <w:tcW w:w="695"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57" w:firstLine="0"/>
              <w:jc w:val="both"/>
            </w:pPr>
            <w:r>
              <w:rPr>
                <w:sz w:val="18"/>
              </w:rPr>
              <w:t>不可采</w:t>
            </w:r>
          </w:p>
        </w:tc>
        <w:tc>
          <w:tcPr>
            <w:tcW w:w="695"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0" w:firstLine="0"/>
              <w:jc w:val="center"/>
            </w:pPr>
            <w:r>
              <w:rPr>
                <w:sz w:val="18"/>
              </w:rPr>
              <w:t>基本可靠</w:t>
            </w:r>
          </w:p>
        </w:tc>
        <w:tc>
          <w:tcPr>
            <w:tcW w:w="695"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59" w:firstLine="0"/>
              <w:jc w:val="both"/>
            </w:pPr>
            <w:r>
              <w:rPr>
                <w:sz w:val="18"/>
              </w:rPr>
              <w:t>不稳定</w:t>
            </w:r>
          </w:p>
        </w:tc>
      </w:tr>
      <w:tr>
        <w:tblPrEx>
          <w:tblLayout w:type="fixed"/>
          <w:tblCellMar>
            <w:top w:w="34" w:type="dxa"/>
            <w:left w:w="19" w:type="dxa"/>
            <w:bottom w:w="0" w:type="dxa"/>
            <w:right w:w="5" w:type="dxa"/>
          </w:tblCellMar>
        </w:tblPrEx>
        <w:trPr>
          <w:trHeight w:val="333" w:hRule="atLeast"/>
        </w:trPr>
        <w:tc>
          <w:tcPr>
            <w:tcW w:w="631" w:type="dxa"/>
            <w:vMerge w:val="continue"/>
            <w:tcBorders>
              <w:top w:val="nil"/>
              <w:left w:val="single" w:color="000000" w:sz="4" w:space="0"/>
              <w:bottom w:val="single" w:color="000000" w:sz="2" w:space="0"/>
              <w:right w:val="single" w:color="000000" w:sz="2" w:space="0"/>
            </w:tcBorders>
          </w:tcPr>
          <w:p>
            <w:pPr>
              <w:spacing w:after="160" w:line="259" w:lineRule="auto"/>
              <w:ind w:left="0" w:firstLine="0"/>
            </w:pPr>
          </w:p>
        </w:tc>
        <w:tc>
          <w:tcPr>
            <w:tcW w:w="1203"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c>
          <w:tcPr>
            <w:tcW w:w="1175"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c>
          <w:tcPr>
            <w:tcW w:w="1175"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c>
          <w:tcPr>
            <w:tcW w:w="1229" w:type="dxa"/>
            <w:tcBorders>
              <w:top w:val="single" w:color="000000" w:sz="2" w:space="0"/>
              <w:left w:val="single" w:color="000000" w:sz="2" w:space="0"/>
              <w:bottom w:val="single" w:color="000000" w:sz="4" w:space="0"/>
              <w:right w:val="single" w:color="000000" w:sz="2" w:space="0"/>
            </w:tcBorders>
            <w:vAlign w:val="bottom"/>
          </w:tcPr>
          <w:p>
            <w:pPr>
              <w:spacing w:after="0" w:line="259" w:lineRule="auto"/>
              <w:ind w:left="0" w:firstLine="0"/>
              <w:jc w:val="both"/>
            </w:pPr>
            <w:r>
              <w:rPr>
                <w:rFonts w:ascii="Times New Roman" w:hAnsi="Times New Roman" w:eastAsia="Times New Roman" w:cs="Times New Roman"/>
                <w:sz w:val="18"/>
              </w:rPr>
              <w:t>101.05</w:t>
            </w:r>
            <w:r>
              <w:rPr>
                <w:sz w:val="18"/>
              </w:rPr>
              <w:t>～</w:t>
            </w:r>
            <w:r>
              <w:rPr>
                <w:rFonts w:ascii="Times New Roman" w:hAnsi="Times New Roman" w:eastAsia="Times New Roman" w:cs="Times New Roman"/>
                <w:sz w:val="18"/>
              </w:rPr>
              <w:t>104.95</w:t>
            </w:r>
          </w:p>
        </w:tc>
        <w:tc>
          <w:tcPr>
            <w:tcW w:w="695"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c>
          <w:tcPr>
            <w:tcW w:w="695"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c>
          <w:tcPr>
            <w:tcW w:w="695"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c>
          <w:tcPr>
            <w:tcW w:w="695"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c>
          <w:tcPr>
            <w:tcW w:w="695"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r>
      <w:tr>
        <w:tblPrEx>
          <w:tblLayout w:type="fixed"/>
          <w:tblCellMar>
            <w:top w:w="34" w:type="dxa"/>
            <w:left w:w="19" w:type="dxa"/>
            <w:bottom w:w="0" w:type="dxa"/>
            <w:right w:w="5" w:type="dxa"/>
          </w:tblCellMar>
        </w:tblPrEx>
        <w:trPr>
          <w:trHeight w:val="357" w:hRule="atLeast"/>
        </w:trPr>
        <w:tc>
          <w:tcPr>
            <w:tcW w:w="631" w:type="dxa"/>
            <w:vMerge w:val="restart"/>
            <w:tcBorders>
              <w:top w:val="single" w:color="000000" w:sz="2" w:space="0"/>
              <w:left w:val="single" w:color="000000" w:sz="4" w:space="0"/>
              <w:bottom w:val="single" w:color="000000" w:sz="2" w:space="0"/>
              <w:right w:val="single" w:color="000000" w:sz="2" w:space="0"/>
            </w:tcBorders>
            <w:vAlign w:val="center"/>
          </w:tcPr>
          <w:p>
            <w:pPr>
              <w:spacing w:after="0" w:line="259" w:lineRule="auto"/>
              <w:ind w:left="0" w:right="11" w:firstLine="0"/>
              <w:jc w:val="center"/>
            </w:pPr>
            <w:r>
              <w:rPr>
                <w:sz w:val="21"/>
              </w:rPr>
              <w:t>6</w:t>
            </w:r>
          </w:p>
        </w:tc>
        <w:tc>
          <w:tcPr>
            <w:tcW w:w="1203"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32" w:firstLine="0"/>
              <w:jc w:val="both"/>
            </w:pPr>
            <w:r>
              <w:rPr>
                <w:rFonts w:ascii="Times New Roman" w:hAnsi="Times New Roman" w:eastAsia="Times New Roman" w:cs="Times New Roman"/>
                <w:sz w:val="18"/>
                <w:u w:val="single" w:color="000000"/>
              </w:rPr>
              <w:t>21.25</w:t>
            </w:r>
            <w:r>
              <w:rPr>
                <w:sz w:val="18"/>
                <w:u w:val="single" w:color="000000"/>
              </w:rPr>
              <w:t>～</w:t>
            </w:r>
            <w:r>
              <w:rPr>
                <w:rFonts w:ascii="Times New Roman" w:hAnsi="Times New Roman" w:eastAsia="Times New Roman" w:cs="Times New Roman"/>
                <w:sz w:val="18"/>
                <w:u w:val="single" w:color="000000"/>
              </w:rPr>
              <w:t>163.75</w:t>
            </w:r>
          </w:p>
          <w:p>
            <w:pPr>
              <w:spacing w:after="0" w:line="259" w:lineRule="auto"/>
              <w:ind w:left="0" w:right="13" w:firstLine="0"/>
              <w:jc w:val="center"/>
            </w:pPr>
            <w:r>
              <w:rPr>
                <w:rFonts w:ascii="Times New Roman" w:hAnsi="Times New Roman" w:eastAsia="Times New Roman" w:cs="Times New Roman"/>
                <w:sz w:val="18"/>
              </w:rPr>
              <w:t>79.75(8)</w:t>
            </w:r>
          </w:p>
        </w:tc>
        <w:tc>
          <w:tcPr>
            <w:tcW w:w="1175"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54" w:firstLine="0"/>
            </w:pPr>
            <w:r>
              <w:rPr>
                <w:rFonts w:ascii="Times New Roman" w:hAnsi="Times New Roman" w:eastAsia="Times New Roman" w:cs="Times New Roman"/>
                <w:sz w:val="18"/>
                <w:u w:val="single" w:color="000000"/>
              </w:rPr>
              <w:t>0.35</w:t>
            </w:r>
            <w:r>
              <w:rPr>
                <w:sz w:val="18"/>
                <w:u w:val="single" w:color="000000"/>
              </w:rPr>
              <w:t>～</w:t>
            </w:r>
            <w:r>
              <w:rPr>
                <w:rFonts w:ascii="Times New Roman" w:hAnsi="Times New Roman" w:eastAsia="Times New Roman" w:cs="Times New Roman"/>
                <w:sz w:val="18"/>
                <w:u w:val="single" w:color="000000"/>
              </w:rPr>
              <w:t>2.45</w:t>
            </w:r>
          </w:p>
          <w:p>
            <w:pPr>
              <w:spacing w:after="0" w:line="259" w:lineRule="auto"/>
              <w:ind w:left="0" w:right="13" w:firstLine="0"/>
              <w:jc w:val="center"/>
            </w:pPr>
            <w:r>
              <w:rPr>
                <w:rFonts w:ascii="Times New Roman" w:hAnsi="Times New Roman" w:eastAsia="Times New Roman" w:cs="Times New Roman"/>
                <w:sz w:val="18"/>
              </w:rPr>
              <w:t>1.46(12)</w:t>
            </w:r>
          </w:p>
        </w:tc>
        <w:tc>
          <w:tcPr>
            <w:tcW w:w="1175"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55" w:firstLine="0"/>
            </w:pPr>
            <w:r>
              <w:rPr>
                <w:rFonts w:ascii="Times New Roman" w:hAnsi="Times New Roman" w:eastAsia="Times New Roman" w:cs="Times New Roman"/>
                <w:sz w:val="18"/>
                <w:u w:val="single" w:color="000000"/>
              </w:rPr>
              <w:t>1.00</w:t>
            </w:r>
            <w:r>
              <w:rPr>
                <w:sz w:val="18"/>
                <w:u w:val="single" w:color="000000"/>
              </w:rPr>
              <w:t>～</w:t>
            </w:r>
            <w:r>
              <w:rPr>
                <w:rFonts w:ascii="Times New Roman" w:hAnsi="Times New Roman" w:eastAsia="Times New Roman" w:cs="Times New Roman"/>
                <w:sz w:val="18"/>
                <w:u w:val="single" w:color="000000"/>
              </w:rPr>
              <w:t>2.45</w:t>
            </w:r>
          </w:p>
          <w:p>
            <w:pPr>
              <w:spacing w:after="0" w:line="259" w:lineRule="auto"/>
              <w:ind w:left="0" w:right="13" w:firstLine="0"/>
              <w:jc w:val="center"/>
            </w:pPr>
            <w:r>
              <w:rPr>
                <w:rFonts w:ascii="Times New Roman" w:hAnsi="Times New Roman" w:eastAsia="Times New Roman" w:cs="Times New Roman"/>
                <w:sz w:val="18"/>
              </w:rPr>
              <w:t>1.76(9)</w:t>
            </w:r>
          </w:p>
        </w:tc>
        <w:tc>
          <w:tcPr>
            <w:tcW w:w="1229" w:type="dxa"/>
            <w:tcBorders>
              <w:top w:val="single" w:color="000000" w:sz="4" w:space="0"/>
              <w:left w:val="single" w:color="000000" w:sz="2" w:space="0"/>
              <w:bottom w:val="single" w:color="000000" w:sz="2" w:space="0"/>
              <w:right w:val="single" w:color="000000" w:sz="2" w:space="0"/>
            </w:tcBorders>
          </w:tcPr>
          <w:p>
            <w:pPr>
              <w:spacing w:after="0" w:line="259" w:lineRule="auto"/>
              <w:ind w:left="0" w:right="12" w:firstLine="0"/>
              <w:jc w:val="center"/>
            </w:pPr>
            <w:r>
              <w:rPr>
                <w:rFonts w:ascii="Times New Roman" w:hAnsi="Times New Roman" w:eastAsia="Times New Roman" w:cs="Times New Roman"/>
                <w:sz w:val="18"/>
              </w:rPr>
              <w:t>102.68(3)</w:t>
            </w:r>
          </w:p>
        </w:tc>
        <w:tc>
          <w:tcPr>
            <w:tcW w:w="695"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59" w:right="74" w:firstLine="0"/>
              <w:jc w:val="center"/>
            </w:pPr>
            <w:r>
              <w:rPr>
                <w:rFonts w:ascii="Times New Roman" w:hAnsi="Times New Roman" w:eastAsia="Times New Roman" w:cs="Times New Roman"/>
                <w:sz w:val="18"/>
                <w:u w:val="single" w:color="000000"/>
              </w:rPr>
              <w:t>0</w:t>
            </w:r>
            <w:r>
              <w:rPr>
                <w:sz w:val="18"/>
                <w:u w:val="single" w:color="000000"/>
              </w:rPr>
              <w:t>～</w:t>
            </w:r>
            <w:r>
              <w:rPr>
                <w:rFonts w:ascii="Times New Roman" w:hAnsi="Times New Roman" w:eastAsia="Times New Roman" w:cs="Times New Roman"/>
                <w:sz w:val="18"/>
                <w:u w:val="single" w:color="000000"/>
              </w:rPr>
              <w:t xml:space="preserve">1 </w:t>
            </w:r>
            <w:r>
              <w:rPr>
                <w:sz w:val="18"/>
              </w:rPr>
              <w:t>简 单</w:t>
            </w:r>
          </w:p>
        </w:tc>
        <w:tc>
          <w:tcPr>
            <w:tcW w:w="695"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0" w:right="13" w:firstLine="0"/>
              <w:jc w:val="center"/>
            </w:pPr>
            <w:r>
              <w:rPr>
                <w:rFonts w:ascii="Times New Roman" w:hAnsi="Times New Roman" w:eastAsia="Times New Roman" w:cs="Times New Roman"/>
                <w:sz w:val="18"/>
              </w:rPr>
              <w:t>96</w:t>
            </w:r>
          </w:p>
        </w:tc>
        <w:tc>
          <w:tcPr>
            <w:tcW w:w="695"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0" w:firstLine="0"/>
              <w:jc w:val="center"/>
            </w:pPr>
            <w:r>
              <w:rPr>
                <w:sz w:val="18"/>
              </w:rPr>
              <w:t>全区可采</w:t>
            </w:r>
          </w:p>
        </w:tc>
        <w:tc>
          <w:tcPr>
            <w:tcW w:w="695"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47" w:firstLine="0"/>
              <w:jc w:val="both"/>
            </w:pPr>
            <w:r>
              <w:rPr>
                <w:sz w:val="18"/>
              </w:rPr>
              <w:t>可靠</w:t>
            </w:r>
          </w:p>
        </w:tc>
        <w:tc>
          <w:tcPr>
            <w:tcW w:w="695"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59" w:firstLine="0"/>
              <w:jc w:val="both"/>
            </w:pPr>
            <w:r>
              <w:rPr>
                <w:sz w:val="18"/>
              </w:rPr>
              <w:t>较稳定</w:t>
            </w:r>
          </w:p>
        </w:tc>
      </w:tr>
      <w:tr>
        <w:tblPrEx>
          <w:tblLayout w:type="fixed"/>
          <w:tblCellMar>
            <w:top w:w="34" w:type="dxa"/>
            <w:left w:w="19" w:type="dxa"/>
            <w:bottom w:w="0" w:type="dxa"/>
            <w:right w:w="5" w:type="dxa"/>
          </w:tblCellMar>
        </w:tblPrEx>
        <w:trPr>
          <w:trHeight w:val="345" w:hRule="atLeast"/>
        </w:trPr>
        <w:tc>
          <w:tcPr>
            <w:tcW w:w="631" w:type="dxa"/>
            <w:vMerge w:val="continue"/>
            <w:tcBorders>
              <w:top w:val="nil"/>
              <w:left w:val="single" w:color="000000" w:sz="4" w:space="0"/>
              <w:bottom w:val="single" w:color="000000" w:sz="2" w:space="0"/>
              <w:right w:val="single" w:color="000000" w:sz="2" w:space="0"/>
            </w:tcBorders>
          </w:tcPr>
          <w:p>
            <w:pPr>
              <w:spacing w:after="160" w:line="259" w:lineRule="auto"/>
              <w:ind w:left="0" w:firstLine="0"/>
            </w:pPr>
          </w:p>
        </w:tc>
        <w:tc>
          <w:tcPr>
            <w:tcW w:w="1203"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c>
          <w:tcPr>
            <w:tcW w:w="1175"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c>
          <w:tcPr>
            <w:tcW w:w="1175"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c>
          <w:tcPr>
            <w:tcW w:w="1229" w:type="dxa"/>
            <w:tcBorders>
              <w:top w:val="single" w:color="000000" w:sz="2" w:space="0"/>
              <w:left w:val="single" w:color="000000" w:sz="2" w:space="0"/>
              <w:bottom w:val="single" w:color="000000" w:sz="2" w:space="0"/>
              <w:right w:val="single" w:color="000000" w:sz="2" w:space="0"/>
            </w:tcBorders>
          </w:tcPr>
          <w:p>
            <w:pPr>
              <w:spacing w:after="160" w:line="259" w:lineRule="auto"/>
              <w:ind w:left="0" w:firstLine="0"/>
            </w:pPr>
          </w:p>
        </w:tc>
        <w:tc>
          <w:tcPr>
            <w:tcW w:w="695"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c>
          <w:tcPr>
            <w:tcW w:w="695"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c>
          <w:tcPr>
            <w:tcW w:w="695"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c>
          <w:tcPr>
            <w:tcW w:w="695"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c>
          <w:tcPr>
            <w:tcW w:w="695" w:type="dxa"/>
            <w:vMerge w:val="continue"/>
            <w:tcBorders>
              <w:top w:val="nil"/>
              <w:left w:val="single" w:color="000000" w:sz="2" w:space="0"/>
              <w:bottom w:val="single" w:color="000000" w:sz="2" w:space="0"/>
              <w:right w:val="single" w:color="000000" w:sz="2" w:space="0"/>
            </w:tcBorders>
          </w:tcPr>
          <w:p>
            <w:pPr>
              <w:spacing w:after="160" w:line="259" w:lineRule="auto"/>
              <w:ind w:left="0" w:firstLine="0"/>
            </w:pPr>
          </w:p>
        </w:tc>
      </w:tr>
    </w:tbl>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区内4、5、6下号为不可采煤层，均未参与资源量估算。</w:t>
      </w:r>
    </w:p>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二、煤质</w:t>
      </w:r>
    </w:p>
    <w:p>
      <w:pPr>
        <w:adjustRightInd w:val="0"/>
        <w:snapToGrid w:val="0"/>
        <w:spacing w:line="360" w:lineRule="auto"/>
        <w:ind w:firstLine="600" w:firstLineChars="200"/>
      </w:pPr>
      <w:r>
        <w:rPr>
          <w:rFonts w:hint="eastAsia" w:ascii="仿宋" w:hAnsi="仿宋" w:eastAsia="仿宋" w:cs="仿宋"/>
          <w:sz w:val="30"/>
          <w:szCs w:val="30"/>
          <w:lang w:val="en-US" w:eastAsia="zh-CN"/>
        </w:rPr>
        <w:t>区内各计量煤层为特低灰、特低硫、高发热量的不黏煤，为动力用煤、气化用煤和民用煤。各计量煤层主要煤质特征见下表。</w:t>
      </w:r>
    </w:p>
    <w:tbl>
      <w:tblPr>
        <w:tblStyle w:val="27"/>
        <w:tblW w:w="8902" w:type="dxa"/>
        <w:tblInd w:w="-29" w:type="dxa"/>
        <w:tblLayout w:type="fixed"/>
        <w:tblCellMar>
          <w:top w:w="35" w:type="dxa"/>
          <w:left w:w="41" w:type="dxa"/>
          <w:bottom w:w="0" w:type="dxa"/>
          <w:right w:w="90" w:type="dxa"/>
        </w:tblCellMar>
      </w:tblPr>
      <w:tblGrid>
        <w:gridCol w:w="671"/>
        <w:gridCol w:w="377"/>
        <w:gridCol w:w="1358"/>
        <w:gridCol w:w="1358"/>
        <w:gridCol w:w="1358"/>
        <w:gridCol w:w="1358"/>
        <w:gridCol w:w="1358"/>
        <w:gridCol w:w="1064"/>
      </w:tblGrid>
      <w:tr>
        <w:tblPrEx>
          <w:tblLayout w:type="fixed"/>
          <w:tblCellMar>
            <w:top w:w="35" w:type="dxa"/>
            <w:left w:w="41" w:type="dxa"/>
            <w:bottom w:w="0" w:type="dxa"/>
            <w:right w:w="90" w:type="dxa"/>
          </w:tblCellMar>
        </w:tblPrEx>
        <w:trPr>
          <w:trHeight w:val="340" w:hRule="atLeast"/>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9" w:firstLine="0"/>
            </w:pPr>
            <w:r>
              <w:rPr>
                <w:sz w:val="18"/>
              </w:rPr>
              <w:t>煤层编号</w:t>
            </w:r>
          </w:p>
        </w:tc>
        <w:tc>
          <w:tcPr>
            <w:tcW w:w="377"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center"/>
            </w:pPr>
            <w:r>
              <w:rPr>
                <w:sz w:val="18"/>
              </w:rPr>
              <w:t>洗选情况</w:t>
            </w:r>
          </w:p>
        </w:tc>
        <w:tc>
          <w:tcPr>
            <w:tcW w:w="1358" w:type="dxa"/>
            <w:tcBorders>
              <w:top w:val="single" w:color="000000" w:sz="4" w:space="0"/>
              <w:left w:val="single" w:color="000000" w:sz="4" w:space="0"/>
              <w:bottom w:val="single" w:color="000000" w:sz="4" w:space="0"/>
              <w:right w:val="nil"/>
            </w:tcBorders>
          </w:tcPr>
          <w:p>
            <w:pPr>
              <w:spacing w:after="0" w:line="259" w:lineRule="auto"/>
              <w:ind w:left="419" w:firstLine="0"/>
              <w:jc w:val="center"/>
            </w:pPr>
            <w:r>
              <w:rPr>
                <w:sz w:val="18"/>
              </w:rPr>
              <w:t>工</w:t>
            </w:r>
          </w:p>
        </w:tc>
        <w:tc>
          <w:tcPr>
            <w:tcW w:w="2716" w:type="dxa"/>
            <w:gridSpan w:val="2"/>
            <w:tcBorders>
              <w:top w:val="single" w:color="000000" w:sz="4" w:space="0"/>
              <w:left w:val="nil"/>
              <w:bottom w:val="single" w:color="000000" w:sz="4" w:space="0"/>
              <w:right w:val="single" w:color="000000" w:sz="4" w:space="0"/>
            </w:tcBorders>
          </w:tcPr>
          <w:p>
            <w:pPr>
              <w:tabs>
                <w:tab w:val="center" w:pos="725"/>
                <w:tab w:val="center" w:pos="1579"/>
              </w:tabs>
              <w:spacing w:after="0" w:line="259" w:lineRule="auto"/>
              <w:ind w:left="0" w:firstLine="0"/>
            </w:pPr>
            <w:r>
              <w:rPr>
                <w:sz w:val="18"/>
              </w:rPr>
              <w:t>业</w:t>
            </w:r>
            <w:r>
              <w:rPr>
                <w:sz w:val="18"/>
              </w:rPr>
              <w:tab/>
            </w:r>
            <w:r>
              <w:rPr>
                <w:sz w:val="18"/>
              </w:rPr>
              <w:t>分</w:t>
            </w:r>
            <w:r>
              <w:rPr>
                <w:sz w:val="18"/>
              </w:rPr>
              <w:tab/>
            </w:r>
            <w:r>
              <w:rPr>
                <w:sz w:val="18"/>
              </w:rPr>
              <w:t>析（%）</w:t>
            </w:r>
          </w:p>
        </w:tc>
        <w:tc>
          <w:tcPr>
            <w:tcW w:w="1358" w:type="dxa"/>
            <w:tcBorders>
              <w:top w:val="single" w:color="000000" w:sz="4" w:space="0"/>
              <w:left w:val="single" w:color="000000" w:sz="4" w:space="0"/>
              <w:bottom w:val="single" w:color="000000" w:sz="4" w:space="0"/>
              <w:right w:val="nil"/>
            </w:tcBorders>
          </w:tcPr>
          <w:p>
            <w:pPr>
              <w:tabs>
                <w:tab w:val="right" w:pos="1227"/>
              </w:tabs>
              <w:spacing w:after="0" w:line="259" w:lineRule="auto"/>
              <w:ind w:left="0" w:firstLine="0"/>
            </w:pPr>
            <w:r>
              <w:rPr>
                <w:sz w:val="18"/>
              </w:rPr>
              <w:t>发</w:t>
            </w:r>
            <w:r>
              <w:rPr>
                <w:sz w:val="18"/>
              </w:rPr>
              <w:tab/>
            </w:r>
            <w:r>
              <w:rPr>
                <w:sz w:val="18"/>
              </w:rPr>
              <w:t>热</w:t>
            </w:r>
          </w:p>
        </w:tc>
        <w:tc>
          <w:tcPr>
            <w:tcW w:w="1358" w:type="dxa"/>
            <w:tcBorders>
              <w:top w:val="single" w:color="000000" w:sz="4" w:space="0"/>
              <w:left w:val="nil"/>
              <w:bottom w:val="single" w:color="000000" w:sz="4" w:space="0"/>
              <w:right w:val="single" w:color="000000" w:sz="4" w:space="0"/>
            </w:tcBorders>
          </w:tcPr>
          <w:p>
            <w:pPr>
              <w:spacing w:after="0" w:line="259" w:lineRule="auto"/>
              <w:ind w:left="0" w:firstLine="0"/>
            </w:pPr>
            <w:r>
              <w:rPr>
                <w:sz w:val="18"/>
              </w:rPr>
              <w:t>量（MJ/kg）</w:t>
            </w:r>
          </w:p>
        </w:tc>
        <w:tc>
          <w:tcPr>
            <w:tcW w:w="1064"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2" w:firstLine="0"/>
              <w:jc w:val="both"/>
            </w:pPr>
            <w:r>
              <w:rPr>
                <w:sz w:val="18"/>
              </w:rPr>
              <w:t>全硫（%）</w:t>
            </w:r>
          </w:p>
          <w:p>
            <w:pPr>
              <w:spacing w:after="0" w:line="259" w:lineRule="auto"/>
              <w:ind w:left="44" w:firstLine="0"/>
              <w:jc w:val="center"/>
            </w:pPr>
            <w:r>
              <w:rPr>
                <w:sz w:val="18"/>
              </w:rPr>
              <w:t>St.d</w:t>
            </w:r>
          </w:p>
        </w:tc>
      </w:tr>
      <w:tr>
        <w:tblPrEx>
          <w:tblLayout w:type="fixed"/>
          <w:tblCellMar>
            <w:top w:w="35" w:type="dxa"/>
            <w:left w:w="41" w:type="dxa"/>
            <w:bottom w:w="0" w:type="dxa"/>
            <w:right w:w="90" w:type="dxa"/>
          </w:tblCellMar>
        </w:tblPrEx>
        <w:trPr>
          <w:trHeight w:val="340" w:hRule="atLeast"/>
        </w:trPr>
        <w:tc>
          <w:tcPr>
            <w:tcW w:w="671" w:type="dxa"/>
            <w:vMerge w:val="continue"/>
            <w:tcBorders>
              <w:top w:val="nil"/>
              <w:left w:val="single" w:color="000000" w:sz="4" w:space="0"/>
              <w:bottom w:val="nil"/>
              <w:right w:val="single" w:color="000000" w:sz="4" w:space="0"/>
            </w:tcBorders>
          </w:tcPr>
          <w:p>
            <w:pPr>
              <w:spacing w:after="160" w:line="259" w:lineRule="auto"/>
              <w:ind w:left="0" w:firstLine="0"/>
            </w:pPr>
          </w:p>
        </w:tc>
        <w:tc>
          <w:tcPr>
            <w:tcW w:w="377" w:type="dxa"/>
            <w:vMerge w:val="continue"/>
            <w:tcBorders>
              <w:top w:val="nil"/>
              <w:left w:val="single" w:color="000000" w:sz="4" w:space="0"/>
              <w:bottom w:val="nil"/>
              <w:right w:val="single" w:color="000000" w:sz="4" w:space="0"/>
            </w:tcBorders>
          </w:tcPr>
          <w:p>
            <w:pPr>
              <w:spacing w:after="160" w:line="259" w:lineRule="auto"/>
              <w:ind w:left="0" w:firstLine="0"/>
            </w:pP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41" w:firstLine="0"/>
              <w:jc w:val="center"/>
            </w:pPr>
            <w:r>
              <w:rPr>
                <w:sz w:val="18"/>
              </w:rPr>
              <w:t>水分Mad</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39" w:firstLine="0"/>
              <w:jc w:val="center"/>
            </w:pPr>
            <w:r>
              <w:rPr>
                <w:sz w:val="18"/>
              </w:rPr>
              <w:t>灰分Ad</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8"/>
              </w:rPr>
              <w:t>挥发分Vdaf</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115" w:firstLine="0"/>
            </w:pPr>
            <w:r>
              <w:rPr>
                <w:sz w:val="18"/>
              </w:rPr>
              <w:t>发热量Qgr.d</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70" w:firstLine="0"/>
            </w:pPr>
            <w:r>
              <w:rPr>
                <w:sz w:val="18"/>
              </w:rPr>
              <w:t>发热量Qnet.d</w:t>
            </w:r>
          </w:p>
        </w:tc>
        <w:tc>
          <w:tcPr>
            <w:tcW w:w="1064" w:type="dxa"/>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r>
      <w:tr>
        <w:tblPrEx>
          <w:tblLayout w:type="fixed"/>
          <w:tblCellMar>
            <w:top w:w="35" w:type="dxa"/>
            <w:left w:w="41" w:type="dxa"/>
            <w:bottom w:w="0" w:type="dxa"/>
            <w:right w:w="90" w:type="dxa"/>
          </w:tblCellMar>
        </w:tblPrEx>
        <w:trPr>
          <w:trHeight w:val="510" w:hRule="atLeast"/>
        </w:trPr>
        <w:tc>
          <w:tcPr>
            <w:tcW w:w="671" w:type="dxa"/>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377" w:type="dxa"/>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u w:val="single" w:color="000000"/>
              </w:rPr>
              <w:t>最小-最大</w:t>
            </w:r>
            <w:r>
              <w:rPr>
                <w:sz w:val="18"/>
              </w:rPr>
              <w:t>平均/点数</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u w:val="single" w:color="000000"/>
              </w:rPr>
              <w:t>最小-最大</w:t>
            </w:r>
            <w:r>
              <w:rPr>
                <w:sz w:val="18"/>
              </w:rPr>
              <w:t>平均/点数</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u w:val="single" w:color="000000"/>
              </w:rPr>
              <w:t>最小-最大</w:t>
            </w:r>
            <w:r>
              <w:rPr>
                <w:sz w:val="18"/>
              </w:rPr>
              <w:t>平均/点数</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u w:val="single" w:color="000000"/>
              </w:rPr>
              <w:t>最小-最大</w:t>
            </w:r>
            <w:r>
              <w:rPr>
                <w:sz w:val="18"/>
              </w:rPr>
              <w:t>平均/点数</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u w:val="single" w:color="000000"/>
              </w:rPr>
              <w:t>最小-最大</w:t>
            </w:r>
            <w:r>
              <w:rPr>
                <w:sz w:val="18"/>
              </w:rPr>
              <w:t>平均/点数</w:t>
            </w:r>
          </w:p>
        </w:tc>
        <w:tc>
          <w:tcPr>
            <w:tcW w:w="1064"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u w:val="single" w:color="000000"/>
              </w:rPr>
              <w:t>最小-最大</w:t>
            </w:r>
            <w:r>
              <w:rPr>
                <w:sz w:val="18"/>
              </w:rPr>
              <w:t>平均/点数</w:t>
            </w:r>
          </w:p>
        </w:tc>
      </w:tr>
      <w:tr>
        <w:tblPrEx>
          <w:tblLayout w:type="fixed"/>
          <w:tblCellMar>
            <w:top w:w="35" w:type="dxa"/>
            <w:left w:w="41" w:type="dxa"/>
            <w:bottom w:w="0" w:type="dxa"/>
            <w:right w:w="90" w:type="dxa"/>
          </w:tblCellMar>
        </w:tblPrEx>
        <w:trPr>
          <w:trHeight w:val="510" w:hRule="atLeast"/>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0" w:firstLine="0"/>
              <w:jc w:val="center"/>
            </w:pPr>
            <w:r>
              <w:rPr>
                <w:sz w:val="21"/>
              </w:rPr>
              <w:t>3</w:t>
            </w:r>
          </w:p>
        </w:tc>
        <w:tc>
          <w:tcPr>
            <w:tcW w:w="37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原煤</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58" w:firstLine="0"/>
              <w:jc w:val="center"/>
            </w:pPr>
            <w:r>
              <w:rPr>
                <w:rFonts w:ascii="Times New Roman" w:hAnsi="Times New Roman" w:eastAsia="Times New Roman" w:cs="Times New Roman"/>
                <w:sz w:val="20"/>
                <w:u w:val="single" w:color="000000"/>
              </w:rPr>
              <w:t>4.92</w:t>
            </w:r>
            <w:r>
              <w:rPr>
                <w:rFonts w:ascii="仿宋" w:hAnsi="仿宋" w:eastAsia="仿宋" w:cs="仿宋"/>
                <w:sz w:val="20"/>
                <w:u w:val="single" w:color="000000"/>
              </w:rPr>
              <w:t>～</w:t>
            </w:r>
            <w:r>
              <w:rPr>
                <w:rFonts w:ascii="Times New Roman" w:hAnsi="Times New Roman" w:eastAsia="Times New Roman" w:cs="Times New Roman"/>
                <w:sz w:val="20"/>
                <w:u w:val="single" w:color="000000"/>
              </w:rPr>
              <w:t>7.11</w:t>
            </w:r>
          </w:p>
          <w:p>
            <w:pPr>
              <w:spacing w:after="0" w:line="259" w:lineRule="auto"/>
              <w:ind w:left="55" w:firstLine="0"/>
              <w:jc w:val="center"/>
            </w:pPr>
            <w:r>
              <w:rPr>
                <w:rFonts w:ascii="Times New Roman" w:hAnsi="Times New Roman" w:eastAsia="Times New Roman" w:cs="Times New Roman"/>
                <w:sz w:val="20"/>
              </w:rPr>
              <w:t>6.02(2)</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138" w:firstLine="0"/>
            </w:pPr>
            <w:r>
              <w:rPr>
                <w:rFonts w:ascii="Times New Roman" w:hAnsi="Times New Roman" w:eastAsia="Times New Roman" w:cs="Times New Roman"/>
                <w:sz w:val="20"/>
                <w:u w:val="single" w:color="000000"/>
              </w:rPr>
              <w:t>5.14</w:t>
            </w:r>
            <w:r>
              <w:rPr>
                <w:sz w:val="20"/>
                <w:u w:val="single" w:color="000000"/>
              </w:rPr>
              <w:t>～</w:t>
            </w:r>
            <w:r>
              <w:rPr>
                <w:rFonts w:ascii="Times New Roman" w:hAnsi="Times New Roman" w:eastAsia="Times New Roman" w:cs="Times New Roman"/>
                <w:sz w:val="20"/>
                <w:u w:val="single" w:color="000000"/>
              </w:rPr>
              <w:t>10.95</w:t>
            </w:r>
          </w:p>
          <w:p>
            <w:pPr>
              <w:spacing w:after="0" w:line="259" w:lineRule="auto"/>
              <w:ind w:left="49" w:firstLine="0"/>
              <w:jc w:val="center"/>
            </w:pPr>
            <w:r>
              <w:rPr>
                <w:rFonts w:ascii="Times New Roman" w:hAnsi="Times New Roman" w:eastAsia="Times New Roman" w:cs="Times New Roman"/>
                <w:sz w:val="20"/>
              </w:rPr>
              <w:t>8.05(2)</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88" w:firstLine="0"/>
            </w:pPr>
            <w:r>
              <w:rPr>
                <w:rFonts w:ascii="Times New Roman" w:hAnsi="Times New Roman" w:eastAsia="Times New Roman" w:cs="Times New Roman"/>
                <w:sz w:val="20"/>
                <w:u w:val="single" w:color="000000"/>
              </w:rPr>
              <w:t>33.44</w:t>
            </w:r>
            <w:r>
              <w:rPr>
                <w:sz w:val="20"/>
                <w:u w:val="single" w:color="000000"/>
              </w:rPr>
              <w:t>～</w:t>
            </w:r>
            <w:r>
              <w:rPr>
                <w:rFonts w:ascii="Times New Roman" w:hAnsi="Times New Roman" w:eastAsia="Times New Roman" w:cs="Times New Roman"/>
                <w:sz w:val="20"/>
                <w:u w:val="single" w:color="000000"/>
              </w:rPr>
              <w:t>35.77</w:t>
            </w:r>
          </w:p>
          <w:p>
            <w:pPr>
              <w:spacing w:after="0" w:line="259" w:lineRule="auto"/>
              <w:ind w:left="50" w:firstLine="0"/>
              <w:jc w:val="center"/>
            </w:pPr>
            <w:r>
              <w:rPr>
                <w:rFonts w:ascii="Times New Roman" w:hAnsi="Times New Roman" w:eastAsia="Times New Roman" w:cs="Times New Roman"/>
                <w:sz w:val="20"/>
              </w:rPr>
              <w:t>34.61(2)</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88" w:firstLine="0"/>
            </w:pPr>
            <w:r>
              <w:rPr>
                <w:rFonts w:ascii="Times New Roman" w:hAnsi="Times New Roman" w:eastAsia="Times New Roman" w:cs="Times New Roman"/>
                <w:sz w:val="20"/>
                <w:u w:val="single" w:color="000000"/>
              </w:rPr>
              <w:t>26.70</w:t>
            </w:r>
            <w:r>
              <w:rPr>
                <w:sz w:val="20"/>
                <w:u w:val="single" w:color="000000"/>
              </w:rPr>
              <w:t>～</w:t>
            </w:r>
            <w:r>
              <w:rPr>
                <w:rFonts w:ascii="Times New Roman" w:hAnsi="Times New Roman" w:eastAsia="Times New Roman" w:cs="Times New Roman"/>
                <w:sz w:val="20"/>
                <w:u w:val="single" w:color="000000"/>
              </w:rPr>
              <w:t>32.63</w:t>
            </w:r>
          </w:p>
          <w:p>
            <w:pPr>
              <w:spacing w:after="0" w:line="259" w:lineRule="auto"/>
              <w:ind w:left="48" w:firstLine="0"/>
              <w:jc w:val="center"/>
            </w:pPr>
            <w:r>
              <w:rPr>
                <w:rFonts w:ascii="Times New Roman" w:hAnsi="Times New Roman" w:eastAsia="Times New Roman" w:cs="Times New Roman"/>
                <w:sz w:val="20"/>
              </w:rPr>
              <w:t>29.67(2)</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89" w:firstLine="0"/>
            </w:pPr>
            <w:r>
              <w:rPr>
                <w:rFonts w:ascii="Times New Roman" w:hAnsi="Times New Roman" w:eastAsia="Times New Roman" w:cs="Times New Roman"/>
                <w:sz w:val="20"/>
                <w:u w:val="single" w:color="000000"/>
              </w:rPr>
              <w:t>26.14</w:t>
            </w:r>
            <w:r>
              <w:rPr>
                <w:sz w:val="20"/>
                <w:u w:val="single" w:color="000000"/>
              </w:rPr>
              <w:t>～</w:t>
            </w:r>
            <w:r>
              <w:rPr>
                <w:rFonts w:ascii="Times New Roman" w:hAnsi="Times New Roman" w:eastAsia="Times New Roman" w:cs="Times New Roman"/>
                <w:sz w:val="20"/>
                <w:u w:val="single" w:color="000000"/>
              </w:rPr>
              <w:t>30.19</w:t>
            </w:r>
          </w:p>
          <w:p>
            <w:pPr>
              <w:spacing w:after="0" w:line="259" w:lineRule="auto"/>
              <w:ind w:left="49" w:firstLine="0"/>
              <w:jc w:val="center"/>
            </w:pPr>
            <w:r>
              <w:rPr>
                <w:rFonts w:ascii="Times New Roman" w:hAnsi="Times New Roman" w:eastAsia="Times New Roman" w:cs="Times New Roman"/>
                <w:sz w:val="20"/>
              </w:rPr>
              <w:t>28.17(2)</w:t>
            </w:r>
          </w:p>
        </w:tc>
        <w:tc>
          <w:tcPr>
            <w:tcW w:w="1064" w:type="dxa"/>
            <w:tcBorders>
              <w:top w:val="single" w:color="000000" w:sz="4" w:space="0"/>
              <w:left w:val="single" w:color="000000" w:sz="4" w:space="0"/>
              <w:bottom w:val="single" w:color="000000" w:sz="4" w:space="0"/>
              <w:right w:val="single" w:color="000000" w:sz="4" w:space="0"/>
            </w:tcBorders>
          </w:tcPr>
          <w:p>
            <w:pPr>
              <w:spacing w:after="0" w:line="259" w:lineRule="auto"/>
              <w:ind w:left="70" w:firstLine="0"/>
            </w:pPr>
            <w:r>
              <w:rPr>
                <w:rFonts w:ascii="Times New Roman" w:hAnsi="Times New Roman" w:eastAsia="Times New Roman" w:cs="Times New Roman"/>
                <w:sz w:val="20"/>
                <w:u w:val="single" w:color="000000"/>
              </w:rPr>
              <w:t>0.28</w:t>
            </w:r>
            <w:r>
              <w:rPr>
                <w:rFonts w:ascii="仿宋" w:hAnsi="仿宋" w:eastAsia="仿宋" w:cs="仿宋"/>
                <w:sz w:val="20"/>
                <w:u w:val="single" w:color="000000"/>
              </w:rPr>
              <w:t>～</w:t>
            </w:r>
            <w:r>
              <w:rPr>
                <w:rFonts w:ascii="Times New Roman" w:hAnsi="Times New Roman" w:eastAsia="Times New Roman" w:cs="Times New Roman"/>
                <w:sz w:val="20"/>
                <w:u w:val="single" w:color="000000"/>
              </w:rPr>
              <w:t>0.28</w:t>
            </w:r>
          </w:p>
          <w:p>
            <w:pPr>
              <w:spacing w:after="0" w:line="259" w:lineRule="auto"/>
              <w:ind w:left="56" w:firstLine="0"/>
              <w:jc w:val="center"/>
            </w:pPr>
            <w:r>
              <w:rPr>
                <w:rFonts w:ascii="Times New Roman" w:hAnsi="Times New Roman" w:eastAsia="Times New Roman" w:cs="Times New Roman"/>
                <w:sz w:val="20"/>
              </w:rPr>
              <w:t>0.28 (1)</w:t>
            </w:r>
          </w:p>
        </w:tc>
      </w:tr>
      <w:tr>
        <w:tblPrEx>
          <w:tblLayout w:type="fixed"/>
          <w:tblCellMar>
            <w:top w:w="35" w:type="dxa"/>
            <w:left w:w="41" w:type="dxa"/>
            <w:bottom w:w="0" w:type="dxa"/>
            <w:right w:w="90" w:type="dxa"/>
          </w:tblCellMar>
        </w:tblPrEx>
        <w:trPr>
          <w:trHeight w:val="510" w:hRule="atLeast"/>
        </w:trPr>
        <w:tc>
          <w:tcPr>
            <w:tcW w:w="671" w:type="dxa"/>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37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浮煤</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123" w:firstLine="0"/>
            </w:pPr>
            <w:r>
              <w:rPr>
                <w:rFonts w:ascii="Times New Roman" w:hAnsi="Times New Roman" w:eastAsia="Times New Roman" w:cs="Times New Roman"/>
                <w:sz w:val="20"/>
                <w:u w:val="single" w:color="000000"/>
              </w:rPr>
              <w:t>10.28</w:t>
            </w:r>
            <w:r>
              <w:rPr>
                <w:rFonts w:ascii="仿宋" w:hAnsi="仿宋" w:eastAsia="仿宋" w:cs="仿宋"/>
                <w:sz w:val="20"/>
                <w:u w:val="single" w:color="000000"/>
              </w:rPr>
              <w:t>～</w:t>
            </w:r>
            <w:r>
              <w:rPr>
                <w:rFonts w:ascii="Times New Roman" w:hAnsi="Times New Roman" w:eastAsia="Times New Roman" w:cs="Times New Roman"/>
                <w:sz w:val="20"/>
                <w:u w:val="single" w:color="000000"/>
              </w:rPr>
              <w:t>16.05</w:t>
            </w:r>
          </w:p>
          <w:p>
            <w:pPr>
              <w:spacing w:after="0" w:line="259" w:lineRule="auto"/>
              <w:ind w:left="53" w:firstLine="0"/>
              <w:jc w:val="center"/>
            </w:pPr>
            <w:r>
              <w:rPr>
                <w:rFonts w:ascii="Times New Roman" w:hAnsi="Times New Roman" w:eastAsia="Times New Roman" w:cs="Times New Roman"/>
                <w:sz w:val="20"/>
              </w:rPr>
              <w:t>13.17(2)</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51" w:firstLine="0"/>
              <w:jc w:val="center"/>
            </w:pPr>
            <w:r>
              <w:rPr>
                <w:rFonts w:ascii="Times New Roman" w:hAnsi="Times New Roman" w:eastAsia="Times New Roman" w:cs="Times New Roman"/>
                <w:sz w:val="20"/>
                <w:u w:val="single" w:color="000000"/>
              </w:rPr>
              <w:t>4.30</w:t>
            </w:r>
            <w:r>
              <w:rPr>
                <w:sz w:val="20"/>
                <w:u w:val="single" w:color="000000"/>
              </w:rPr>
              <w:t>～</w:t>
            </w:r>
            <w:r>
              <w:rPr>
                <w:rFonts w:ascii="Times New Roman" w:hAnsi="Times New Roman" w:eastAsia="Times New Roman" w:cs="Times New Roman"/>
                <w:sz w:val="20"/>
                <w:u w:val="single" w:color="000000"/>
              </w:rPr>
              <w:t>4.50</w:t>
            </w:r>
          </w:p>
          <w:p>
            <w:pPr>
              <w:spacing w:after="0" w:line="259" w:lineRule="auto"/>
              <w:ind w:left="49" w:firstLine="0"/>
              <w:jc w:val="center"/>
            </w:pPr>
            <w:r>
              <w:rPr>
                <w:rFonts w:ascii="Times New Roman" w:hAnsi="Times New Roman" w:eastAsia="Times New Roman" w:cs="Times New Roman"/>
                <w:sz w:val="20"/>
              </w:rPr>
              <w:t>4.40(2)</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88" w:firstLine="0"/>
            </w:pPr>
            <w:r>
              <w:rPr>
                <w:rFonts w:ascii="Times New Roman" w:hAnsi="Times New Roman" w:eastAsia="Times New Roman" w:cs="Times New Roman"/>
                <w:sz w:val="20"/>
                <w:u w:val="single" w:color="000000"/>
              </w:rPr>
              <w:t>33.31</w:t>
            </w:r>
            <w:r>
              <w:rPr>
                <w:sz w:val="20"/>
                <w:u w:val="single" w:color="000000"/>
              </w:rPr>
              <w:t>～</w:t>
            </w:r>
            <w:r>
              <w:rPr>
                <w:rFonts w:ascii="Times New Roman" w:hAnsi="Times New Roman" w:eastAsia="Times New Roman" w:cs="Times New Roman"/>
                <w:sz w:val="20"/>
                <w:u w:val="single" w:color="000000"/>
              </w:rPr>
              <w:t>32.75</w:t>
            </w:r>
          </w:p>
          <w:p>
            <w:pPr>
              <w:spacing w:after="0" w:line="259" w:lineRule="auto"/>
              <w:ind w:left="50" w:firstLine="0"/>
              <w:jc w:val="center"/>
            </w:pPr>
            <w:r>
              <w:rPr>
                <w:rFonts w:ascii="Times New Roman" w:hAnsi="Times New Roman" w:eastAsia="Times New Roman" w:cs="Times New Roman"/>
                <w:sz w:val="20"/>
              </w:rPr>
              <w:t>33.03(2)</w:t>
            </w:r>
          </w:p>
        </w:tc>
        <w:tc>
          <w:tcPr>
            <w:tcW w:w="135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47" w:firstLine="0"/>
              <w:jc w:val="center"/>
            </w:pPr>
            <w:r>
              <w:rPr>
                <w:sz w:val="20"/>
              </w:rPr>
              <w:t>—</w:t>
            </w:r>
          </w:p>
        </w:tc>
        <w:tc>
          <w:tcPr>
            <w:tcW w:w="135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47" w:firstLine="0"/>
              <w:jc w:val="center"/>
            </w:pPr>
            <w:r>
              <w:rPr>
                <w:sz w:val="20"/>
              </w:rPr>
              <w:t>—</w:t>
            </w:r>
          </w:p>
        </w:tc>
        <w:tc>
          <w:tcPr>
            <w:tcW w:w="1064" w:type="dxa"/>
            <w:tcBorders>
              <w:top w:val="single" w:color="000000" w:sz="4" w:space="0"/>
              <w:left w:val="single" w:color="000000" w:sz="4" w:space="0"/>
              <w:bottom w:val="single" w:color="000000" w:sz="4" w:space="0"/>
              <w:right w:val="single" w:color="000000" w:sz="4" w:space="0"/>
            </w:tcBorders>
          </w:tcPr>
          <w:p>
            <w:pPr>
              <w:spacing w:after="0" w:line="259" w:lineRule="auto"/>
              <w:ind w:left="70" w:firstLine="0"/>
            </w:pPr>
            <w:r>
              <w:rPr>
                <w:rFonts w:ascii="Times New Roman" w:hAnsi="Times New Roman" w:eastAsia="Times New Roman" w:cs="Times New Roman"/>
                <w:sz w:val="20"/>
                <w:u w:val="single" w:color="000000"/>
              </w:rPr>
              <w:t>0.21</w:t>
            </w:r>
            <w:r>
              <w:rPr>
                <w:rFonts w:ascii="仿宋" w:hAnsi="仿宋" w:eastAsia="仿宋" w:cs="仿宋"/>
                <w:sz w:val="20"/>
                <w:u w:val="single" w:color="000000"/>
              </w:rPr>
              <w:t>～</w:t>
            </w:r>
            <w:r>
              <w:rPr>
                <w:rFonts w:ascii="Times New Roman" w:hAnsi="Times New Roman" w:eastAsia="Times New Roman" w:cs="Times New Roman"/>
                <w:sz w:val="20"/>
                <w:u w:val="single" w:color="000000"/>
              </w:rPr>
              <w:t>0.21</w:t>
            </w:r>
          </w:p>
          <w:p>
            <w:pPr>
              <w:spacing w:after="0" w:line="259" w:lineRule="auto"/>
              <w:ind w:left="56" w:firstLine="0"/>
              <w:jc w:val="center"/>
            </w:pPr>
            <w:r>
              <w:rPr>
                <w:rFonts w:ascii="Times New Roman" w:hAnsi="Times New Roman" w:eastAsia="Times New Roman" w:cs="Times New Roman"/>
                <w:sz w:val="20"/>
              </w:rPr>
              <w:t>0.21(1)</w:t>
            </w:r>
          </w:p>
        </w:tc>
      </w:tr>
      <w:tr>
        <w:tblPrEx>
          <w:tblLayout w:type="fixed"/>
          <w:tblCellMar>
            <w:top w:w="35" w:type="dxa"/>
            <w:left w:w="41" w:type="dxa"/>
            <w:bottom w:w="0" w:type="dxa"/>
            <w:right w:w="90" w:type="dxa"/>
          </w:tblCellMar>
        </w:tblPrEx>
        <w:trPr>
          <w:trHeight w:val="510" w:hRule="atLeast"/>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0" w:firstLine="0"/>
              <w:jc w:val="center"/>
            </w:pPr>
            <w:r>
              <w:rPr>
                <w:sz w:val="21"/>
              </w:rPr>
              <w:t>6</w:t>
            </w:r>
          </w:p>
        </w:tc>
        <w:tc>
          <w:tcPr>
            <w:tcW w:w="37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原煤</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58" w:firstLine="0"/>
              <w:jc w:val="center"/>
            </w:pPr>
            <w:r>
              <w:rPr>
                <w:rFonts w:ascii="Times New Roman" w:hAnsi="Times New Roman" w:eastAsia="Times New Roman" w:cs="Times New Roman"/>
                <w:sz w:val="20"/>
                <w:u w:val="single" w:color="000000"/>
              </w:rPr>
              <w:t>4.03</w:t>
            </w:r>
            <w:r>
              <w:rPr>
                <w:rFonts w:ascii="仿宋" w:hAnsi="仿宋" w:eastAsia="仿宋" w:cs="仿宋"/>
                <w:sz w:val="20"/>
                <w:u w:val="single" w:color="000000"/>
              </w:rPr>
              <w:t>～</w:t>
            </w:r>
            <w:r>
              <w:rPr>
                <w:rFonts w:ascii="Times New Roman" w:hAnsi="Times New Roman" w:eastAsia="Times New Roman" w:cs="Times New Roman"/>
                <w:sz w:val="20"/>
                <w:u w:val="single" w:color="000000"/>
              </w:rPr>
              <w:t>8.72</w:t>
            </w:r>
          </w:p>
          <w:p>
            <w:pPr>
              <w:spacing w:after="0" w:line="259" w:lineRule="auto"/>
              <w:ind w:left="55" w:firstLine="0"/>
              <w:jc w:val="center"/>
            </w:pPr>
            <w:r>
              <w:rPr>
                <w:rFonts w:ascii="Times New Roman" w:hAnsi="Times New Roman" w:eastAsia="Times New Roman" w:cs="Times New Roman"/>
                <w:sz w:val="20"/>
              </w:rPr>
              <w:t>5.50(5)</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138" w:firstLine="0"/>
            </w:pPr>
            <w:r>
              <w:rPr>
                <w:rFonts w:ascii="Times New Roman" w:hAnsi="Times New Roman" w:eastAsia="Times New Roman" w:cs="Times New Roman"/>
                <w:sz w:val="20"/>
                <w:u w:val="single" w:color="000000"/>
              </w:rPr>
              <w:t>5.17</w:t>
            </w:r>
            <w:r>
              <w:rPr>
                <w:sz w:val="20"/>
                <w:u w:val="single" w:color="000000"/>
              </w:rPr>
              <w:t>～</w:t>
            </w:r>
            <w:r>
              <w:rPr>
                <w:rFonts w:ascii="Times New Roman" w:hAnsi="Times New Roman" w:eastAsia="Times New Roman" w:cs="Times New Roman"/>
                <w:sz w:val="20"/>
                <w:u w:val="single" w:color="000000"/>
              </w:rPr>
              <w:t>13.07</w:t>
            </w:r>
          </w:p>
          <w:p>
            <w:pPr>
              <w:spacing w:after="0" w:line="259" w:lineRule="auto"/>
              <w:ind w:left="49" w:firstLine="0"/>
              <w:jc w:val="center"/>
            </w:pPr>
            <w:r>
              <w:rPr>
                <w:rFonts w:ascii="Times New Roman" w:hAnsi="Times New Roman" w:eastAsia="Times New Roman" w:cs="Times New Roman"/>
                <w:sz w:val="20"/>
              </w:rPr>
              <w:t>9.37(5)</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88" w:firstLine="0"/>
            </w:pPr>
            <w:r>
              <w:rPr>
                <w:rFonts w:ascii="Times New Roman" w:hAnsi="Times New Roman" w:eastAsia="Times New Roman" w:cs="Times New Roman"/>
                <w:sz w:val="20"/>
                <w:u w:val="single" w:color="000000"/>
              </w:rPr>
              <w:t>32.08</w:t>
            </w:r>
            <w:r>
              <w:rPr>
                <w:sz w:val="20"/>
                <w:u w:val="single" w:color="000000"/>
              </w:rPr>
              <w:t>～</w:t>
            </w:r>
            <w:r>
              <w:rPr>
                <w:rFonts w:ascii="Times New Roman" w:hAnsi="Times New Roman" w:eastAsia="Times New Roman" w:cs="Times New Roman"/>
                <w:sz w:val="20"/>
                <w:u w:val="single" w:color="000000"/>
              </w:rPr>
              <w:t>35.96</w:t>
            </w:r>
          </w:p>
          <w:p>
            <w:pPr>
              <w:spacing w:after="0" w:line="259" w:lineRule="auto"/>
              <w:ind w:left="50" w:firstLine="0"/>
              <w:jc w:val="center"/>
            </w:pPr>
            <w:r>
              <w:rPr>
                <w:rFonts w:ascii="Times New Roman" w:hAnsi="Times New Roman" w:eastAsia="Times New Roman" w:cs="Times New Roman"/>
                <w:sz w:val="20"/>
              </w:rPr>
              <w:t>34.07(5)</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88" w:firstLine="0"/>
            </w:pPr>
            <w:r>
              <w:rPr>
                <w:rFonts w:ascii="Times New Roman" w:hAnsi="Times New Roman" w:eastAsia="Times New Roman" w:cs="Times New Roman"/>
                <w:sz w:val="20"/>
                <w:u w:val="single" w:color="000000"/>
              </w:rPr>
              <w:t>28.12</w:t>
            </w:r>
            <w:r>
              <w:rPr>
                <w:sz w:val="20"/>
                <w:u w:val="single" w:color="000000"/>
              </w:rPr>
              <w:t>～</w:t>
            </w:r>
            <w:r>
              <w:rPr>
                <w:rFonts w:ascii="Times New Roman" w:hAnsi="Times New Roman" w:eastAsia="Times New Roman" w:cs="Times New Roman"/>
                <w:sz w:val="20"/>
                <w:u w:val="single" w:color="000000"/>
              </w:rPr>
              <w:t>33.81</w:t>
            </w:r>
          </w:p>
          <w:p>
            <w:pPr>
              <w:spacing w:after="0" w:line="259" w:lineRule="auto"/>
              <w:ind w:left="48" w:firstLine="0"/>
              <w:jc w:val="center"/>
            </w:pPr>
            <w:r>
              <w:rPr>
                <w:rFonts w:ascii="Times New Roman" w:hAnsi="Times New Roman" w:eastAsia="Times New Roman" w:cs="Times New Roman"/>
                <w:sz w:val="20"/>
              </w:rPr>
              <w:t>30.05(5)</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89" w:firstLine="0"/>
            </w:pPr>
            <w:r>
              <w:rPr>
                <w:rFonts w:ascii="Times New Roman" w:hAnsi="Times New Roman" w:eastAsia="Times New Roman" w:cs="Times New Roman"/>
                <w:sz w:val="20"/>
                <w:u w:val="single" w:color="000000"/>
              </w:rPr>
              <w:t>27.66</w:t>
            </w:r>
            <w:r>
              <w:rPr>
                <w:sz w:val="20"/>
                <w:u w:val="single" w:color="000000"/>
              </w:rPr>
              <w:t>～</w:t>
            </w:r>
            <w:r>
              <w:rPr>
                <w:rFonts w:ascii="Times New Roman" w:hAnsi="Times New Roman" w:eastAsia="Times New Roman" w:cs="Times New Roman"/>
                <w:sz w:val="20"/>
                <w:u w:val="single" w:color="000000"/>
              </w:rPr>
              <w:t>30.08</w:t>
            </w:r>
          </w:p>
          <w:p>
            <w:pPr>
              <w:spacing w:after="0" w:line="259" w:lineRule="auto"/>
              <w:ind w:left="49" w:firstLine="0"/>
              <w:jc w:val="center"/>
            </w:pPr>
            <w:r>
              <w:rPr>
                <w:rFonts w:ascii="Times New Roman" w:hAnsi="Times New Roman" w:eastAsia="Times New Roman" w:cs="Times New Roman"/>
                <w:sz w:val="20"/>
              </w:rPr>
              <w:t>28.71(5)</w:t>
            </w:r>
          </w:p>
        </w:tc>
        <w:tc>
          <w:tcPr>
            <w:tcW w:w="1064"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rFonts w:ascii="Times New Roman" w:hAnsi="Times New Roman" w:eastAsia="Times New Roman" w:cs="Times New Roman"/>
                <w:sz w:val="20"/>
                <w:u w:val="single" w:color="000000"/>
              </w:rPr>
              <w:t>0.24</w:t>
            </w:r>
            <w:r>
              <w:rPr>
                <w:rFonts w:ascii="仿宋" w:hAnsi="仿宋" w:eastAsia="仿宋" w:cs="仿宋"/>
                <w:sz w:val="20"/>
                <w:u w:val="single" w:color="000000"/>
              </w:rPr>
              <w:t>～</w:t>
            </w:r>
            <w:r>
              <w:rPr>
                <w:rFonts w:ascii="Times New Roman" w:hAnsi="Times New Roman" w:eastAsia="Times New Roman" w:cs="Times New Roman"/>
                <w:sz w:val="20"/>
                <w:u w:val="single" w:color="000000"/>
              </w:rPr>
              <w:t xml:space="preserve">0.36 </w:t>
            </w:r>
            <w:r>
              <w:rPr>
                <w:rFonts w:ascii="Times New Roman" w:hAnsi="Times New Roman" w:eastAsia="Times New Roman" w:cs="Times New Roman"/>
                <w:sz w:val="20"/>
              </w:rPr>
              <w:t>031(3)</w:t>
            </w:r>
          </w:p>
        </w:tc>
      </w:tr>
      <w:tr>
        <w:tblPrEx>
          <w:tblLayout w:type="fixed"/>
          <w:tblCellMar>
            <w:top w:w="35" w:type="dxa"/>
            <w:left w:w="41" w:type="dxa"/>
            <w:bottom w:w="0" w:type="dxa"/>
            <w:right w:w="90" w:type="dxa"/>
          </w:tblCellMar>
        </w:tblPrEx>
        <w:trPr>
          <w:trHeight w:val="510" w:hRule="atLeast"/>
        </w:trPr>
        <w:tc>
          <w:tcPr>
            <w:tcW w:w="671" w:type="dxa"/>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37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浮煤</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57" w:firstLine="0"/>
              <w:jc w:val="center"/>
            </w:pPr>
            <w:r>
              <w:rPr>
                <w:rFonts w:ascii="Times New Roman" w:hAnsi="Times New Roman" w:eastAsia="Times New Roman" w:cs="Times New Roman"/>
                <w:sz w:val="20"/>
                <w:u w:val="single" w:color="000000"/>
              </w:rPr>
              <w:t>7.59</w:t>
            </w:r>
            <w:r>
              <w:rPr>
                <w:rFonts w:ascii="仿宋" w:hAnsi="仿宋" w:eastAsia="仿宋" w:cs="仿宋"/>
                <w:sz w:val="20"/>
                <w:u w:val="single" w:color="000000"/>
              </w:rPr>
              <w:t>～</w:t>
            </w:r>
            <w:r>
              <w:rPr>
                <w:rFonts w:ascii="Times New Roman" w:hAnsi="Times New Roman" w:eastAsia="Times New Roman" w:cs="Times New Roman"/>
                <w:sz w:val="20"/>
                <w:u w:val="single" w:color="000000"/>
              </w:rPr>
              <w:t>10.78</w:t>
            </w:r>
          </w:p>
          <w:p>
            <w:pPr>
              <w:spacing w:after="0" w:line="259" w:lineRule="auto"/>
              <w:ind w:left="55" w:firstLine="0"/>
              <w:jc w:val="center"/>
            </w:pPr>
            <w:r>
              <w:rPr>
                <w:rFonts w:ascii="Times New Roman" w:hAnsi="Times New Roman" w:eastAsia="Times New Roman" w:cs="Times New Roman"/>
                <w:sz w:val="20"/>
              </w:rPr>
              <w:t>9.04(5)</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49" w:firstLine="0"/>
              <w:jc w:val="center"/>
            </w:pPr>
            <w:r>
              <w:rPr>
                <w:rFonts w:ascii="Times New Roman" w:hAnsi="Times New Roman" w:eastAsia="Times New Roman" w:cs="Times New Roman"/>
                <w:sz w:val="20"/>
                <w:u w:val="single" w:color="000000"/>
              </w:rPr>
              <w:t>3.48</w:t>
            </w:r>
            <w:r>
              <w:rPr>
                <w:sz w:val="20"/>
                <w:u w:val="single" w:color="000000"/>
              </w:rPr>
              <w:t>～</w:t>
            </w:r>
            <w:r>
              <w:rPr>
                <w:rFonts w:ascii="Times New Roman" w:hAnsi="Times New Roman" w:eastAsia="Times New Roman" w:cs="Times New Roman"/>
                <w:sz w:val="20"/>
                <w:u w:val="single" w:color="000000"/>
              </w:rPr>
              <w:t>4.96</w:t>
            </w:r>
          </w:p>
          <w:p>
            <w:pPr>
              <w:spacing w:after="0" w:line="259" w:lineRule="auto"/>
              <w:ind w:left="49" w:firstLine="0"/>
              <w:jc w:val="center"/>
            </w:pPr>
            <w:r>
              <w:rPr>
                <w:rFonts w:ascii="Times New Roman" w:hAnsi="Times New Roman" w:eastAsia="Times New Roman" w:cs="Times New Roman"/>
                <w:sz w:val="20"/>
              </w:rPr>
              <w:t>4.06(5)</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88" w:firstLine="0"/>
            </w:pPr>
            <w:r>
              <w:rPr>
                <w:rFonts w:ascii="Times New Roman" w:hAnsi="Times New Roman" w:eastAsia="Times New Roman" w:cs="Times New Roman"/>
                <w:sz w:val="20"/>
                <w:u w:val="single" w:color="000000"/>
              </w:rPr>
              <w:t>32.21</w:t>
            </w:r>
            <w:r>
              <w:rPr>
                <w:sz w:val="20"/>
                <w:u w:val="single" w:color="000000"/>
              </w:rPr>
              <w:t>～</w:t>
            </w:r>
            <w:r>
              <w:rPr>
                <w:rFonts w:ascii="Times New Roman" w:hAnsi="Times New Roman" w:eastAsia="Times New Roman" w:cs="Times New Roman"/>
                <w:sz w:val="20"/>
                <w:u w:val="single" w:color="000000"/>
              </w:rPr>
              <w:t>35.62</w:t>
            </w:r>
          </w:p>
          <w:p>
            <w:pPr>
              <w:spacing w:after="0" w:line="259" w:lineRule="auto"/>
              <w:ind w:left="50" w:firstLine="0"/>
              <w:jc w:val="center"/>
            </w:pPr>
            <w:r>
              <w:rPr>
                <w:rFonts w:ascii="Times New Roman" w:hAnsi="Times New Roman" w:eastAsia="Times New Roman" w:cs="Times New Roman"/>
                <w:sz w:val="20"/>
              </w:rPr>
              <w:t>34.19(5)</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88" w:firstLine="0"/>
            </w:pPr>
            <w:r>
              <w:rPr>
                <w:rFonts w:ascii="Times New Roman" w:hAnsi="Times New Roman" w:eastAsia="Times New Roman" w:cs="Times New Roman"/>
                <w:sz w:val="20"/>
                <w:u w:val="single" w:color="000000"/>
              </w:rPr>
              <w:t>30.43</w:t>
            </w:r>
            <w:r>
              <w:rPr>
                <w:sz w:val="20"/>
                <w:u w:val="single" w:color="000000"/>
              </w:rPr>
              <w:t>～</w:t>
            </w:r>
            <w:r>
              <w:rPr>
                <w:rFonts w:ascii="Times New Roman" w:hAnsi="Times New Roman" w:eastAsia="Times New Roman" w:cs="Times New Roman"/>
                <w:sz w:val="20"/>
                <w:u w:val="single" w:color="000000"/>
              </w:rPr>
              <w:t>31.82</w:t>
            </w:r>
          </w:p>
          <w:p>
            <w:pPr>
              <w:spacing w:after="0" w:line="259" w:lineRule="auto"/>
              <w:ind w:left="48" w:firstLine="0"/>
              <w:jc w:val="center"/>
            </w:pPr>
            <w:r>
              <w:rPr>
                <w:rFonts w:ascii="Times New Roman" w:hAnsi="Times New Roman" w:eastAsia="Times New Roman" w:cs="Times New Roman"/>
                <w:sz w:val="20"/>
              </w:rPr>
              <w:t>31.08(2)</w:t>
            </w:r>
          </w:p>
        </w:tc>
        <w:tc>
          <w:tcPr>
            <w:tcW w:w="1358" w:type="dxa"/>
            <w:tcBorders>
              <w:top w:val="single" w:color="000000" w:sz="4" w:space="0"/>
              <w:left w:val="single" w:color="000000" w:sz="4" w:space="0"/>
              <w:bottom w:val="single" w:color="000000" w:sz="4" w:space="0"/>
              <w:right w:val="single" w:color="000000" w:sz="4" w:space="0"/>
            </w:tcBorders>
          </w:tcPr>
          <w:p>
            <w:pPr>
              <w:spacing w:after="0" w:line="259" w:lineRule="auto"/>
              <w:ind w:left="89" w:firstLine="0"/>
            </w:pPr>
            <w:r>
              <w:rPr>
                <w:rFonts w:ascii="Times New Roman" w:hAnsi="Times New Roman" w:eastAsia="Times New Roman" w:cs="Times New Roman"/>
                <w:sz w:val="20"/>
                <w:u w:val="single" w:color="000000"/>
              </w:rPr>
              <w:t>30.41</w:t>
            </w:r>
            <w:r>
              <w:rPr>
                <w:sz w:val="20"/>
                <w:u w:val="single" w:color="000000"/>
              </w:rPr>
              <w:t>～</w:t>
            </w:r>
            <w:r>
              <w:rPr>
                <w:rFonts w:ascii="Times New Roman" w:hAnsi="Times New Roman" w:eastAsia="Times New Roman" w:cs="Times New Roman"/>
                <w:sz w:val="20"/>
                <w:u w:val="single" w:color="000000"/>
              </w:rPr>
              <w:t>30.79</w:t>
            </w:r>
          </w:p>
          <w:p>
            <w:pPr>
              <w:spacing w:after="0" w:line="259" w:lineRule="auto"/>
              <w:ind w:left="49" w:firstLine="0"/>
              <w:jc w:val="center"/>
            </w:pPr>
            <w:r>
              <w:rPr>
                <w:rFonts w:ascii="Times New Roman" w:hAnsi="Times New Roman" w:eastAsia="Times New Roman" w:cs="Times New Roman"/>
                <w:sz w:val="20"/>
              </w:rPr>
              <w:t>30.60(2)</w:t>
            </w:r>
          </w:p>
        </w:tc>
        <w:tc>
          <w:tcPr>
            <w:tcW w:w="1064" w:type="dxa"/>
            <w:tcBorders>
              <w:top w:val="single" w:color="000000" w:sz="4" w:space="0"/>
              <w:left w:val="single" w:color="000000" w:sz="4" w:space="0"/>
              <w:bottom w:val="single" w:color="000000" w:sz="4" w:space="0"/>
              <w:right w:val="single" w:color="000000" w:sz="4" w:space="0"/>
            </w:tcBorders>
          </w:tcPr>
          <w:p>
            <w:pPr>
              <w:spacing w:after="0" w:line="259" w:lineRule="auto"/>
              <w:ind w:left="70" w:firstLine="0"/>
            </w:pPr>
            <w:r>
              <w:rPr>
                <w:rFonts w:ascii="Times New Roman" w:hAnsi="Times New Roman" w:eastAsia="Times New Roman" w:cs="Times New Roman"/>
                <w:sz w:val="20"/>
                <w:u w:val="single" w:color="000000"/>
              </w:rPr>
              <w:t>0.33</w:t>
            </w:r>
            <w:r>
              <w:rPr>
                <w:rFonts w:ascii="仿宋" w:hAnsi="仿宋" w:eastAsia="仿宋" w:cs="仿宋"/>
                <w:sz w:val="20"/>
                <w:u w:val="single" w:color="000000"/>
              </w:rPr>
              <w:t>～</w:t>
            </w:r>
            <w:r>
              <w:rPr>
                <w:rFonts w:ascii="Times New Roman" w:hAnsi="Times New Roman" w:eastAsia="Times New Roman" w:cs="Times New Roman"/>
                <w:sz w:val="20"/>
                <w:u w:val="single" w:color="000000"/>
              </w:rPr>
              <w:t>0.49</w:t>
            </w:r>
          </w:p>
          <w:p>
            <w:pPr>
              <w:spacing w:after="0" w:line="259" w:lineRule="auto"/>
              <w:ind w:left="61" w:firstLine="0"/>
              <w:jc w:val="center"/>
            </w:pPr>
            <w:r>
              <w:rPr>
                <w:rFonts w:ascii="Times New Roman" w:hAnsi="Times New Roman" w:eastAsia="Times New Roman" w:cs="Times New Roman"/>
                <w:sz w:val="20"/>
              </w:rPr>
              <w:t>0.40(3)</w:t>
            </w:r>
          </w:p>
        </w:tc>
      </w:tr>
    </w:tbl>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3、其他有益矿产：煤层气及其他有益矿产均无工业利用价值。</w:t>
      </w:r>
    </w:p>
    <w:p>
      <w:pPr>
        <w:spacing w:line="560" w:lineRule="exact"/>
        <w:rPr>
          <w:rFonts w:ascii="仿宋" w:hAnsi="仿宋" w:eastAsia="仿宋" w:cs="仿宋"/>
          <w:b/>
          <w:bCs/>
          <w:sz w:val="30"/>
          <w:szCs w:val="30"/>
        </w:rPr>
      </w:pP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、资源储量</w:t>
      </w:r>
    </w:p>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本次资源量估算的核实区估算面积为2.86km2，估算的总资源量为686万吨。</w:t>
      </w:r>
      <w:bookmarkStart w:id="0" w:name="RANGE!A2"/>
      <w:bookmarkEnd w:id="0"/>
    </w:p>
    <w:p>
      <w:pPr>
        <w:spacing w:line="560" w:lineRule="exact"/>
        <w:rPr>
          <w:rFonts w:ascii="仿宋" w:hAnsi="仿宋" w:eastAsia="仿宋" w:cs="仿宋"/>
          <w:b/>
          <w:bCs/>
          <w:sz w:val="30"/>
          <w:szCs w:val="30"/>
        </w:rPr>
      </w:pP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、工作程度</w:t>
      </w:r>
    </w:p>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经过对以往地质资料的综合分析，确定核实区的勘查程度为详查。</w:t>
      </w:r>
    </w:p>
    <w:p>
      <w:pPr>
        <w:spacing w:line="560" w:lineRule="exact"/>
        <w:rPr>
          <w:rFonts w:ascii="仿宋" w:hAnsi="仿宋" w:eastAsia="仿宋" w:cs="仿宋"/>
          <w:b/>
          <w:bCs/>
          <w:sz w:val="30"/>
          <w:szCs w:val="30"/>
        </w:rPr>
      </w:pP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、有关说明</w:t>
      </w:r>
    </w:p>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（一）区内目前无煤层气评价方面的专门工程，煤层气评述依据不够直接、充分，望后续工作中加强这些方面的工作。</w:t>
      </w:r>
    </w:p>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（二）区内东北部的 3 号煤层有自燃现象存在，火烧区边界确定依据不足，控制程度较差，望后续相关单位引起重视，以免造成浪费。</w:t>
      </w:r>
    </w:p>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（三）区内各可采煤层均有煤尘爆炸的危险性、煤层自燃的可能性，虽瓦斯含量较低，但不排除局部聚集的可能性，望相关部门引起注意。</w:t>
      </w:r>
    </w:p>
    <w:p>
      <w:pPr>
        <w:adjustRightInd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（四）核实区及周边生态环境脆弱，水土流失较为严重，望后续勘查单</w:t>
      </w:r>
      <w:bookmarkStart w:id="1" w:name="_GoBack"/>
      <w:bookmarkEnd w:id="1"/>
      <w:r>
        <w:rPr>
          <w:rFonts w:hint="eastAsia" w:ascii="仿宋" w:hAnsi="仿宋" w:eastAsia="仿宋" w:cs="仿宋"/>
          <w:sz w:val="30"/>
          <w:szCs w:val="30"/>
          <w:lang w:val="en-US" w:eastAsia="zh-CN"/>
        </w:rPr>
        <w:t>位及采煤生产单位加强环境保护意识，做到绿色矿山建设。</w:t>
      </w:r>
    </w:p>
    <w:p>
      <w:pPr>
        <w:tabs>
          <w:tab w:val="left" w:pos="2783"/>
        </w:tabs>
        <w:spacing w:line="560" w:lineRule="exact"/>
        <w:rPr>
          <w:rFonts w:hint="eastAsia" w:ascii="宋体" w:hAnsi="宋体"/>
          <w:sz w:val="28"/>
          <w:szCs w:val="28"/>
        </w:rPr>
      </w:pPr>
    </w:p>
    <w:p>
      <w:pPr>
        <w:spacing w:line="560" w:lineRule="exact"/>
        <w:ind w:firstLine="600" w:firstLineChars="200"/>
        <w:rPr>
          <w:rFonts w:ascii="仿宋" w:hAnsi="仿宋" w:eastAsia="仿宋" w:cs="仿宋"/>
          <w:sz w:val="30"/>
          <w:szCs w:val="30"/>
        </w:rPr>
      </w:pPr>
    </w:p>
    <w:p>
      <w:pPr>
        <w:spacing w:line="560" w:lineRule="exact"/>
        <w:ind w:firstLine="600" w:firstLineChars="200"/>
        <w:rPr>
          <w:rFonts w:ascii="仿宋" w:hAnsi="仿宋" w:eastAsia="仿宋" w:cs="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4</w:t>
    </w:r>
    <w:r>
      <w:rPr>
        <w:lang w:val="zh-CN"/>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50C52"/>
    <w:rsid w:val="00087B56"/>
    <w:rsid w:val="000A1F31"/>
    <w:rsid w:val="000B1DAB"/>
    <w:rsid w:val="000B4689"/>
    <w:rsid w:val="001216B5"/>
    <w:rsid w:val="00172A27"/>
    <w:rsid w:val="00187A63"/>
    <w:rsid w:val="002431F1"/>
    <w:rsid w:val="002476D8"/>
    <w:rsid w:val="002D5942"/>
    <w:rsid w:val="002F42CF"/>
    <w:rsid w:val="0033422A"/>
    <w:rsid w:val="003677CD"/>
    <w:rsid w:val="00396419"/>
    <w:rsid w:val="00433B34"/>
    <w:rsid w:val="004371F1"/>
    <w:rsid w:val="004B294F"/>
    <w:rsid w:val="00556575"/>
    <w:rsid w:val="005672F5"/>
    <w:rsid w:val="005A1F5A"/>
    <w:rsid w:val="00623BCB"/>
    <w:rsid w:val="00684C77"/>
    <w:rsid w:val="00774718"/>
    <w:rsid w:val="00776A72"/>
    <w:rsid w:val="0077705A"/>
    <w:rsid w:val="007878B4"/>
    <w:rsid w:val="007A3E64"/>
    <w:rsid w:val="007B2EB5"/>
    <w:rsid w:val="00811755"/>
    <w:rsid w:val="00832DC2"/>
    <w:rsid w:val="00834A58"/>
    <w:rsid w:val="008E2978"/>
    <w:rsid w:val="00A73B35"/>
    <w:rsid w:val="00AE170F"/>
    <w:rsid w:val="00B278D3"/>
    <w:rsid w:val="00B76F6C"/>
    <w:rsid w:val="00BF1A4A"/>
    <w:rsid w:val="00C62BC9"/>
    <w:rsid w:val="00CA2B33"/>
    <w:rsid w:val="00CA441D"/>
    <w:rsid w:val="00CB2F53"/>
    <w:rsid w:val="00CC5435"/>
    <w:rsid w:val="00D73366"/>
    <w:rsid w:val="00DB1702"/>
    <w:rsid w:val="00DE7829"/>
    <w:rsid w:val="00E70E85"/>
    <w:rsid w:val="00E75165"/>
    <w:rsid w:val="00EA65BC"/>
    <w:rsid w:val="00F261C1"/>
    <w:rsid w:val="00FA2A96"/>
    <w:rsid w:val="00FA548D"/>
    <w:rsid w:val="00FD1CD3"/>
    <w:rsid w:val="013C7C76"/>
    <w:rsid w:val="023C676E"/>
    <w:rsid w:val="02667697"/>
    <w:rsid w:val="02D72A69"/>
    <w:rsid w:val="02DB171D"/>
    <w:rsid w:val="039E46E0"/>
    <w:rsid w:val="042D44DF"/>
    <w:rsid w:val="0B273422"/>
    <w:rsid w:val="0B64353D"/>
    <w:rsid w:val="0B9C5057"/>
    <w:rsid w:val="0BB422B4"/>
    <w:rsid w:val="0BB6034C"/>
    <w:rsid w:val="0C5A314D"/>
    <w:rsid w:val="0D0036CC"/>
    <w:rsid w:val="0F4D3BEA"/>
    <w:rsid w:val="102F2774"/>
    <w:rsid w:val="117D795F"/>
    <w:rsid w:val="123D358A"/>
    <w:rsid w:val="133C4B9D"/>
    <w:rsid w:val="13C24671"/>
    <w:rsid w:val="13D9631E"/>
    <w:rsid w:val="13E43162"/>
    <w:rsid w:val="148655B2"/>
    <w:rsid w:val="151834E8"/>
    <w:rsid w:val="178C41E9"/>
    <w:rsid w:val="181035D6"/>
    <w:rsid w:val="18A94856"/>
    <w:rsid w:val="18E90341"/>
    <w:rsid w:val="1AA52798"/>
    <w:rsid w:val="1AB37347"/>
    <w:rsid w:val="1BA14B3D"/>
    <w:rsid w:val="1D287A46"/>
    <w:rsid w:val="1E1D488E"/>
    <w:rsid w:val="1EA17FEF"/>
    <w:rsid w:val="1F0B7C5F"/>
    <w:rsid w:val="20725BB9"/>
    <w:rsid w:val="21195EBE"/>
    <w:rsid w:val="217F4785"/>
    <w:rsid w:val="21B20779"/>
    <w:rsid w:val="21C153EF"/>
    <w:rsid w:val="21DD10E4"/>
    <w:rsid w:val="2203036C"/>
    <w:rsid w:val="220F5004"/>
    <w:rsid w:val="229069FB"/>
    <w:rsid w:val="22FE6784"/>
    <w:rsid w:val="235F04A8"/>
    <w:rsid w:val="23E0381B"/>
    <w:rsid w:val="24A32B1C"/>
    <w:rsid w:val="256B1DD4"/>
    <w:rsid w:val="257A0E81"/>
    <w:rsid w:val="2685140A"/>
    <w:rsid w:val="27E0603C"/>
    <w:rsid w:val="282B05B6"/>
    <w:rsid w:val="28BB46A4"/>
    <w:rsid w:val="292D5D40"/>
    <w:rsid w:val="29784FDA"/>
    <w:rsid w:val="2A080217"/>
    <w:rsid w:val="2A187CFC"/>
    <w:rsid w:val="2B7042EA"/>
    <w:rsid w:val="2C6400D7"/>
    <w:rsid w:val="2C7F127F"/>
    <w:rsid w:val="2D5662CE"/>
    <w:rsid w:val="2D6A6F46"/>
    <w:rsid w:val="2E6B0B16"/>
    <w:rsid w:val="2E9A74D2"/>
    <w:rsid w:val="2EA000B3"/>
    <w:rsid w:val="31EC429A"/>
    <w:rsid w:val="32A47ED4"/>
    <w:rsid w:val="33190B04"/>
    <w:rsid w:val="349815C0"/>
    <w:rsid w:val="34D04ED3"/>
    <w:rsid w:val="352677CE"/>
    <w:rsid w:val="357B5362"/>
    <w:rsid w:val="36164213"/>
    <w:rsid w:val="37525E16"/>
    <w:rsid w:val="38AF7A18"/>
    <w:rsid w:val="38C315E2"/>
    <w:rsid w:val="393B3B75"/>
    <w:rsid w:val="39845DCA"/>
    <w:rsid w:val="39997EAF"/>
    <w:rsid w:val="3AE269D2"/>
    <w:rsid w:val="3CC827E0"/>
    <w:rsid w:val="3D997369"/>
    <w:rsid w:val="40FC00AB"/>
    <w:rsid w:val="434D6B64"/>
    <w:rsid w:val="43CE2982"/>
    <w:rsid w:val="44FD4D47"/>
    <w:rsid w:val="4550029D"/>
    <w:rsid w:val="47DB3BC7"/>
    <w:rsid w:val="48782DE6"/>
    <w:rsid w:val="491F0552"/>
    <w:rsid w:val="498E3C96"/>
    <w:rsid w:val="49E220BA"/>
    <w:rsid w:val="49F50D43"/>
    <w:rsid w:val="4A744E4A"/>
    <w:rsid w:val="4A930FA8"/>
    <w:rsid w:val="4B171C26"/>
    <w:rsid w:val="4B4961C4"/>
    <w:rsid w:val="4C326CC0"/>
    <w:rsid w:val="4C6578D9"/>
    <w:rsid w:val="4D324344"/>
    <w:rsid w:val="4E1C66C1"/>
    <w:rsid w:val="4E662498"/>
    <w:rsid w:val="4E697EE7"/>
    <w:rsid w:val="4ECF50FF"/>
    <w:rsid w:val="4EE53D6D"/>
    <w:rsid w:val="4F026CD9"/>
    <w:rsid w:val="4F453268"/>
    <w:rsid w:val="501B662D"/>
    <w:rsid w:val="50E73679"/>
    <w:rsid w:val="520D2301"/>
    <w:rsid w:val="52A97F1A"/>
    <w:rsid w:val="52AD3AEF"/>
    <w:rsid w:val="53A14FBB"/>
    <w:rsid w:val="55066261"/>
    <w:rsid w:val="556F3028"/>
    <w:rsid w:val="556F4081"/>
    <w:rsid w:val="55AD7840"/>
    <w:rsid w:val="578D7549"/>
    <w:rsid w:val="58EF1098"/>
    <w:rsid w:val="598D64D6"/>
    <w:rsid w:val="59A82935"/>
    <w:rsid w:val="5A065CBB"/>
    <w:rsid w:val="5A165A30"/>
    <w:rsid w:val="5B8B0FFA"/>
    <w:rsid w:val="5C706CA8"/>
    <w:rsid w:val="5EA20D5B"/>
    <w:rsid w:val="5F554308"/>
    <w:rsid w:val="602B3270"/>
    <w:rsid w:val="61AB05FC"/>
    <w:rsid w:val="622D193C"/>
    <w:rsid w:val="62650619"/>
    <w:rsid w:val="627B5B7B"/>
    <w:rsid w:val="62CB3222"/>
    <w:rsid w:val="62DB1246"/>
    <w:rsid w:val="637A0E5A"/>
    <w:rsid w:val="6492318E"/>
    <w:rsid w:val="651632BE"/>
    <w:rsid w:val="654F7C9D"/>
    <w:rsid w:val="660A22C4"/>
    <w:rsid w:val="680567C6"/>
    <w:rsid w:val="684A3B6F"/>
    <w:rsid w:val="6AEC1B2A"/>
    <w:rsid w:val="6D1D3564"/>
    <w:rsid w:val="6D4D6655"/>
    <w:rsid w:val="6D535020"/>
    <w:rsid w:val="6DEF5985"/>
    <w:rsid w:val="6E4F63E1"/>
    <w:rsid w:val="6E9F5BAD"/>
    <w:rsid w:val="6FB46A67"/>
    <w:rsid w:val="711D44D9"/>
    <w:rsid w:val="71390C2C"/>
    <w:rsid w:val="71D31CD7"/>
    <w:rsid w:val="71DC23AF"/>
    <w:rsid w:val="731761FC"/>
    <w:rsid w:val="75E3536D"/>
    <w:rsid w:val="7669414B"/>
    <w:rsid w:val="767F38CC"/>
    <w:rsid w:val="76A92CA0"/>
    <w:rsid w:val="76D55B10"/>
    <w:rsid w:val="77771368"/>
    <w:rsid w:val="77D71180"/>
    <w:rsid w:val="79AB26C3"/>
    <w:rsid w:val="7A377EE9"/>
    <w:rsid w:val="7A624CD7"/>
    <w:rsid w:val="7AB22990"/>
    <w:rsid w:val="7B79366F"/>
    <w:rsid w:val="7BED5C32"/>
    <w:rsid w:val="7D2B7052"/>
    <w:rsid w:val="7E0B65A5"/>
    <w:rsid w:val="7EC74B6C"/>
    <w:rsid w:val="7EF058F2"/>
    <w:rsid w:val="7F7141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9"/>
    <w:pPr>
      <w:keepNext/>
      <w:keepLines/>
      <w:spacing w:line="576" w:lineRule="auto"/>
      <w:outlineLvl w:val="0"/>
    </w:pPr>
    <w:rPr>
      <w:b/>
      <w:bCs/>
      <w:kern w:val="44"/>
      <w:sz w:val="44"/>
      <w:szCs w:val="44"/>
    </w:rPr>
  </w:style>
  <w:style w:type="paragraph" w:styleId="3">
    <w:name w:val="heading 2"/>
    <w:basedOn w:val="1"/>
    <w:next w:val="1"/>
    <w:link w:val="15"/>
    <w:qFormat/>
    <w:uiPriority w:val="99"/>
    <w:pPr>
      <w:keepNext/>
      <w:keepLines/>
      <w:autoSpaceDE w:val="0"/>
      <w:autoSpaceDN w:val="0"/>
      <w:adjustRightInd w:val="0"/>
      <w:spacing w:before="260" w:after="260" w:line="416" w:lineRule="auto"/>
      <w:jc w:val="left"/>
      <w:outlineLvl w:val="1"/>
    </w:pPr>
    <w:rPr>
      <w:rFonts w:eastAsia="幼圆"/>
      <w:b/>
      <w:spacing w:val="20"/>
      <w:sz w:val="28"/>
      <w:szCs w:val="24"/>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First Indent"/>
    <w:basedOn w:val="5"/>
    <w:qFormat/>
    <w:locked/>
    <w:uiPriority w:val="0"/>
    <w:pPr>
      <w:spacing w:after="120"/>
      <w:ind w:firstLine="420" w:firstLineChars="100"/>
    </w:pPr>
    <w:rPr>
      <w:rFonts w:ascii="Times New Roman"/>
      <w:sz w:val="21"/>
      <w:szCs w:val="24"/>
    </w:rPr>
  </w:style>
  <w:style w:type="paragraph" w:styleId="5">
    <w:name w:val="Body Text"/>
    <w:basedOn w:val="1"/>
    <w:locked/>
    <w:uiPriority w:val="0"/>
    <w:rPr>
      <w:rFonts w:ascii="宋体"/>
      <w:sz w:val="28"/>
      <w:szCs w:val="20"/>
    </w:rPr>
  </w:style>
  <w:style w:type="paragraph" w:styleId="6">
    <w:name w:val="Plain Text"/>
    <w:basedOn w:val="1"/>
    <w:link w:val="16"/>
    <w:uiPriority w:val="99"/>
    <w:rPr>
      <w:rFonts w:ascii="宋体" w:hAnsi="Courier New"/>
    </w:rPr>
  </w:style>
  <w:style w:type="paragraph" w:styleId="7">
    <w:name w:val="Body Text Indent 2"/>
    <w:basedOn w:val="1"/>
    <w:locked/>
    <w:uiPriority w:val="0"/>
    <w:pPr>
      <w:spacing w:after="120" w:line="480" w:lineRule="auto"/>
      <w:ind w:left="420" w:leftChars="200"/>
    </w:pPr>
  </w:style>
  <w:style w:type="paragraph" w:styleId="8">
    <w:name w:val="footer"/>
    <w:basedOn w:val="1"/>
    <w:link w:val="17"/>
    <w:uiPriority w:val="99"/>
    <w:pPr>
      <w:tabs>
        <w:tab w:val="center" w:pos="4153"/>
        <w:tab w:val="right" w:pos="8306"/>
      </w:tabs>
      <w:snapToGrid w:val="0"/>
      <w:jc w:val="left"/>
    </w:pPr>
    <w:rPr>
      <w:sz w:val="18"/>
      <w:szCs w:val="24"/>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uiPriority w:val="99"/>
    <w:rPr>
      <w:rFonts w:cs="Times New Roman"/>
    </w:rPr>
  </w:style>
  <w:style w:type="table" w:styleId="13">
    <w:name w:val="Table Grid"/>
    <w:basedOn w:val="12"/>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4">
    <w:name w:val="标题 1 Char"/>
    <w:basedOn w:val="10"/>
    <w:link w:val="2"/>
    <w:qFormat/>
    <w:locked/>
    <w:uiPriority w:val="99"/>
    <w:rPr>
      <w:rFonts w:ascii="Calibri" w:hAnsi="Calibri" w:cs="Times New Roman"/>
      <w:b/>
      <w:bCs/>
      <w:kern w:val="44"/>
      <w:sz w:val="44"/>
      <w:szCs w:val="44"/>
    </w:rPr>
  </w:style>
  <w:style w:type="character" w:customStyle="1" w:styleId="15">
    <w:name w:val="标题 2 Char"/>
    <w:basedOn w:val="10"/>
    <w:link w:val="3"/>
    <w:semiHidden/>
    <w:locked/>
    <w:uiPriority w:val="99"/>
    <w:rPr>
      <w:rFonts w:ascii="Cambria" w:hAnsi="Cambria" w:eastAsia="宋体" w:cs="Times New Roman"/>
      <w:b/>
      <w:bCs/>
      <w:sz w:val="32"/>
      <w:szCs w:val="32"/>
    </w:rPr>
  </w:style>
  <w:style w:type="character" w:customStyle="1" w:styleId="16">
    <w:name w:val="纯文本 Char"/>
    <w:basedOn w:val="10"/>
    <w:link w:val="6"/>
    <w:semiHidden/>
    <w:qFormat/>
    <w:locked/>
    <w:uiPriority w:val="99"/>
    <w:rPr>
      <w:rFonts w:ascii="宋体" w:hAnsi="Courier New" w:cs="Courier New"/>
      <w:sz w:val="21"/>
      <w:szCs w:val="21"/>
    </w:rPr>
  </w:style>
  <w:style w:type="character" w:customStyle="1" w:styleId="17">
    <w:name w:val="页脚 Char"/>
    <w:basedOn w:val="10"/>
    <w:link w:val="8"/>
    <w:semiHidden/>
    <w:qFormat/>
    <w:locked/>
    <w:uiPriority w:val="99"/>
    <w:rPr>
      <w:rFonts w:ascii="Calibri" w:hAnsi="Calibri" w:cs="Times New Roman"/>
      <w:sz w:val="18"/>
      <w:szCs w:val="18"/>
    </w:rPr>
  </w:style>
  <w:style w:type="character" w:customStyle="1" w:styleId="18">
    <w:name w:val="页眉 Char"/>
    <w:basedOn w:val="10"/>
    <w:link w:val="9"/>
    <w:semiHidden/>
    <w:qFormat/>
    <w:locked/>
    <w:uiPriority w:val="99"/>
    <w:rPr>
      <w:rFonts w:ascii="Calibri" w:hAnsi="Calibri" w:cs="Times New Roman"/>
      <w:sz w:val="18"/>
      <w:szCs w:val="18"/>
    </w:rPr>
  </w:style>
  <w:style w:type="paragraph" w:customStyle="1" w:styleId="19">
    <w:name w:val="样式 宋体 小四 行距: 1.5 倍行距1"/>
    <w:basedOn w:val="1"/>
    <w:qFormat/>
    <w:uiPriority w:val="99"/>
    <w:pPr>
      <w:spacing w:line="360" w:lineRule="auto"/>
      <w:ind w:firstLine="200" w:firstLineChars="200"/>
    </w:pPr>
    <w:rPr>
      <w:rFonts w:ascii="宋体" w:hAnsi="宋体" w:cs="宋体"/>
      <w:szCs w:val="20"/>
    </w:rPr>
  </w:style>
  <w:style w:type="paragraph" w:customStyle="1" w:styleId="20">
    <w:name w:val="於"/>
    <w:basedOn w:val="1"/>
    <w:qFormat/>
    <w:uiPriority w:val="99"/>
  </w:style>
  <w:style w:type="paragraph" w:customStyle="1" w:styleId="21">
    <w:name w:val="p17"/>
    <w:basedOn w:val="1"/>
    <w:qFormat/>
    <w:uiPriority w:val="99"/>
    <w:pPr>
      <w:widowControl/>
      <w:spacing w:line="500" w:lineRule="atLeast"/>
      <w:ind w:firstLine="420"/>
    </w:pPr>
    <w:rPr>
      <w:rFonts w:ascii="仿宋_GB2312" w:hAnsi="宋体" w:eastAsia="仿宋_GB2312" w:cs="宋体"/>
      <w:kern w:val="0"/>
      <w:szCs w:val="21"/>
    </w:rPr>
  </w:style>
  <w:style w:type="paragraph" w:customStyle="1" w:styleId="22">
    <w:name w:val="p0"/>
    <w:basedOn w:val="1"/>
    <w:qFormat/>
    <w:uiPriority w:val="0"/>
    <w:pPr>
      <w:widowControl/>
    </w:pPr>
    <w:rPr>
      <w:kern w:val="0"/>
      <w:szCs w:val="21"/>
    </w:rPr>
  </w:style>
  <w:style w:type="paragraph" w:customStyle="1" w:styleId="23">
    <w:name w:val="正文a"/>
    <w:basedOn w:val="1"/>
    <w:qFormat/>
    <w:uiPriority w:val="0"/>
    <w:pPr>
      <w:spacing w:line="320" w:lineRule="exact"/>
      <w:ind w:firstLine="420" w:firstLineChars="200"/>
    </w:pPr>
    <w:rPr>
      <w:rFonts w:cs="宋体"/>
      <w:szCs w:val="20"/>
    </w:rPr>
  </w:style>
  <w:style w:type="paragraph" w:customStyle="1" w:styleId="24">
    <w:name w:val="新正文"/>
    <w:basedOn w:val="1"/>
    <w:link w:val="25"/>
    <w:qFormat/>
    <w:uiPriority w:val="99"/>
    <w:pPr>
      <w:ind w:firstLine="200" w:firstLineChars="200"/>
    </w:pPr>
    <w:rPr>
      <w:rFonts w:ascii="宋体" w:hAnsi="宋体"/>
      <w:color w:val="0D0D0D"/>
      <w:szCs w:val="20"/>
    </w:rPr>
  </w:style>
  <w:style w:type="character" w:customStyle="1" w:styleId="25">
    <w:name w:val="新正文 Char"/>
    <w:link w:val="24"/>
    <w:qFormat/>
    <w:locked/>
    <w:uiPriority w:val="99"/>
    <w:rPr>
      <w:rFonts w:ascii="宋体" w:hAnsi="宋体" w:eastAsia="宋体"/>
      <w:color w:val="0D0D0D"/>
      <w:kern w:val="2"/>
      <w:sz w:val="21"/>
    </w:rPr>
  </w:style>
  <w:style w:type="paragraph" w:customStyle="1" w:styleId="26">
    <w:name w:val="於正文"/>
    <w:basedOn w:val="1"/>
    <w:qFormat/>
    <w:uiPriority w:val="99"/>
    <w:pPr>
      <w:spacing w:line="360" w:lineRule="auto"/>
      <w:ind w:firstLine="200" w:firstLineChars="200"/>
    </w:pPr>
    <w:rPr>
      <w:rFonts w:ascii="仿宋_GB2312" w:hAnsi="仿宋_GB2312" w:eastAsia="仿宋_GB2312"/>
      <w:color w:val="0000FF"/>
      <w:sz w:val="30"/>
    </w:rPr>
  </w:style>
  <w:style w:type="table" w:customStyle="1" w:styleId="27">
    <w:name w:val="TableGri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563</Words>
  <Characters>3210</Characters>
  <Lines>26</Lines>
  <Paragraphs>7</Paragraphs>
  <TotalTime>3</TotalTime>
  <ScaleCrop>false</ScaleCrop>
  <LinksUpToDate>false</LinksUpToDate>
  <CharactersWithSpaces>3766</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2018-10-10T01:04:00Z</dcterms:created>
  <dc:creator>huang</dc:creator>
  <cp:lastModifiedBy>HP-</cp:lastModifiedBy>
  <dcterms:modified xsi:type="dcterms:W3CDTF">2021-05-17T08:58:52Z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